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9EF714" w14:textId="4CA967B8" w:rsidR="00F07DAE" w:rsidRPr="00B66225" w:rsidRDefault="00F07DAE" w:rsidP="00CE1825">
      <w:pPr>
        <w:pStyle w:val="Heading1"/>
      </w:pPr>
      <w:bookmarkStart w:id="0" w:name="_Toc166582861"/>
      <w:bookmarkStart w:id="1" w:name="_Toc190332889"/>
      <w:r w:rsidRPr="00B66225">
        <w:t>Equinet</w:t>
      </w:r>
      <w:bookmarkEnd w:id="0"/>
      <w:bookmarkEnd w:id="1"/>
    </w:p>
    <w:p w14:paraId="741CB05A" w14:textId="77777777" w:rsidR="00AF1B4F" w:rsidRPr="00F40784" w:rsidRDefault="00AF1B4F" w:rsidP="00CE1825">
      <w:pPr>
        <w:pStyle w:val="Title"/>
        <w:rPr>
          <w:rFonts w:ascii="DINPro-Bold" w:hAnsi="DINPro-Bold"/>
        </w:rPr>
      </w:pPr>
      <w:r w:rsidRPr="00F40784">
        <w:rPr>
          <w:rFonts w:ascii="DINPro-Bold" w:hAnsi="DINPro-Bold"/>
        </w:rPr>
        <w:t>Good Practice Compendium on the Use of Equality Data by Equality Bodies</w:t>
      </w:r>
    </w:p>
    <w:p w14:paraId="64C8FBA9" w14:textId="77777777" w:rsidR="00F40784" w:rsidRPr="00F40784" w:rsidRDefault="00F40784" w:rsidP="00CE1825"/>
    <w:p w14:paraId="1A93ADC9" w14:textId="4117206D" w:rsidR="00F07DAE" w:rsidRPr="00C2565C" w:rsidRDefault="00F07DAE" w:rsidP="00CE1825">
      <w:pPr>
        <w:pStyle w:val="Subtitle"/>
      </w:pPr>
      <w:r w:rsidRPr="00C2565C">
        <w:t xml:space="preserve">An Equinet </w:t>
      </w:r>
      <w:r w:rsidR="00AF1B4F" w:rsidRPr="00C2565C">
        <w:t>Compendium</w:t>
      </w:r>
    </w:p>
    <w:p w14:paraId="2E7EB995" w14:textId="66554CA4" w:rsidR="00F07DAE" w:rsidRPr="00F07DAE" w:rsidRDefault="00F07DAE" w:rsidP="00CE1825">
      <w:pPr>
        <w:autoSpaceDE w:val="0"/>
        <w:autoSpaceDN w:val="0"/>
        <w:adjustRightInd w:val="0"/>
        <w:spacing w:before="480" w:after="480" w:line="240" w:lineRule="auto"/>
        <w:rPr>
          <w:rFonts w:ascii="DINPro-Light" w:hAnsi="DINPro-Light" w:cs="DINPro-Light"/>
          <w:color w:val="2A3E90"/>
          <w:sz w:val="76"/>
          <w:szCs w:val="76"/>
        </w:rPr>
      </w:pPr>
      <w:r w:rsidRPr="00F07DAE">
        <w:rPr>
          <w:rFonts w:ascii="DINPro-Light" w:hAnsi="DINPro-Light" w:cs="DINPro-Light"/>
          <w:color w:val="2A3E90"/>
          <w:sz w:val="76"/>
          <w:szCs w:val="76"/>
        </w:rPr>
        <w:t>202</w:t>
      </w:r>
      <w:r w:rsidR="00C6097B">
        <w:rPr>
          <w:rFonts w:ascii="DINPro-Light" w:hAnsi="DINPro-Light" w:cs="DINPro-Light"/>
          <w:color w:val="2A3E90"/>
          <w:sz w:val="76"/>
          <w:szCs w:val="76"/>
        </w:rPr>
        <w:t>4</w:t>
      </w:r>
    </w:p>
    <w:p w14:paraId="465CBA09" w14:textId="77777777" w:rsidR="00F07DAE" w:rsidRPr="00F07DAE" w:rsidRDefault="00F07DAE" w:rsidP="00CE1825">
      <w:pPr>
        <w:spacing w:after="120" w:line="240" w:lineRule="auto"/>
        <w:rPr>
          <w:rFonts w:ascii="DINPro-Light" w:hAnsi="DINPro-Light" w:cs="DINPro-Light"/>
          <w:color w:val="2A3E90"/>
          <w:sz w:val="36"/>
          <w:szCs w:val="36"/>
        </w:rPr>
      </w:pPr>
    </w:p>
    <w:p w14:paraId="6E59B333" w14:textId="6A713D96" w:rsidR="00F07DAE" w:rsidRPr="00F07DAE" w:rsidRDefault="00F07DAE" w:rsidP="00CE1825">
      <w:pPr>
        <w:autoSpaceDE w:val="0"/>
        <w:autoSpaceDN w:val="0"/>
        <w:adjustRightInd w:val="0"/>
        <w:spacing w:after="0" w:line="240" w:lineRule="auto"/>
        <w:rPr>
          <w:rFonts w:ascii="DINPro-Bold" w:hAnsi="DINPro-Bold" w:cs="DINPro-Bold"/>
          <w:color w:val="2A3E90"/>
          <w:sz w:val="40"/>
          <w:szCs w:val="40"/>
        </w:rPr>
        <w:sectPr w:rsidR="00F07DAE" w:rsidRPr="00F07DAE" w:rsidSect="0027131A">
          <w:headerReference w:type="default" r:id="rId11"/>
          <w:footerReference w:type="default" r:id="rId12"/>
          <w:footerReference w:type="first" r:id="rId13"/>
          <w:pgSz w:w="11906" w:h="16838"/>
          <w:pgMar w:top="1440" w:right="1440" w:bottom="1440" w:left="1440" w:header="1133" w:footer="1133" w:gutter="0"/>
          <w:pgNumType w:fmt="lowerRoman" w:start="3"/>
          <w:cols w:space="720"/>
          <w:titlePg/>
          <w:docGrid w:linePitch="299"/>
        </w:sectPr>
      </w:pPr>
      <w:r w:rsidRPr="00F07DAE">
        <w:rPr>
          <w:rFonts w:ascii="DINPro-Bold" w:hAnsi="DINPro-Bold" w:cs="DINPro-Bold"/>
          <w:color w:val="2A3E90"/>
          <w:sz w:val="40"/>
          <w:szCs w:val="40"/>
        </w:rPr>
        <w:t>Co-funded by the European Union</w:t>
      </w:r>
    </w:p>
    <w:p w14:paraId="68FD2010" w14:textId="55F463FC" w:rsidR="00F07DAE" w:rsidRPr="00F07DAE" w:rsidRDefault="00000000" w:rsidP="00CE1825">
      <w:pPr>
        <w:spacing w:after="0" w:line="240" w:lineRule="auto"/>
        <w:textAlignment w:val="baseline"/>
      </w:pPr>
      <w:sdt>
        <w:sdtPr>
          <w:rPr>
            <w:rFonts w:eastAsia="Segoe UI" w:cstheme="minorHAnsi"/>
            <w:lang w:eastAsia="it-IT"/>
          </w:rPr>
          <w:id w:val="-2019216048"/>
          <w:placeholder>
            <w:docPart w:val="93BA509F2AC7476EAFC467497F9DDAF9"/>
          </w:placeholder>
        </w:sdtPr>
        <w:sdtContent>
          <w:r w:rsidR="00C6097B" w:rsidRPr="00DE588B">
            <w:rPr>
              <w:rFonts w:eastAsia="Segoe UI" w:cstheme="minorHAnsi"/>
              <w:b/>
              <w:bCs/>
              <w:lang w:eastAsia="it-IT"/>
            </w:rPr>
            <w:t>Good Practice Compendium on the Use of Equality Data by Equality Bodies</w:t>
          </w:r>
        </w:sdtContent>
      </w:sdt>
      <w:r w:rsidR="00F07DAE" w:rsidRPr="00F07DAE">
        <w:rPr>
          <w:rFonts w:eastAsia="Segoe UI" w:cstheme="minorHAnsi"/>
          <w:lang w:eastAsia="it-IT"/>
        </w:rPr>
        <w:t xml:space="preserve"> is published by Equinet, European Network of Equality Bodies.</w:t>
      </w:r>
      <w:r w:rsidR="007242E3">
        <w:rPr>
          <w:rFonts w:eastAsia="Segoe UI" w:cstheme="minorHAnsi"/>
          <w:lang w:eastAsia="it-IT"/>
        </w:rPr>
        <w:t xml:space="preserve"> </w:t>
      </w:r>
      <w:r w:rsidR="00F07DAE" w:rsidRPr="00F07DAE">
        <w:t>Equinet brings together 48 organisations from across Europe which are empowered to counteract discrimination as National Equality Bodies across a range of grounds, including age, disability, gender, race or ethnic origin, religion or belief, and sexual orientation.  </w:t>
      </w:r>
    </w:p>
    <w:p w14:paraId="51C3F48F" w14:textId="4D774EB1" w:rsidR="00F07DAE" w:rsidRPr="00F07DAE" w:rsidRDefault="00F07DAE" w:rsidP="00CE1825">
      <w:pPr>
        <w:spacing w:after="80" w:line="240" w:lineRule="auto"/>
      </w:pPr>
      <w:r w:rsidRPr="00F07DAE">
        <w:rPr>
          <w:b/>
          <w:bCs/>
        </w:rPr>
        <w:t>Equinet members</w:t>
      </w:r>
      <w:r w:rsidRPr="00F07DAE">
        <w:t xml:space="preserve">: Commissioner for the Protection from Discrimination, </w:t>
      </w:r>
      <w:r w:rsidRPr="00F07DAE">
        <w:rPr>
          <w:b/>
          <w:bCs/>
        </w:rPr>
        <w:t>Albania</w:t>
      </w:r>
      <w:r w:rsidRPr="00F07DAE">
        <w:t xml:space="preserve"> | Austrian Disability Ombuds</w:t>
      </w:r>
      <w:r w:rsidR="001B63D2">
        <w:t>wo</w:t>
      </w:r>
      <w:r w:rsidRPr="00F07DAE">
        <w:t xml:space="preserve">man, </w:t>
      </w:r>
      <w:r w:rsidRPr="00F07DAE">
        <w:rPr>
          <w:b/>
          <w:bCs/>
        </w:rPr>
        <w:t>Austria</w:t>
      </w:r>
      <w:r w:rsidRPr="00F07DAE">
        <w:t xml:space="preserve"> | Ombud for Equal Treatment, </w:t>
      </w:r>
      <w:r w:rsidRPr="00F07DAE">
        <w:rPr>
          <w:b/>
          <w:bCs/>
        </w:rPr>
        <w:t>Austria</w:t>
      </w:r>
      <w:r w:rsidRPr="00F07DAE">
        <w:t xml:space="preserve"> | </w:t>
      </w:r>
      <w:proofErr w:type="spellStart"/>
      <w:r w:rsidRPr="00F07DAE">
        <w:t>Unia</w:t>
      </w:r>
      <w:proofErr w:type="spellEnd"/>
      <w:r w:rsidRPr="00F07DAE">
        <w:t xml:space="preserve"> (</w:t>
      </w:r>
      <w:proofErr w:type="spellStart"/>
      <w:r w:rsidRPr="00F07DAE">
        <w:t>Interfederal</w:t>
      </w:r>
      <w:proofErr w:type="spellEnd"/>
      <w:r w:rsidRPr="00F07DAE">
        <w:t xml:space="preserve"> Centre for Equal Opportunities), </w:t>
      </w:r>
      <w:r w:rsidRPr="00F07DAE">
        <w:rPr>
          <w:b/>
          <w:bCs/>
        </w:rPr>
        <w:t>Belgium</w:t>
      </w:r>
      <w:r w:rsidRPr="00F07DAE">
        <w:t xml:space="preserve"> | Institute for Equality between Women and Men, </w:t>
      </w:r>
      <w:r w:rsidRPr="00F07DAE">
        <w:rPr>
          <w:b/>
          <w:bCs/>
        </w:rPr>
        <w:t>Belgium</w:t>
      </w:r>
      <w:r w:rsidRPr="00F07DAE">
        <w:t xml:space="preserve"> | Institution of Human Rights Ombudsman, </w:t>
      </w:r>
      <w:r w:rsidRPr="00F07DAE">
        <w:rPr>
          <w:b/>
          <w:bCs/>
        </w:rPr>
        <w:t>Bosnia and Herzegovina</w:t>
      </w:r>
      <w:r w:rsidRPr="00F07DAE">
        <w:t xml:space="preserve"> | Commission for Protection against Discrimination,</w:t>
      </w:r>
      <w:r w:rsidRPr="00F07DAE">
        <w:rPr>
          <w:b/>
          <w:bCs/>
        </w:rPr>
        <w:t xml:space="preserve"> Bulgaria</w:t>
      </w:r>
      <w:r w:rsidRPr="00F07DAE">
        <w:t xml:space="preserve"> | Ombudswoman of the Republic of Croatia,</w:t>
      </w:r>
      <w:r w:rsidRPr="00F07DAE">
        <w:rPr>
          <w:b/>
          <w:bCs/>
        </w:rPr>
        <w:t xml:space="preserve"> Croatia</w:t>
      </w:r>
      <w:r w:rsidRPr="00F07DAE">
        <w:t xml:space="preserve"> | Ombudsperson for Gender Equality,</w:t>
      </w:r>
      <w:r w:rsidRPr="00F07DAE">
        <w:rPr>
          <w:b/>
          <w:bCs/>
        </w:rPr>
        <w:t xml:space="preserve"> Croatia</w:t>
      </w:r>
      <w:r w:rsidRPr="00F07DAE">
        <w:t xml:space="preserve"> | Ombudsman for persons with disabilities, </w:t>
      </w:r>
      <w:r w:rsidRPr="00F07DAE">
        <w:rPr>
          <w:b/>
          <w:bCs/>
        </w:rPr>
        <w:t>Croatia</w:t>
      </w:r>
      <w:r w:rsidRPr="00F07DAE">
        <w:t xml:space="preserve"> | Office of the Commissioner for Administration and the Protection of Human Rights (Ombudsman), </w:t>
      </w:r>
      <w:r w:rsidRPr="00F07DAE">
        <w:rPr>
          <w:b/>
          <w:bCs/>
        </w:rPr>
        <w:t>Cyprus</w:t>
      </w:r>
      <w:r w:rsidRPr="00F07DAE">
        <w:t xml:space="preserve"> | Office of the Public Defender of Rights, </w:t>
      </w:r>
      <w:r w:rsidRPr="00F07DAE">
        <w:rPr>
          <w:b/>
          <w:bCs/>
        </w:rPr>
        <w:t xml:space="preserve">Czech Republic </w:t>
      </w:r>
      <w:r w:rsidRPr="00F07DAE">
        <w:t xml:space="preserve">| Danish Institute for Human Rights, </w:t>
      </w:r>
      <w:r w:rsidRPr="00F07DAE">
        <w:rPr>
          <w:b/>
          <w:bCs/>
        </w:rPr>
        <w:t>Denmark</w:t>
      </w:r>
      <w:r w:rsidRPr="00F07DAE">
        <w:t xml:space="preserve"> | Gender Equality and Equal Treatment Commissioner, </w:t>
      </w:r>
      <w:r w:rsidRPr="00F07DAE">
        <w:rPr>
          <w:b/>
          <w:bCs/>
        </w:rPr>
        <w:t>Estonia</w:t>
      </w:r>
      <w:r w:rsidRPr="00F07DAE">
        <w:t xml:space="preserve"> | Ombudsman for Equality, </w:t>
      </w:r>
      <w:r w:rsidRPr="00F07DAE">
        <w:rPr>
          <w:b/>
          <w:bCs/>
        </w:rPr>
        <w:t>Finland</w:t>
      </w:r>
      <w:r w:rsidRPr="00F07DAE">
        <w:t xml:space="preserve"> | Non-Discrimination Ombudsman,</w:t>
      </w:r>
      <w:r w:rsidRPr="00F07DAE">
        <w:rPr>
          <w:b/>
          <w:bCs/>
        </w:rPr>
        <w:t xml:space="preserve"> Finland </w:t>
      </w:r>
      <w:r w:rsidRPr="00F07DAE">
        <w:t xml:space="preserve">| Defender of Rights, </w:t>
      </w:r>
      <w:r w:rsidRPr="00F07DAE">
        <w:rPr>
          <w:b/>
          <w:bCs/>
        </w:rPr>
        <w:t>France</w:t>
      </w:r>
      <w:r w:rsidRPr="00F07DAE">
        <w:t xml:space="preserve"> | Public Defender (Ombudsman), </w:t>
      </w:r>
      <w:r w:rsidRPr="00F07DAE">
        <w:rPr>
          <w:b/>
          <w:bCs/>
        </w:rPr>
        <w:t>Georgia</w:t>
      </w:r>
      <w:r w:rsidRPr="00F07DAE">
        <w:t xml:space="preserve">| Federal Anti-Discrimination Agency, </w:t>
      </w:r>
      <w:r w:rsidRPr="00F07DAE">
        <w:rPr>
          <w:b/>
          <w:bCs/>
        </w:rPr>
        <w:t>Germany</w:t>
      </w:r>
      <w:r w:rsidRPr="00F07DAE">
        <w:t xml:space="preserve"> | Greek Ombudsman, </w:t>
      </w:r>
      <w:r w:rsidRPr="00F07DAE">
        <w:rPr>
          <w:b/>
          <w:bCs/>
        </w:rPr>
        <w:t xml:space="preserve">Greece </w:t>
      </w:r>
      <w:r w:rsidRPr="00F07DAE">
        <w:t xml:space="preserve">| Office of the Commissioner for Fundamental Rights, </w:t>
      </w:r>
      <w:r w:rsidRPr="00F07DAE">
        <w:rPr>
          <w:b/>
          <w:bCs/>
        </w:rPr>
        <w:t>Hungary</w:t>
      </w:r>
      <w:r w:rsidRPr="00F07DAE">
        <w:t xml:space="preserve"> | Irish Human Rights and Equality Commission, </w:t>
      </w:r>
      <w:r w:rsidRPr="00F07DAE">
        <w:rPr>
          <w:b/>
          <w:bCs/>
        </w:rPr>
        <w:t>Ireland</w:t>
      </w:r>
      <w:r w:rsidRPr="00F07DAE">
        <w:t xml:space="preserve"> | National Office Against Racial Discrimination, </w:t>
      </w:r>
      <w:r w:rsidRPr="00F07DAE">
        <w:rPr>
          <w:b/>
          <w:bCs/>
        </w:rPr>
        <w:t>Italy</w:t>
      </w:r>
      <w:r w:rsidRPr="00F07DAE">
        <w:t xml:space="preserve"> | Ombudsperson Institution, </w:t>
      </w:r>
      <w:r w:rsidRPr="00F07DAE">
        <w:rPr>
          <w:b/>
          <w:bCs/>
        </w:rPr>
        <w:t>Kosovo*</w:t>
      </w:r>
      <w:r w:rsidRPr="00F07DAE">
        <w:t xml:space="preserve"> | Office of the Ombudsman, </w:t>
      </w:r>
      <w:r w:rsidRPr="00F07DAE">
        <w:rPr>
          <w:b/>
          <w:bCs/>
        </w:rPr>
        <w:t xml:space="preserve">Latvia </w:t>
      </w:r>
      <w:r w:rsidRPr="00F07DAE">
        <w:t xml:space="preserve">| Office of the Equal Opportunities Ombudsperson, </w:t>
      </w:r>
      <w:r w:rsidRPr="00F07DAE">
        <w:rPr>
          <w:b/>
          <w:bCs/>
        </w:rPr>
        <w:t>Lithuania</w:t>
      </w:r>
      <w:r w:rsidRPr="00F07DAE">
        <w:t xml:space="preserve"> | Centre for Equal Treatment, </w:t>
      </w:r>
      <w:r w:rsidRPr="00F07DAE">
        <w:rPr>
          <w:b/>
          <w:bCs/>
        </w:rPr>
        <w:t>Luxembourg</w:t>
      </w:r>
      <w:r w:rsidRPr="00F07DAE">
        <w:t xml:space="preserve"> | National Commission for the Promotion of Equality, </w:t>
      </w:r>
      <w:r w:rsidRPr="00F07DAE">
        <w:rPr>
          <w:b/>
          <w:bCs/>
        </w:rPr>
        <w:t>Malta</w:t>
      </w:r>
      <w:r w:rsidRPr="00F07DAE">
        <w:t xml:space="preserve"> | Commission for the Rights of Persons with Disability, </w:t>
      </w:r>
      <w:r w:rsidRPr="00F07DAE">
        <w:rPr>
          <w:b/>
          <w:bCs/>
        </w:rPr>
        <w:t xml:space="preserve">Malta </w:t>
      </w:r>
      <w:r w:rsidRPr="00F07DAE">
        <w:t xml:space="preserve">| Equality Council, </w:t>
      </w:r>
      <w:r w:rsidRPr="00F07DAE">
        <w:rPr>
          <w:b/>
          <w:bCs/>
        </w:rPr>
        <w:t>Moldova</w:t>
      </w:r>
      <w:r w:rsidRPr="00F07DAE">
        <w:t xml:space="preserve"> | The Protector of Human Rights and Freedoms (Ombudsman), </w:t>
      </w:r>
      <w:r w:rsidRPr="00F07DAE">
        <w:rPr>
          <w:b/>
          <w:bCs/>
        </w:rPr>
        <w:t>Montenegro</w:t>
      </w:r>
      <w:r w:rsidRPr="00F07DAE">
        <w:t xml:space="preserve"> | Netherlands Institute for Human Rights, </w:t>
      </w:r>
      <w:r w:rsidRPr="00F07DAE">
        <w:rPr>
          <w:b/>
          <w:bCs/>
        </w:rPr>
        <w:t>Netherlands</w:t>
      </w:r>
      <w:r w:rsidRPr="00F07DAE">
        <w:t xml:space="preserve"> | Commission for Prevention and Protection against Discrimination,</w:t>
      </w:r>
      <w:r w:rsidRPr="00F07DAE">
        <w:rPr>
          <w:b/>
          <w:bCs/>
        </w:rPr>
        <w:t xml:space="preserve"> North Macedonia</w:t>
      </w:r>
      <w:r w:rsidRPr="00F07DAE">
        <w:t xml:space="preserve"> | Equality and Anti-Discrimination Ombud,</w:t>
      </w:r>
      <w:r w:rsidRPr="00F07DAE">
        <w:rPr>
          <w:b/>
          <w:bCs/>
        </w:rPr>
        <w:t xml:space="preserve"> Norway</w:t>
      </w:r>
      <w:r w:rsidRPr="00F07DAE">
        <w:t xml:space="preserve"> | Commissioner for Human Rights, </w:t>
      </w:r>
      <w:r w:rsidRPr="00F07DAE">
        <w:rPr>
          <w:b/>
          <w:bCs/>
        </w:rPr>
        <w:t xml:space="preserve">Poland </w:t>
      </w:r>
      <w:r w:rsidRPr="00F07DAE">
        <w:t xml:space="preserve">| Commission for Citizenship and Gender Equality, </w:t>
      </w:r>
      <w:r w:rsidRPr="00F07DAE">
        <w:rPr>
          <w:b/>
          <w:bCs/>
        </w:rPr>
        <w:t>Portugal</w:t>
      </w:r>
      <w:r w:rsidRPr="00F07DAE">
        <w:t xml:space="preserve"> | Commission for Equality in Labour and Employment, </w:t>
      </w:r>
      <w:r w:rsidRPr="00F07DAE">
        <w:rPr>
          <w:b/>
          <w:bCs/>
        </w:rPr>
        <w:t xml:space="preserve">Portugal </w:t>
      </w:r>
      <w:r w:rsidRPr="00F07DAE">
        <w:t xml:space="preserve">| High Commission for Migration, </w:t>
      </w:r>
      <w:r w:rsidRPr="00F07DAE">
        <w:rPr>
          <w:b/>
          <w:bCs/>
        </w:rPr>
        <w:t xml:space="preserve">Portugal </w:t>
      </w:r>
      <w:r w:rsidRPr="00F07DAE">
        <w:t xml:space="preserve">| National Council for Combating Discrimination, </w:t>
      </w:r>
      <w:r w:rsidRPr="00F07DAE">
        <w:rPr>
          <w:b/>
          <w:bCs/>
        </w:rPr>
        <w:t xml:space="preserve">Romania </w:t>
      </w:r>
      <w:r w:rsidRPr="00F07DAE">
        <w:t xml:space="preserve">| Commissioner for Protection of Equality, </w:t>
      </w:r>
      <w:r w:rsidRPr="00F07DAE">
        <w:rPr>
          <w:b/>
          <w:bCs/>
        </w:rPr>
        <w:t>Serbia</w:t>
      </w:r>
      <w:r w:rsidRPr="00F07DAE">
        <w:t xml:space="preserve"> | National Centre for Human Rights,</w:t>
      </w:r>
      <w:r w:rsidRPr="00F07DAE">
        <w:rPr>
          <w:b/>
          <w:bCs/>
        </w:rPr>
        <w:t xml:space="preserve"> Slovakia</w:t>
      </w:r>
      <w:r w:rsidRPr="00F07DAE">
        <w:t xml:space="preserve"> | Advocate of the Principle of Equality, </w:t>
      </w:r>
      <w:r w:rsidRPr="00F07DAE">
        <w:rPr>
          <w:b/>
          <w:bCs/>
        </w:rPr>
        <w:t>Slovenia</w:t>
      </w:r>
      <w:r w:rsidRPr="00F07DAE">
        <w:t xml:space="preserve"> | Council for the Elimination of Ethnic or Racial Discrimination, </w:t>
      </w:r>
      <w:r w:rsidRPr="00F07DAE">
        <w:rPr>
          <w:b/>
          <w:bCs/>
        </w:rPr>
        <w:t>Spain</w:t>
      </w:r>
      <w:r w:rsidRPr="00F07DAE">
        <w:t xml:space="preserve"> |Institute of Women, </w:t>
      </w:r>
      <w:r w:rsidRPr="00F07DAE">
        <w:rPr>
          <w:b/>
          <w:bCs/>
        </w:rPr>
        <w:t>Spain</w:t>
      </w:r>
      <w:r w:rsidRPr="00F07DAE">
        <w:t xml:space="preserve"> | Equality Ombudsman, </w:t>
      </w:r>
      <w:r w:rsidRPr="00F07DAE">
        <w:rPr>
          <w:b/>
          <w:bCs/>
        </w:rPr>
        <w:t>Sweden</w:t>
      </w:r>
      <w:r w:rsidRPr="00F07DAE">
        <w:t xml:space="preserve"> | Ukrainian Parliament Commissioner for Human Rights,  </w:t>
      </w:r>
      <w:r w:rsidRPr="00F07DAE">
        <w:rPr>
          <w:b/>
          <w:bCs/>
        </w:rPr>
        <w:t>Ukraine</w:t>
      </w:r>
      <w:r w:rsidRPr="00F07DAE">
        <w:t xml:space="preserve"> | Equality and Human Rights Commission, </w:t>
      </w:r>
      <w:r w:rsidRPr="00F07DAE">
        <w:rPr>
          <w:b/>
          <w:bCs/>
        </w:rPr>
        <w:t xml:space="preserve">UK – Great Britain </w:t>
      </w:r>
      <w:r w:rsidRPr="00F07DAE">
        <w:t xml:space="preserve">| Equality Commission for Northern Ireland, </w:t>
      </w:r>
      <w:r w:rsidRPr="00F07DAE">
        <w:rPr>
          <w:b/>
          <w:bCs/>
        </w:rPr>
        <w:t>UK – Northern Ireland </w:t>
      </w:r>
      <w:r w:rsidRPr="00F07DAE">
        <w:t xml:space="preserve"> | </w:t>
      </w:r>
    </w:p>
    <w:p w14:paraId="6589EE42" w14:textId="77777777" w:rsidR="00F07DAE" w:rsidRPr="00F07DAE" w:rsidRDefault="00F07DAE" w:rsidP="00CE1825">
      <w:pPr>
        <w:spacing w:after="80" w:line="240" w:lineRule="auto"/>
        <w:rPr>
          <w:i/>
          <w:iCs/>
        </w:rPr>
      </w:pPr>
      <w:r w:rsidRPr="00F07DAE">
        <w:t>*</w:t>
      </w:r>
      <w:r w:rsidRPr="00F07DAE">
        <w:rPr>
          <w:i/>
          <w:iCs/>
        </w:rPr>
        <w:t>This designation is without prejudice to positions on status and is in line with UNSCR 1244/1999 and the ICJ Opinion on the Kosovo declaration of independence. </w:t>
      </w:r>
    </w:p>
    <w:p w14:paraId="778651C9" w14:textId="77777777" w:rsidR="00F07DAE" w:rsidRPr="00F07DAE" w:rsidRDefault="00F07DAE" w:rsidP="00CE1825">
      <w:pPr>
        <w:spacing w:after="80" w:line="240" w:lineRule="auto"/>
      </w:pPr>
      <w:r w:rsidRPr="00F07DAE">
        <w:t>Equinet Secretariat | Place Victor Horta, 40 | 1060 Brussels | Belgium |  </w:t>
      </w:r>
    </w:p>
    <w:p w14:paraId="76FC76DD" w14:textId="77777777" w:rsidR="00F07DAE" w:rsidRPr="00F07DAE" w:rsidRDefault="00F07DAE" w:rsidP="00CE1825">
      <w:pPr>
        <w:spacing w:after="80" w:line="240" w:lineRule="auto"/>
      </w:pPr>
      <w:r w:rsidRPr="00F07DAE">
        <w:t>info@equineteurope.org | www.equineteurope.org  </w:t>
      </w:r>
    </w:p>
    <w:p w14:paraId="4E68FD63" w14:textId="5CC5DBDE" w:rsidR="00F07DAE" w:rsidRPr="00F07DAE" w:rsidRDefault="00F07DAE" w:rsidP="00CE1825">
      <w:pPr>
        <w:spacing w:after="120" w:line="360" w:lineRule="auto"/>
        <w:rPr>
          <w:rFonts w:ascii="Calibri" w:eastAsia="Times New Roman" w:hAnsi="Calibri" w:cs="Calibri"/>
          <w:color w:val="000000"/>
          <w:lang w:val="en-US"/>
        </w:rPr>
      </w:pPr>
      <w:r w:rsidRPr="00F07DAE">
        <w:t xml:space="preserve">ISBN </w:t>
      </w:r>
      <w:r w:rsidR="00963F6F" w:rsidRPr="00963F6F">
        <w:t xml:space="preserve">978-92-95112-82-7 </w:t>
      </w:r>
      <w:r w:rsidRPr="00F07DAE">
        <w:rPr>
          <w:rFonts w:ascii="Calibri" w:eastAsia="Times New Roman" w:hAnsi="Calibri" w:cs="Calibri"/>
          <w:color w:val="000000"/>
          <w:lang w:val="en-US"/>
        </w:rPr>
        <w:t>(Online)</w:t>
      </w:r>
    </w:p>
    <w:p w14:paraId="2CCD979B" w14:textId="5F845456" w:rsidR="00F07DAE" w:rsidRPr="00F07DAE" w:rsidRDefault="00F07DAE" w:rsidP="00CE1825">
      <w:pPr>
        <w:spacing w:after="80" w:line="240" w:lineRule="auto"/>
      </w:pPr>
      <w:r w:rsidRPr="00F07DAE">
        <w:t xml:space="preserve">© Equinet </w:t>
      </w:r>
      <w:sdt>
        <w:sdtPr>
          <w:id w:val="-1745862875"/>
          <w:placeholder>
            <w:docPart w:val="BDFB0C8DCC644797A36B0630CD59426B"/>
          </w:placeholder>
        </w:sdtPr>
        <w:sdtContent>
          <w:r w:rsidRPr="00F07DAE">
            <w:t>202</w:t>
          </w:r>
          <w:r w:rsidR="00D347A9">
            <w:t>4</w:t>
          </w:r>
        </w:sdtContent>
      </w:sdt>
      <w:r w:rsidRPr="00F07DAE">
        <w:t xml:space="preserve"> - Reproduction is permitted, provided the source is acknowledged. </w:t>
      </w:r>
    </w:p>
    <w:p w14:paraId="663DEA93" w14:textId="6BF3CD94" w:rsidR="00F07DAE" w:rsidRPr="00F07DAE" w:rsidRDefault="00F07DAE" w:rsidP="00CE1825">
      <w:pPr>
        <w:spacing w:after="120" w:line="240" w:lineRule="auto"/>
      </w:pPr>
      <w:r w:rsidRPr="00F07DAE">
        <w:rPr>
          <w:noProof/>
        </w:rPr>
        <w:drawing>
          <wp:anchor distT="0" distB="0" distL="114300" distR="114300" simplePos="0" relativeHeight="251658241" behindDoc="0" locked="0" layoutInCell="1" allowOverlap="1" wp14:anchorId="1AE34FC4" wp14:editId="1D77E54D">
            <wp:simplePos x="0" y="0"/>
            <wp:positionH relativeFrom="margin">
              <wp:posOffset>3835400</wp:posOffset>
            </wp:positionH>
            <wp:positionV relativeFrom="paragraph">
              <wp:posOffset>1824355</wp:posOffset>
            </wp:positionV>
            <wp:extent cx="1591310" cy="332740"/>
            <wp:effectExtent l="0" t="0" r="0" b="0"/>
            <wp:wrapNone/>
            <wp:docPr id="1475393888" name="Picture 1475393888" descr="P8#y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393888" name="Picture 1475393888" descr="P8#y2">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1310" cy="332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7DAE">
        <w:t xml:space="preserve">This publication was prepared based on the information, contributions, and comments provided by members of the Equinet </w:t>
      </w:r>
      <w:r w:rsidR="00ED042B">
        <w:t>Research and Data Collection</w:t>
      </w:r>
      <w:r w:rsidRPr="00F07DAE">
        <w:t xml:space="preserve"> Working Group. The veracity of the information provided is the responsibility of each member of the Working Group. The views expressed in it belong to the author and members of the Working Group and neither the moderator nor Equinet or the European Commission are liable for any use that may be made of the information contained therein. This information does not necessarily reflect the position or opinion of individual members of Equinet or the European Commission. </w:t>
      </w:r>
    </w:p>
    <w:p w14:paraId="705CFE5D" w14:textId="77777777" w:rsidR="00F07DAE" w:rsidRPr="00F07DAE" w:rsidRDefault="00F07DAE" w:rsidP="00CE1825">
      <w:pPr>
        <w:spacing w:after="120" w:line="240" w:lineRule="auto"/>
      </w:pPr>
      <w:r w:rsidRPr="00F07DAE">
        <w:rPr>
          <w:noProof/>
        </w:rPr>
        <w:drawing>
          <wp:anchor distT="0" distB="0" distL="114300" distR="114300" simplePos="0" relativeHeight="251658240" behindDoc="0" locked="0" layoutInCell="1" allowOverlap="1" wp14:anchorId="1BA47F4F" wp14:editId="036DF7CA">
            <wp:simplePos x="0" y="0"/>
            <wp:positionH relativeFrom="margin">
              <wp:posOffset>-30480</wp:posOffset>
            </wp:positionH>
            <wp:positionV relativeFrom="paragraph">
              <wp:posOffset>425450</wp:posOffset>
            </wp:positionV>
            <wp:extent cx="1445895" cy="575310"/>
            <wp:effectExtent l="0" t="0" r="0" b="0"/>
            <wp:wrapNone/>
            <wp:docPr id="243" name="Picture 243" descr="P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P8#y1">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5895" cy="575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972461" w14:textId="77777777" w:rsidR="00F07DAE" w:rsidRPr="00F07DAE" w:rsidRDefault="00F07DAE" w:rsidP="00CE1825">
      <w:pPr>
        <w:spacing w:after="120" w:line="240" w:lineRule="auto"/>
        <w:sectPr w:rsidR="00F07DAE" w:rsidRPr="00F07DAE" w:rsidSect="0027131A">
          <w:headerReference w:type="default" r:id="rId16"/>
          <w:footerReference w:type="default" r:id="rId17"/>
          <w:footerReference w:type="first" r:id="rId18"/>
          <w:pgSz w:w="11906" w:h="16838"/>
          <w:pgMar w:top="1440" w:right="1440" w:bottom="1440" w:left="1440" w:header="1134" w:footer="1134" w:gutter="0"/>
          <w:pgNumType w:fmt="lowerRoman" w:start="2"/>
          <w:cols w:space="720"/>
          <w:titlePg/>
          <w:docGrid w:linePitch="299"/>
        </w:sectPr>
      </w:pPr>
    </w:p>
    <w:p w14:paraId="535B7AF9" w14:textId="77777777" w:rsidR="00F07DAE" w:rsidRPr="00A72FB6" w:rsidRDefault="00F07DAE" w:rsidP="00A72FB6">
      <w:pPr>
        <w:pStyle w:val="Heading1"/>
      </w:pPr>
      <w:bookmarkStart w:id="2" w:name="_Toc120612965"/>
      <w:bookmarkStart w:id="3" w:name="_Toc126078328"/>
      <w:bookmarkStart w:id="4" w:name="_Toc132189018"/>
      <w:bookmarkStart w:id="5" w:name="_Toc145928188"/>
      <w:bookmarkStart w:id="6" w:name="_Toc152667757"/>
      <w:bookmarkStart w:id="7" w:name="_Toc159424158"/>
      <w:bookmarkStart w:id="8" w:name="_Toc159593521"/>
      <w:bookmarkStart w:id="9" w:name="_Toc166582862"/>
      <w:bookmarkStart w:id="10" w:name="_Toc190332890"/>
      <w:r w:rsidRPr="00A72FB6">
        <w:lastRenderedPageBreak/>
        <w:t>Acknowledgements</w:t>
      </w:r>
      <w:bookmarkEnd w:id="2"/>
      <w:bookmarkEnd w:id="3"/>
      <w:bookmarkEnd w:id="4"/>
      <w:bookmarkEnd w:id="5"/>
      <w:bookmarkEnd w:id="6"/>
      <w:bookmarkEnd w:id="7"/>
      <w:bookmarkEnd w:id="8"/>
      <w:bookmarkEnd w:id="9"/>
      <w:bookmarkEnd w:id="10"/>
    </w:p>
    <w:p w14:paraId="50747F6E" w14:textId="77777777" w:rsidR="00703C29" w:rsidRPr="00AE1B8F" w:rsidRDefault="00703C29" w:rsidP="00A460C5">
      <w:pPr>
        <w:pStyle w:val="Heading2"/>
      </w:pPr>
      <w:bookmarkStart w:id="11" w:name="_Toc94531142"/>
      <w:bookmarkStart w:id="12" w:name="_Toc120548322"/>
      <w:bookmarkStart w:id="13" w:name="_Toc120552210"/>
      <w:bookmarkStart w:id="14" w:name="_Toc120612833"/>
      <w:bookmarkStart w:id="15" w:name="_Toc120612894"/>
      <w:bookmarkStart w:id="16" w:name="_Toc120612967"/>
      <w:bookmarkStart w:id="17" w:name="_Toc190332891"/>
      <w:r w:rsidRPr="00AE1B8F">
        <w:t>Editorial and Publication Coordination</w:t>
      </w:r>
      <w:bookmarkEnd w:id="11"/>
      <w:bookmarkEnd w:id="12"/>
      <w:bookmarkEnd w:id="13"/>
      <w:bookmarkEnd w:id="14"/>
      <w:bookmarkEnd w:id="15"/>
      <w:bookmarkEnd w:id="16"/>
      <w:bookmarkEnd w:id="17"/>
      <w:r w:rsidRPr="00AE1B8F">
        <w:t> </w:t>
      </w:r>
    </w:p>
    <w:p w14:paraId="20497F2C" w14:textId="77777777" w:rsidR="00703C29" w:rsidRPr="00AE1B8F" w:rsidRDefault="00703C29" w:rsidP="00CE1825">
      <w:pPr>
        <w:spacing w:before="120" w:after="120" w:line="360" w:lineRule="auto"/>
        <w:rPr>
          <w:rFonts w:ascii="Calibri" w:eastAsia="Calibri" w:hAnsi="Calibri" w:cs="Arial"/>
          <w:lang w:eastAsia="it-IT"/>
        </w:rPr>
      </w:pPr>
      <w:r>
        <w:rPr>
          <w:rFonts w:ascii="Calibri" w:eastAsia="Calibri" w:hAnsi="Calibri" w:cs="Arial"/>
          <w:b/>
        </w:rPr>
        <w:t xml:space="preserve">Milla </w:t>
      </w:r>
      <w:proofErr w:type="spellStart"/>
      <w:r>
        <w:rPr>
          <w:rFonts w:ascii="Calibri" w:eastAsia="Calibri" w:hAnsi="Calibri" w:cs="Arial"/>
          <w:b/>
        </w:rPr>
        <w:t>Vidina</w:t>
      </w:r>
      <w:proofErr w:type="spellEnd"/>
      <w:r>
        <w:rPr>
          <w:rFonts w:ascii="Calibri" w:eastAsia="Calibri" w:hAnsi="Calibri" w:cs="Arial"/>
          <w:b/>
        </w:rPr>
        <w:t xml:space="preserve"> </w:t>
      </w:r>
      <w:r w:rsidRPr="000A4A86">
        <w:rPr>
          <w:rFonts w:ascii="Calibri" w:eastAsia="Calibri" w:hAnsi="Calibri" w:cs="Arial"/>
          <w:bCs/>
        </w:rPr>
        <w:t>(</w:t>
      </w:r>
      <w:r w:rsidRPr="00AE1B8F">
        <w:rPr>
          <w:rFonts w:ascii="Calibri" w:eastAsia="Calibri" w:hAnsi="Calibri" w:cs="Arial"/>
        </w:rPr>
        <w:t>Equinet, European Network of Equality Bodies)</w:t>
      </w:r>
    </w:p>
    <w:p w14:paraId="3EA07727" w14:textId="77777777" w:rsidR="00703C29" w:rsidRPr="00AE1B8F" w:rsidRDefault="00703C29" w:rsidP="00A460C5">
      <w:pPr>
        <w:pStyle w:val="Heading2"/>
      </w:pPr>
      <w:bookmarkStart w:id="18" w:name="_Toc94531143"/>
      <w:bookmarkStart w:id="19" w:name="_Toc120548323"/>
      <w:bookmarkStart w:id="20" w:name="_Toc120552211"/>
      <w:bookmarkStart w:id="21" w:name="_Toc120612834"/>
      <w:bookmarkStart w:id="22" w:name="_Toc120612895"/>
      <w:bookmarkStart w:id="23" w:name="_Toc120612968"/>
      <w:bookmarkStart w:id="24" w:name="_Toc190332892"/>
      <w:r w:rsidRPr="00AE1B8F">
        <w:t>Formatting</w:t>
      </w:r>
      <w:bookmarkEnd w:id="18"/>
      <w:bookmarkEnd w:id="19"/>
      <w:bookmarkEnd w:id="20"/>
      <w:bookmarkEnd w:id="21"/>
      <w:bookmarkEnd w:id="22"/>
      <w:bookmarkEnd w:id="23"/>
      <w:bookmarkEnd w:id="24"/>
    </w:p>
    <w:p w14:paraId="5D228975" w14:textId="2D07E78A" w:rsidR="00CC7E2C" w:rsidRPr="00AF1B4F" w:rsidRDefault="00703C29" w:rsidP="00CE1825">
      <w:pPr>
        <w:spacing w:after="120" w:line="360" w:lineRule="auto"/>
        <w:rPr>
          <w:sz w:val="24"/>
          <w:szCs w:val="24"/>
        </w:rPr>
      </w:pPr>
      <w:r w:rsidRPr="00AE1B8F">
        <w:rPr>
          <w:rFonts w:ascii="Calibri" w:eastAsia="Calibri" w:hAnsi="Calibri" w:cs="Arial"/>
          <w:b/>
        </w:rPr>
        <w:t xml:space="preserve">Martina Bianco </w:t>
      </w:r>
      <w:r w:rsidRPr="00AE1B8F">
        <w:rPr>
          <w:rFonts w:ascii="Calibri" w:eastAsia="Calibri" w:hAnsi="Calibri" w:cs="Arial"/>
        </w:rPr>
        <w:t>(Equinet, European Network of Equality Bodies)</w:t>
      </w:r>
      <w:r w:rsidR="00F07DAE" w:rsidRPr="00F07DAE">
        <w:rPr>
          <w:sz w:val="24"/>
          <w:szCs w:val="24"/>
        </w:rPr>
        <w:br w:type="page"/>
      </w:r>
    </w:p>
    <w:sdt>
      <w:sdtPr>
        <w:rPr>
          <w:rFonts w:asciiTheme="minorHAnsi" w:hAnsiTheme="minorHAnsi" w:cstheme="minorBidi"/>
          <w:color w:val="auto"/>
          <w:sz w:val="22"/>
          <w:szCs w:val="22"/>
          <w:lang w:val="en-GB"/>
        </w:rPr>
        <w:id w:val="864258682"/>
        <w:docPartObj>
          <w:docPartGallery w:val="Table of Contents"/>
          <w:docPartUnique/>
        </w:docPartObj>
      </w:sdtPr>
      <w:sdtEndPr>
        <w:rPr>
          <w:b/>
          <w:bCs/>
          <w:noProof/>
        </w:rPr>
      </w:sdtEndPr>
      <w:sdtContent>
        <w:p w14:paraId="06378C92" w14:textId="77777777" w:rsidR="005C396D" w:rsidRDefault="00875860" w:rsidP="00E758CA">
          <w:pPr>
            <w:pStyle w:val="TOCHeading"/>
            <w:rPr>
              <w:noProof/>
            </w:rPr>
          </w:pPr>
          <w:r>
            <w:t>Contents</w:t>
          </w:r>
          <w:r>
            <w:fldChar w:fldCharType="begin"/>
          </w:r>
          <w:r>
            <w:instrText xml:space="preserve"> TOC \o "1-3" \h \z \u </w:instrText>
          </w:r>
          <w:r>
            <w:fldChar w:fldCharType="separate"/>
          </w:r>
        </w:p>
        <w:p w14:paraId="07CF7A33" w14:textId="49E3C990" w:rsidR="005C396D" w:rsidRPr="00D6637C" w:rsidRDefault="005C396D">
          <w:pPr>
            <w:pStyle w:val="TOC1"/>
            <w:rPr>
              <w:rFonts w:eastAsiaTheme="minorEastAsia"/>
              <w:b w:val="0"/>
              <w:bCs w:val="0"/>
              <w:kern w:val="2"/>
              <w:sz w:val="24"/>
              <w:szCs w:val="24"/>
              <w:lang w:val="en-BE" w:eastAsia="en-BE"/>
              <w14:ligatures w14:val="standardContextual"/>
            </w:rPr>
          </w:pPr>
          <w:hyperlink w:anchor="_Toc190332889" w:history="1">
            <w:r w:rsidRPr="00D6637C">
              <w:rPr>
                <w:rStyle w:val="Hyperlink"/>
                <w:color w:val="auto"/>
              </w:rPr>
              <w:t>Equinet</w:t>
            </w:r>
            <w:r w:rsidRPr="00D6637C">
              <w:rPr>
                <w:webHidden/>
              </w:rPr>
              <w:tab/>
            </w:r>
            <w:r w:rsidRPr="00D6637C">
              <w:rPr>
                <w:webHidden/>
              </w:rPr>
              <w:fldChar w:fldCharType="begin"/>
            </w:r>
            <w:r w:rsidRPr="00D6637C">
              <w:rPr>
                <w:webHidden/>
              </w:rPr>
              <w:instrText xml:space="preserve"> PAGEREF _Toc190332889 \h </w:instrText>
            </w:r>
            <w:r w:rsidRPr="00D6637C">
              <w:rPr>
                <w:webHidden/>
              </w:rPr>
            </w:r>
            <w:r w:rsidRPr="00D6637C">
              <w:rPr>
                <w:webHidden/>
              </w:rPr>
              <w:fldChar w:fldCharType="separate"/>
            </w:r>
            <w:r w:rsidRPr="00D6637C">
              <w:rPr>
                <w:webHidden/>
              </w:rPr>
              <w:t>iii</w:t>
            </w:r>
            <w:r w:rsidRPr="00D6637C">
              <w:rPr>
                <w:webHidden/>
              </w:rPr>
              <w:fldChar w:fldCharType="end"/>
            </w:r>
          </w:hyperlink>
        </w:p>
        <w:p w14:paraId="3D8FB2B2" w14:textId="61E13BB8" w:rsidR="005C396D" w:rsidRPr="00D6637C" w:rsidRDefault="005C396D">
          <w:pPr>
            <w:pStyle w:val="TOC1"/>
            <w:rPr>
              <w:rFonts w:eastAsiaTheme="minorEastAsia"/>
              <w:b w:val="0"/>
              <w:bCs w:val="0"/>
              <w:kern w:val="2"/>
              <w:sz w:val="24"/>
              <w:szCs w:val="24"/>
              <w:lang w:val="en-BE" w:eastAsia="en-BE"/>
              <w14:ligatures w14:val="standardContextual"/>
            </w:rPr>
          </w:pPr>
          <w:hyperlink w:anchor="_Toc190332890" w:history="1">
            <w:r w:rsidRPr="00D6637C">
              <w:rPr>
                <w:rStyle w:val="Hyperlink"/>
                <w:color w:val="auto"/>
              </w:rPr>
              <w:t>Acknowledgements</w:t>
            </w:r>
            <w:r w:rsidRPr="00D6637C">
              <w:rPr>
                <w:webHidden/>
              </w:rPr>
              <w:tab/>
            </w:r>
            <w:r w:rsidRPr="00D6637C">
              <w:rPr>
                <w:webHidden/>
              </w:rPr>
              <w:fldChar w:fldCharType="begin"/>
            </w:r>
            <w:r w:rsidRPr="00D6637C">
              <w:rPr>
                <w:webHidden/>
              </w:rPr>
              <w:instrText xml:space="preserve"> PAGEREF _Toc190332890 \h </w:instrText>
            </w:r>
            <w:r w:rsidRPr="00D6637C">
              <w:rPr>
                <w:webHidden/>
              </w:rPr>
            </w:r>
            <w:r w:rsidRPr="00D6637C">
              <w:rPr>
                <w:webHidden/>
              </w:rPr>
              <w:fldChar w:fldCharType="separate"/>
            </w:r>
            <w:r w:rsidRPr="00D6637C">
              <w:rPr>
                <w:webHidden/>
              </w:rPr>
              <w:t>iii</w:t>
            </w:r>
            <w:r w:rsidRPr="00D6637C">
              <w:rPr>
                <w:webHidden/>
              </w:rPr>
              <w:fldChar w:fldCharType="end"/>
            </w:r>
          </w:hyperlink>
        </w:p>
        <w:p w14:paraId="4CC72B08" w14:textId="704ADA6A" w:rsidR="005C396D" w:rsidRPr="00D6637C" w:rsidRDefault="005C396D" w:rsidP="00D6637C">
          <w:pPr>
            <w:pStyle w:val="TOC2"/>
            <w:rPr>
              <w:rFonts w:eastAsiaTheme="minorEastAsia"/>
              <w:color w:val="auto"/>
              <w:kern w:val="2"/>
              <w:sz w:val="24"/>
              <w:szCs w:val="24"/>
              <w:lang w:val="en-BE" w:eastAsia="en-BE"/>
              <w14:ligatures w14:val="standardContextual"/>
            </w:rPr>
          </w:pPr>
          <w:hyperlink w:anchor="_Toc190332891" w:history="1">
            <w:r w:rsidRPr="00D6637C">
              <w:rPr>
                <w:rStyle w:val="Hyperlink"/>
                <w:b w:val="0"/>
                <w:bCs w:val="0"/>
                <w:color w:val="auto"/>
              </w:rPr>
              <w:t>Editorial and Publication Coordination</w:t>
            </w:r>
            <w:r w:rsidRPr="00D6637C">
              <w:rPr>
                <w:webHidden/>
                <w:color w:val="auto"/>
              </w:rPr>
              <w:tab/>
            </w:r>
            <w:r w:rsidRPr="00D6637C">
              <w:rPr>
                <w:webHidden/>
                <w:color w:val="auto"/>
              </w:rPr>
              <w:fldChar w:fldCharType="begin"/>
            </w:r>
            <w:r w:rsidRPr="00D6637C">
              <w:rPr>
                <w:webHidden/>
                <w:color w:val="auto"/>
              </w:rPr>
              <w:instrText xml:space="preserve"> PAGEREF _Toc190332891 \h </w:instrText>
            </w:r>
            <w:r w:rsidRPr="00D6637C">
              <w:rPr>
                <w:webHidden/>
                <w:color w:val="auto"/>
              </w:rPr>
            </w:r>
            <w:r w:rsidRPr="00D6637C">
              <w:rPr>
                <w:webHidden/>
                <w:color w:val="auto"/>
              </w:rPr>
              <w:fldChar w:fldCharType="separate"/>
            </w:r>
            <w:r w:rsidRPr="00D6637C">
              <w:rPr>
                <w:webHidden/>
                <w:color w:val="auto"/>
              </w:rPr>
              <w:t>iii</w:t>
            </w:r>
            <w:r w:rsidRPr="00D6637C">
              <w:rPr>
                <w:webHidden/>
                <w:color w:val="auto"/>
              </w:rPr>
              <w:fldChar w:fldCharType="end"/>
            </w:r>
          </w:hyperlink>
        </w:p>
        <w:p w14:paraId="0FCABFFB" w14:textId="2BA1075B" w:rsidR="005C396D" w:rsidRPr="00D6637C" w:rsidRDefault="005C396D" w:rsidP="00D6637C">
          <w:pPr>
            <w:pStyle w:val="TOC2"/>
            <w:rPr>
              <w:rFonts w:eastAsiaTheme="minorEastAsia"/>
              <w:color w:val="auto"/>
              <w:kern w:val="2"/>
              <w:sz w:val="24"/>
              <w:szCs w:val="24"/>
              <w:lang w:val="en-BE" w:eastAsia="en-BE"/>
              <w14:ligatures w14:val="standardContextual"/>
            </w:rPr>
          </w:pPr>
          <w:hyperlink w:anchor="_Toc190332892" w:history="1">
            <w:r w:rsidRPr="00D6637C">
              <w:rPr>
                <w:rStyle w:val="Hyperlink"/>
                <w:b w:val="0"/>
                <w:bCs w:val="0"/>
                <w:color w:val="auto"/>
              </w:rPr>
              <w:t>Formatting</w:t>
            </w:r>
            <w:r w:rsidRPr="00D6637C">
              <w:rPr>
                <w:webHidden/>
                <w:color w:val="auto"/>
              </w:rPr>
              <w:tab/>
            </w:r>
            <w:r w:rsidRPr="00D6637C">
              <w:rPr>
                <w:webHidden/>
                <w:color w:val="auto"/>
              </w:rPr>
              <w:fldChar w:fldCharType="begin"/>
            </w:r>
            <w:r w:rsidRPr="00D6637C">
              <w:rPr>
                <w:webHidden/>
                <w:color w:val="auto"/>
              </w:rPr>
              <w:instrText xml:space="preserve"> PAGEREF _Toc190332892 \h </w:instrText>
            </w:r>
            <w:r w:rsidRPr="00D6637C">
              <w:rPr>
                <w:webHidden/>
                <w:color w:val="auto"/>
              </w:rPr>
            </w:r>
            <w:r w:rsidRPr="00D6637C">
              <w:rPr>
                <w:webHidden/>
                <w:color w:val="auto"/>
              </w:rPr>
              <w:fldChar w:fldCharType="separate"/>
            </w:r>
            <w:r w:rsidRPr="00D6637C">
              <w:rPr>
                <w:webHidden/>
                <w:color w:val="auto"/>
              </w:rPr>
              <w:t>iii</w:t>
            </w:r>
            <w:r w:rsidRPr="00D6637C">
              <w:rPr>
                <w:webHidden/>
                <w:color w:val="auto"/>
              </w:rPr>
              <w:fldChar w:fldCharType="end"/>
            </w:r>
          </w:hyperlink>
        </w:p>
        <w:p w14:paraId="7033AD23" w14:textId="0AEDE5BB" w:rsidR="005C396D" w:rsidRPr="00D6637C" w:rsidRDefault="005C396D">
          <w:pPr>
            <w:pStyle w:val="TOC1"/>
            <w:rPr>
              <w:rFonts w:eastAsiaTheme="minorEastAsia"/>
              <w:b w:val="0"/>
              <w:bCs w:val="0"/>
              <w:kern w:val="2"/>
              <w:sz w:val="24"/>
              <w:szCs w:val="24"/>
              <w:lang w:val="en-BE" w:eastAsia="en-BE"/>
              <w14:ligatures w14:val="standardContextual"/>
            </w:rPr>
          </w:pPr>
          <w:hyperlink w:anchor="_Toc190332893" w:history="1">
            <w:r w:rsidRPr="00D6637C">
              <w:rPr>
                <w:rStyle w:val="Hyperlink"/>
                <w:color w:val="auto"/>
              </w:rPr>
              <w:t>Executive Summary</w:t>
            </w:r>
            <w:r w:rsidRPr="00D6637C">
              <w:rPr>
                <w:webHidden/>
              </w:rPr>
              <w:tab/>
            </w:r>
            <w:r w:rsidRPr="00D6637C">
              <w:rPr>
                <w:webHidden/>
              </w:rPr>
              <w:fldChar w:fldCharType="begin"/>
            </w:r>
            <w:r w:rsidRPr="00D6637C">
              <w:rPr>
                <w:webHidden/>
              </w:rPr>
              <w:instrText xml:space="preserve"> PAGEREF _Toc190332893 \h </w:instrText>
            </w:r>
            <w:r w:rsidRPr="00D6637C">
              <w:rPr>
                <w:webHidden/>
              </w:rPr>
            </w:r>
            <w:r w:rsidRPr="00D6637C">
              <w:rPr>
                <w:webHidden/>
              </w:rPr>
              <w:fldChar w:fldCharType="separate"/>
            </w:r>
            <w:r w:rsidRPr="00D6637C">
              <w:rPr>
                <w:webHidden/>
              </w:rPr>
              <w:t>5</w:t>
            </w:r>
            <w:r w:rsidRPr="00D6637C">
              <w:rPr>
                <w:webHidden/>
              </w:rPr>
              <w:fldChar w:fldCharType="end"/>
            </w:r>
          </w:hyperlink>
        </w:p>
        <w:p w14:paraId="09861752" w14:textId="0054B599" w:rsidR="005C396D" w:rsidRPr="00D6637C" w:rsidRDefault="005C396D" w:rsidP="00D6637C">
          <w:pPr>
            <w:pStyle w:val="TOC2"/>
            <w:rPr>
              <w:rFonts w:eastAsiaTheme="minorEastAsia"/>
              <w:color w:val="auto"/>
              <w:kern w:val="2"/>
              <w:sz w:val="24"/>
              <w:szCs w:val="24"/>
              <w:lang w:val="en-BE" w:eastAsia="en-BE"/>
              <w14:ligatures w14:val="standardContextual"/>
            </w:rPr>
          </w:pPr>
          <w:hyperlink w:anchor="_Toc190332894" w:history="1">
            <w:r w:rsidRPr="00D6637C">
              <w:rPr>
                <w:rStyle w:val="Hyperlink"/>
                <w:b w:val="0"/>
                <w:bCs w:val="0"/>
                <w:color w:val="auto"/>
              </w:rPr>
              <w:t>Background and Objectives</w:t>
            </w:r>
            <w:r w:rsidRPr="00D6637C">
              <w:rPr>
                <w:webHidden/>
                <w:color w:val="auto"/>
              </w:rPr>
              <w:tab/>
            </w:r>
            <w:r w:rsidRPr="00D6637C">
              <w:rPr>
                <w:webHidden/>
                <w:color w:val="auto"/>
              </w:rPr>
              <w:fldChar w:fldCharType="begin"/>
            </w:r>
            <w:r w:rsidRPr="00D6637C">
              <w:rPr>
                <w:webHidden/>
                <w:color w:val="auto"/>
              </w:rPr>
              <w:instrText xml:space="preserve"> PAGEREF _Toc190332894 \h </w:instrText>
            </w:r>
            <w:r w:rsidRPr="00D6637C">
              <w:rPr>
                <w:webHidden/>
                <w:color w:val="auto"/>
              </w:rPr>
            </w:r>
            <w:r w:rsidRPr="00D6637C">
              <w:rPr>
                <w:webHidden/>
                <w:color w:val="auto"/>
              </w:rPr>
              <w:fldChar w:fldCharType="separate"/>
            </w:r>
            <w:r w:rsidRPr="00D6637C">
              <w:rPr>
                <w:webHidden/>
                <w:color w:val="auto"/>
              </w:rPr>
              <w:t>6</w:t>
            </w:r>
            <w:r w:rsidRPr="00D6637C">
              <w:rPr>
                <w:webHidden/>
                <w:color w:val="auto"/>
              </w:rPr>
              <w:fldChar w:fldCharType="end"/>
            </w:r>
          </w:hyperlink>
        </w:p>
        <w:p w14:paraId="78396526" w14:textId="70E64B67" w:rsidR="005C396D" w:rsidRPr="00D6637C" w:rsidRDefault="005C396D" w:rsidP="00D6637C">
          <w:pPr>
            <w:pStyle w:val="TOC2"/>
            <w:rPr>
              <w:rFonts w:eastAsiaTheme="minorEastAsia"/>
              <w:color w:val="auto"/>
              <w:kern w:val="2"/>
              <w:sz w:val="24"/>
              <w:szCs w:val="24"/>
              <w:lang w:val="en-BE" w:eastAsia="en-BE"/>
              <w14:ligatures w14:val="standardContextual"/>
            </w:rPr>
          </w:pPr>
          <w:hyperlink w:anchor="_Toc190332895" w:history="1">
            <w:r w:rsidRPr="00D6637C">
              <w:rPr>
                <w:rStyle w:val="Hyperlink"/>
                <w:b w:val="0"/>
                <w:bCs w:val="0"/>
                <w:color w:val="auto"/>
              </w:rPr>
              <w:t>Key challenges</w:t>
            </w:r>
            <w:r w:rsidRPr="00D6637C">
              <w:rPr>
                <w:webHidden/>
                <w:color w:val="auto"/>
              </w:rPr>
              <w:tab/>
            </w:r>
            <w:r w:rsidRPr="00D6637C">
              <w:rPr>
                <w:webHidden/>
                <w:color w:val="auto"/>
              </w:rPr>
              <w:fldChar w:fldCharType="begin"/>
            </w:r>
            <w:r w:rsidRPr="00D6637C">
              <w:rPr>
                <w:webHidden/>
                <w:color w:val="auto"/>
              </w:rPr>
              <w:instrText xml:space="preserve"> PAGEREF _Toc190332895 \h </w:instrText>
            </w:r>
            <w:r w:rsidRPr="00D6637C">
              <w:rPr>
                <w:webHidden/>
                <w:color w:val="auto"/>
              </w:rPr>
            </w:r>
            <w:r w:rsidRPr="00D6637C">
              <w:rPr>
                <w:webHidden/>
                <w:color w:val="auto"/>
              </w:rPr>
              <w:fldChar w:fldCharType="separate"/>
            </w:r>
            <w:r w:rsidRPr="00D6637C">
              <w:rPr>
                <w:webHidden/>
                <w:color w:val="auto"/>
              </w:rPr>
              <w:t>6</w:t>
            </w:r>
            <w:r w:rsidRPr="00D6637C">
              <w:rPr>
                <w:webHidden/>
                <w:color w:val="auto"/>
              </w:rPr>
              <w:fldChar w:fldCharType="end"/>
            </w:r>
          </w:hyperlink>
        </w:p>
        <w:p w14:paraId="4CEA6421" w14:textId="5715E153" w:rsidR="005C396D" w:rsidRPr="00D6637C" w:rsidRDefault="005C396D" w:rsidP="00D6637C">
          <w:pPr>
            <w:pStyle w:val="TOC2"/>
            <w:rPr>
              <w:rFonts w:eastAsiaTheme="minorEastAsia"/>
              <w:color w:val="auto"/>
              <w:kern w:val="2"/>
              <w:sz w:val="24"/>
              <w:szCs w:val="24"/>
              <w:lang w:val="en-BE" w:eastAsia="en-BE"/>
              <w14:ligatures w14:val="standardContextual"/>
            </w:rPr>
          </w:pPr>
          <w:hyperlink w:anchor="_Toc190332896" w:history="1">
            <w:r w:rsidRPr="00D6637C">
              <w:rPr>
                <w:rStyle w:val="Hyperlink"/>
                <w:b w:val="0"/>
                <w:bCs w:val="0"/>
                <w:color w:val="auto"/>
              </w:rPr>
              <w:t>Way</w:t>
            </w:r>
            <w:r w:rsidRPr="00D6637C">
              <w:rPr>
                <w:rStyle w:val="Hyperlink"/>
                <w:b w:val="0"/>
                <w:bCs w:val="0"/>
                <w:color w:val="auto"/>
                <w:lang w:val="en-US"/>
              </w:rPr>
              <w:t>s</w:t>
            </w:r>
            <w:r w:rsidRPr="00D6637C">
              <w:rPr>
                <w:rStyle w:val="Hyperlink"/>
                <w:b w:val="0"/>
                <w:bCs w:val="0"/>
                <w:color w:val="auto"/>
              </w:rPr>
              <w:t xml:space="preserve"> forward</w:t>
            </w:r>
            <w:r w:rsidRPr="00D6637C">
              <w:rPr>
                <w:webHidden/>
                <w:color w:val="auto"/>
              </w:rPr>
              <w:tab/>
            </w:r>
            <w:r w:rsidRPr="00D6637C">
              <w:rPr>
                <w:webHidden/>
                <w:color w:val="auto"/>
              </w:rPr>
              <w:fldChar w:fldCharType="begin"/>
            </w:r>
            <w:r w:rsidRPr="00D6637C">
              <w:rPr>
                <w:webHidden/>
                <w:color w:val="auto"/>
              </w:rPr>
              <w:instrText xml:space="preserve"> PAGEREF _Toc190332896 \h </w:instrText>
            </w:r>
            <w:r w:rsidRPr="00D6637C">
              <w:rPr>
                <w:webHidden/>
                <w:color w:val="auto"/>
              </w:rPr>
            </w:r>
            <w:r w:rsidRPr="00D6637C">
              <w:rPr>
                <w:webHidden/>
                <w:color w:val="auto"/>
              </w:rPr>
              <w:fldChar w:fldCharType="separate"/>
            </w:r>
            <w:r w:rsidRPr="00D6637C">
              <w:rPr>
                <w:webHidden/>
                <w:color w:val="auto"/>
              </w:rPr>
              <w:t>7</w:t>
            </w:r>
            <w:r w:rsidRPr="00D6637C">
              <w:rPr>
                <w:webHidden/>
                <w:color w:val="auto"/>
              </w:rPr>
              <w:fldChar w:fldCharType="end"/>
            </w:r>
          </w:hyperlink>
        </w:p>
        <w:p w14:paraId="5710339B" w14:textId="63B1DD08" w:rsidR="005C396D" w:rsidRPr="00D6637C" w:rsidRDefault="005C396D">
          <w:pPr>
            <w:pStyle w:val="TOC1"/>
            <w:rPr>
              <w:rFonts w:eastAsiaTheme="minorEastAsia"/>
              <w:b w:val="0"/>
              <w:bCs w:val="0"/>
              <w:kern w:val="2"/>
              <w:sz w:val="24"/>
              <w:szCs w:val="24"/>
              <w:lang w:val="en-BE" w:eastAsia="en-BE"/>
              <w14:ligatures w14:val="standardContextual"/>
            </w:rPr>
          </w:pPr>
          <w:hyperlink w:anchor="_Toc190332897" w:history="1">
            <w:r w:rsidRPr="00D6637C">
              <w:rPr>
                <w:rStyle w:val="Hyperlink"/>
                <w:color w:val="auto"/>
              </w:rPr>
              <w:t>Good practices in the use of equality data</w:t>
            </w:r>
            <w:r w:rsidRPr="00D6637C">
              <w:rPr>
                <w:webHidden/>
              </w:rPr>
              <w:tab/>
            </w:r>
            <w:r w:rsidRPr="00D6637C">
              <w:rPr>
                <w:webHidden/>
              </w:rPr>
              <w:fldChar w:fldCharType="begin"/>
            </w:r>
            <w:r w:rsidRPr="00D6637C">
              <w:rPr>
                <w:webHidden/>
              </w:rPr>
              <w:instrText xml:space="preserve"> PAGEREF _Toc190332897 \h </w:instrText>
            </w:r>
            <w:r w:rsidRPr="00D6637C">
              <w:rPr>
                <w:webHidden/>
              </w:rPr>
            </w:r>
            <w:r w:rsidRPr="00D6637C">
              <w:rPr>
                <w:webHidden/>
              </w:rPr>
              <w:fldChar w:fldCharType="separate"/>
            </w:r>
            <w:r w:rsidRPr="00D6637C">
              <w:rPr>
                <w:webHidden/>
              </w:rPr>
              <w:t>10</w:t>
            </w:r>
            <w:r w:rsidRPr="00D6637C">
              <w:rPr>
                <w:webHidden/>
              </w:rPr>
              <w:fldChar w:fldCharType="end"/>
            </w:r>
          </w:hyperlink>
        </w:p>
        <w:p w14:paraId="2398B78C" w14:textId="5DF1B565" w:rsidR="005C396D" w:rsidRPr="00D6637C" w:rsidRDefault="005C396D" w:rsidP="00D6637C">
          <w:pPr>
            <w:pStyle w:val="TOC2"/>
            <w:shd w:val="clear" w:color="auto" w:fill="D3B5E9"/>
            <w:rPr>
              <w:rFonts w:eastAsiaTheme="minorEastAsia"/>
              <w:color w:val="auto"/>
              <w:kern w:val="2"/>
              <w:sz w:val="24"/>
              <w:szCs w:val="24"/>
              <w:lang w:val="en-BE" w:eastAsia="en-BE"/>
              <w14:ligatures w14:val="standardContextual"/>
            </w:rPr>
          </w:pPr>
          <w:hyperlink w:anchor="_Toc190332898" w:history="1">
            <w:r w:rsidRPr="00D6637C">
              <w:rPr>
                <w:rStyle w:val="Hyperlink"/>
                <w:color w:val="auto"/>
              </w:rPr>
              <w:t>I</w:t>
            </w:r>
            <w:r w:rsidRPr="00D6637C">
              <w:rPr>
                <w:rStyle w:val="Hyperlink"/>
                <w:color w:val="auto"/>
                <w:shd w:val="clear" w:color="auto" w:fill="D3B5E9"/>
              </w:rPr>
              <w:t>ndependent assistance to victims</w:t>
            </w:r>
            <w:r w:rsidRPr="00D6637C">
              <w:rPr>
                <w:webHidden/>
                <w:color w:val="auto"/>
              </w:rPr>
              <w:tab/>
            </w:r>
            <w:r w:rsidRPr="00D6637C">
              <w:rPr>
                <w:webHidden/>
                <w:color w:val="auto"/>
              </w:rPr>
              <w:fldChar w:fldCharType="begin"/>
            </w:r>
            <w:r w:rsidRPr="00D6637C">
              <w:rPr>
                <w:webHidden/>
                <w:color w:val="auto"/>
              </w:rPr>
              <w:instrText xml:space="preserve"> PAGEREF _Toc190332898 \h </w:instrText>
            </w:r>
            <w:r w:rsidRPr="00D6637C">
              <w:rPr>
                <w:webHidden/>
                <w:color w:val="auto"/>
              </w:rPr>
            </w:r>
            <w:r w:rsidRPr="00D6637C">
              <w:rPr>
                <w:webHidden/>
                <w:color w:val="auto"/>
              </w:rPr>
              <w:fldChar w:fldCharType="separate"/>
            </w:r>
            <w:r w:rsidRPr="00D6637C">
              <w:rPr>
                <w:webHidden/>
                <w:color w:val="auto"/>
              </w:rPr>
              <w:t>11</w:t>
            </w:r>
            <w:r w:rsidRPr="00D6637C">
              <w:rPr>
                <w:webHidden/>
                <w:color w:val="auto"/>
              </w:rPr>
              <w:fldChar w:fldCharType="end"/>
            </w:r>
          </w:hyperlink>
        </w:p>
        <w:p w14:paraId="34C64177" w14:textId="7430ACA4" w:rsidR="005C396D" w:rsidRPr="00D6637C" w:rsidRDefault="005C396D">
          <w:pPr>
            <w:pStyle w:val="TOC3"/>
            <w:tabs>
              <w:tab w:val="right" w:leader="dot" w:pos="9016"/>
            </w:tabs>
            <w:rPr>
              <w:rFonts w:eastAsiaTheme="minorEastAsia"/>
              <w:noProof/>
              <w:kern w:val="2"/>
              <w:sz w:val="24"/>
              <w:szCs w:val="24"/>
              <w:lang w:val="en-BE" w:eastAsia="en-BE"/>
              <w14:ligatures w14:val="standardContextual"/>
            </w:rPr>
          </w:pPr>
          <w:hyperlink w:anchor="_Toc190332899" w:history="1">
            <w:r w:rsidRPr="00D6637C">
              <w:rPr>
                <w:rStyle w:val="Hyperlink"/>
                <w:noProof/>
                <w:color w:val="auto"/>
              </w:rPr>
              <w:t>Use of equality data in own decision-making: legally non-binding decisions</w:t>
            </w:r>
            <w:r w:rsidRPr="00D6637C">
              <w:rPr>
                <w:noProof/>
                <w:webHidden/>
              </w:rPr>
              <w:tab/>
            </w:r>
            <w:r w:rsidRPr="00D6637C">
              <w:rPr>
                <w:noProof/>
                <w:webHidden/>
              </w:rPr>
              <w:fldChar w:fldCharType="begin"/>
            </w:r>
            <w:r w:rsidRPr="00D6637C">
              <w:rPr>
                <w:noProof/>
                <w:webHidden/>
              </w:rPr>
              <w:instrText xml:space="preserve"> PAGEREF _Toc190332899 \h </w:instrText>
            </w:r>
            <w:r w:rsidRPr="00D6637C">
              <w:rPr>
                <w:noProof/>
                <w:webHidden/>
              </w:rPr>
            </w:r>
            <w:r w:rsidRPr="00D6637C">
              <w:rPr>
                <w:noProof/>
                <w:webHidden/>
              </w:rPr>
              <w:fldChar w:fldCharType="separate"/>
            </w:r>
            <w:r w:rsidRPr="00D6637C">
              <w:rPr>
                <w:noProof/>
                <w:webHidden/>
              </w:rPr>
              <w:t>11</w:t>
            </w:r>
            <w:r w:rsidRPr="00D6637C">
              <w:rPr>
                <w:noProof/>
                <w:webHidden/>
              </w:rPr>
              <w:fldChar w:fldCharType="end"/>
            </w:r>
          </w:hyperlink>
        </w:p>
        <w:p w14:paraId="34CA3046" w14:textId="3A144EF4" w:rsidR="005C396D" w:rsidRPr="00D6637C" w:rsidRDefault="005C396D">
          <w:pPr>
            <w:pStyle w:val="TOC3"/>
            <w:tabs>
              <w:tab w:val="right" w:leader="dot" w:pos="9016"/>
            </w:tabs>
            <w:rPr>
              <w:rFonts w:eastAsiaTheme="minorEastAsia"/>
              <w:noProof/>
              <w:kern w:val="2"/>
              <w:sz w:val="24"/>
              <w:szCs w:val="24"/>
              <w:lang w:val="en-BE" w:eastAsia="en-BE"/>
              <w14:ligatures w14:val="standardContextual"/>
            </w:rPr>
          </w:pPr>
          <w:hyperlink w:anchor="_Toc190332900" w:history="1">
            <w:r w:rsidRPr="00D6637C">
              <w:rPr>
                <w:rStyle w:val="Hyperlink"/>
                <w:noProof/>
                <w:color w:val="auto"/>
              </w:rPr>
              <w:t>Use of equality data in own decision-making: non-legally binding recommendations</w:t>
            </w:r>
            <w:r w:rsidRPr="00D6637C">
              <w:rPr>
                <w:noProof/>
                <w:webHidden/>
              </w:rPr>
              <w:tab/>
            </w:r>
            <w:r w:rsidRPr="00D6637C">
              <w:rPr>
                <w:noProof/>
                <w:webHidden/>
              </w:rPr>
              <w:fldChar w:fldCharType="begin"/>
            </w:r>
            <w:r w:rsidRPr="00D6637C">
              <w:rPr>
                <w:noProof/>
                <w:webHidden/>
              </w:rPr>
              <w:instrText xml:space="preserve"> PAGEREF _Toc190332900 \h </w:instrText>
            </w:r>
            <w:r w:rsidRPr="00D6637C">
              <w:rPr>
                <w:noProof/>
                <w:webHidden/>
              </w:rPr>
            </w:r>
            <w:r w:rsidRPr="00D6637C">
              <w:rPr>
                <w:noProof/>
                <w:webHidden/>
              </w:rPr>
              <w:fldChar w:fldCharType="separate"/>
            </w:r>
            <w:r w:rsidRPr="00D6637C">
              <w:rPr>
                <w:noProof/>
                <w:webHidden/>
              </w:rPr>
              <w:t>12</w:t>
            </w:r>
            <w:r w:rsidRPr="00D6637C">
              <w:rPr>
                <w:noProof/>
                <w:webHidden/>
              </w:rPr>
              <w:fldChar w:fldCharType="end"/>
            </w:r>
          </w:hyperlink>
        </w:p>
        <w:p w14:paraId="4BAAB031" w14:textId="0A7E265B" w:rsidR="005C396D" w:rsidRPr="00D6637C" w:rsidRDefault="005C396D">
          <w:pPr>
            <w:pStyle w:val="TOC3"/>
            <w:tabs>
              <w:tab w:val="right" w:leader="dot" w:pos="9016"/>
            </w:tabs>
            <w:rPr>
              <w:rFonts w:eastAsiaTheme="minorEastAsia"/>
              <w:noProof/>
              <w:kern w:val="2"/>
              <w:sz w:val="24"/>
              <w:szCs w:val="24"/>
              <w:lang w:val="en-BE" w:eastAsia="en-BE"/>
              <w14:ligatures w14:val="standardContextual"/>
            </w:rPr>
          </w:pPr>
          <w:hyperlink w:anchor="_Toc190332901" w:history="1">
            <w:r w:rsidRPr="00D6637C">
              <w:rPr>
                <w:rStyle w:val="Hyperlink"/>
                <w:noProof/>
                <w:color w:val="auto"/>
              </w:rPr>
              <w:t>Participating in court proceedings</w:t>
            </w:r>
            <w:r w:rsidRPr="00D6637C">
              <w:rPr>
                <w:noProof/>
                <w:webHidden/>
              </w:rPr>
              <w:tab/>
            </w:r>
            <w:r w:rsidRPr="00D6637C">
              <w:rPr>
                <w:noProof/>
                <w:webHidden/>
              </w:rPr>
              <w:fldChar w:fldCharType="begin"/>
            </w:r>
            <w:r w:rsidRPr="00D6637C">
              <w:rPr>
                <w:noProof/>
                <w:webHidden/>
              </w:rPr>
              <w:instrText xml:space="preserve"> PAGEREF _Toc190332901 \h </w:instrText>
            </w:r>
            <w:r w:rsidRPr="00D6637C">
              <w:rPr>
                <w:noProof/>
                <w:webHidden/>
              </w:rPr>
            </w:r>
            <w:r w:rsidRPr="00D6637C">
              <w:rPr>
                <w:noProof/>
                <w:webHidden/>
              </w:rPr>
              <w:fldChar w:fldCharType="separate"/>
            </w:r>
            <w:r w:rsidRPr="00D6637C">
              <w:rPr>
                <w:noProof/>
                <w:webHidden/>
              </w:rPr>
              <w:t>14</w:t>
            </w:r>
            <w:r w:rsidRPr="00D6637C">
              <w:rPr>
                <w:noProof/>
                <w:webHidden/>
              </w:rPr>
              <w:fldChar w:fldCharType="end"/>
            </w:r>
          </w:hyperlink>
        </w:p>
        <w:p w14:paraId="6E361B91" w14:textId="5AB15DED" w:rsidR="005C396D" w:rsidRPr="00D6637C" w:rsidRDefault="005C396D">
          <w:pPr>
            <w:pStyle w:val="TOC3"/>
            <w:tabs>
              <w:tab w:val="right" w:leader="dot" w:pos="9016"/>
            </w:tabs>
            <w:rPr>
              <w:rFonts w:eastAsiaTheme="minorEastAsia"/>
              <w:noProof/>
              <w:kern w:val="2"/>
              <w:sz w:val="24"/>
              <w:szCs w:val="24"/>
              <w:lang w:val="en-BE" w:eastAsia="en-BE"/>
              <w14:ligatures w14:val="standardContextual"/>
            </w:rPr>
          </w:pPr>
          <w:hyperlink w:anchor="_Toc190332902" w:history="1">
            <w:r w:rsidRPr="00D6637C">
              <w:rPr>
                <w:rStyle w:val="Hyperlink"/>
                <w:noProof/>
                <w:color w:val="auto"/>
              </w:rPr>
              <w:t>Strategic litigation</w:t>
            </w:r>
            <w:r w:rsidRPr="00D6637C">
              <w:rPr>
                <w:noProof/>
                <w:webHidden/>
              </w:rPr>
              <w:tab/>
            </w:r>
            <w:r w:rsidRPr="00D6637C">
              <w:rPr>
                <w:noProof/>
                <w:webHidden/>
              </w:rPr>
              <w:fldChar w:fldCharType="begin"/>
            </w:r>
            <w:r w:rsidRPr="00D6637C">
              <w:rPr>
                <w:noProof/>
                <w:webHidden/>
              </w:rPr>
              <w:instrText xml:space="preserve"> PAGEREF _Toc190332902 \h </w:instrText>
            </w:r>
            <w:r w:rsidRPr="00D6637C">
              <w:rPr>
                <w:noProof/>
                <w:webHidden/>
              </w:rPr>
            </w:r>
            <w:r w:rsidRPr="00D6637C">
              <w:rPr>
                <w:noProof/>
                <w:webHidden/>
              </w:rPr>
              <w:fldChar w:fldCharType="separate"/>
            </w:r>
            <w:r w:rsidRPr="00D6637C">
              <w:rPr>
                <w:noProof/>
                <w:webHidden/>
              </w:rPr>
              <w:t>16</w:t>
            </w:r>
            <w:r w:rsidRPr="00D6637C">
              <w:rPr>
                <w:noProof/>
                <w:webHidden/>
              </w:rPr>
              <w:fldChar w:fldCharType="end"/>
            </w:r>
          </w:hyperlink>
        </w:p>
        <w:p w14:paraId="2CCC8CBA" w14:textId="445B20B2" w:rsidR="005C396D" w:rsidRPr="00D6637C" w:rsidRDefault="005C396D" w:rsidP="0091582B">
          <w:pPr>
            <w:pStyle w:val="TOC2"/>
            <w:shd w:val="clear" w:color="auto" w:fill="B3DEFF"/>
            <w:rPr>
              <w:rFonts w:eastAsiaTheme="minorEastAsia"/>
              <w:color w:val="auto"/>
              <w:kern w:val="2"/>
              <w:sz w:val="24"/>
              <w:szCs w:val="24"/>
              <w:lang w:val="en-BE" w:eastAsia="en-BE"/>
              <w14:ligatures w14:val="standardContextual"/>
            </w:rPr>
          </w:pPr>
          <w:hyperlink w:anchor="_Toc190332903" w:history="1">
            <w:r w:rsidRPr="00D6637C">
              <w:rPr>
                <w:rStyle w:val="Hyperlink"/>
                <w:color w:val="auto"/>
              </w:rPr>
              <w:t>S</w:t>
            </w:r>
            <w:r w:rsidRPr="0091582B">
              <w:rPr>
                <w:rStyle w:val="Hyperlink"/>
                <w:color w:val="auto"/>
                <w:shd w:val="clear" w:color="auto" w:fill="B3DEFF"/>
              </w:rPr>
              <w:t>urveys and research—equality bodies as producers of equality data</w:t>
            </w:r>
            <w:r w:rsidRPr="00D6637C">
              <w:rPr>
                <w:webHidden/>
                <w:color w:val="auto"/>
              </w:rPr>
              <w:tab/>
            </w:r>
            <w:r w:rsidRPr="00D6637C">
              <w:rPr>
                <w:webHidden/>
                <w:color w:val="auto"/>
              </w:rPr>
              <w:fldChar w:fldCharType="begin"/>
            </w:r>
            <w:r w:rsidRPr="00D6637C">
              <w:rPr>
                <w:webHidden/>
                <w:color w:val="auto"/>
              </w:rPr>
              <w:instrText xml:space="preserve"> PAGEREF _Toc190332903 \h </w:instrText>
            </w:r>
            <w:r w:rsidRPr="00D6637C">
              <w:rPr>
                <w:webHidden/>
                <w:color w:val="auto"/>
              </w:rPr>
            </w:r>
            <w:r w:rsidRPr="00D6637C">
              <w:rPr>
                <w:webHidden/>
                <w:color w:val="auto"/>
              </w:rPr>
              <w:fldChar w:fldCharType="separate"/>
            </w:r>
            <w:r w:rsidRPr="00D6637C">
              <w:rPr>
                <w:webHidden/>
                <w:color w:val="auto"/>
              </w:rPr>
              <w:t>17</w:t>
            </w:r>
            <w:r w:rsidRPr="00D6637C">
              <w:rPr>
                <w:webHidden/>
                <w:color w:val="auto"/>
              </w:rPr>
              <w:fldChar w:fldCharType="end"/>
            </w:r>
          </w:hyperlink>
        </w:p>
        <w:p w14:paraId="3E3F8992" w14:textId="4EFA6F12" w:rsidR="005C396D" w:rsidRPr="00D6637C" w:rsidRDefault="005C396D" w:rsidP="0091582B">
          <w:pPr>
            <w:pStyle w:val="TOC2"/>
            <w:shd w:val="clear" w:color="auto" w:fill="BDF9C7"/>
            <w:rPr>
              <w:rFonts w:eastAsiaTheme="minorEastAsia"/>
              <w:color w:val="auto"/>
              <w:kern w:val="2"/>
              <w:sz w:val="24"/>
              <w:szCs w:val="24"/>
              <w:lang w:val="en-BE" w:eastAsia="en-BE"/>
              <w14:ligatures w14:val="standardContextual"/>
            </w:rPr>
          </w:pPr>
          <w:hyperlink w:anchor="_Toc190332904" w:history="1">
            <w:r w:rsidRPr="00D6637C">
              <w:rPr>
                <w:rStyle w:val="Hyperlink"/>
                <w:color w:val="auto"/>
              </w:rPr>
              <w:t>R</w:t>
            </w:r>
            <w:r w:rsidRPr="0091582B">
              <w:rPr>
                <w:rStyle w:val="Hyperlink"/>
                <w:color w:val="auto"/>
                <w:shd w:val="clear" w:color="auto" w:fill="BDF9C7"/>
              </w:rPr>
              <w:t>eports – Equality Bodies as users of equality data</w:t>
            </w:r>
            <w:r w:rsidRPr="00D6637C">
              <w:rPr>
                <w:webHidden/>
                <w:color w:val="auto"/>
              </w:rPr>
              <w:tab/>
            </w:r>
            <w:r w:rsidRPr="00D6637C">
              <w:rPr>
                <w:webHidden/>
                <w:color w:val="auto"/>
              </w:rPr>
              <w:fldChar w:fldCharType="begin"/>
            </w:r>
            <w:r w:rsidRPr="00D6637C">
              <w:rPr>
                <w:webHidden/>
                <w:color w:val="auto"/>
              </w:rPr>
              <w:instrText xml:space="preserve"> PAGEREF _Toc190332904 \h </w:instrText>
            </w:r>
            <w:r w:rsidRPr="00D6637C">
              <w:rPr>
                <w:webHidden/>
                <w:color w:val="auto"/>
              </w:rPr>
            </w:r>
            <w:r w:rsidRPr="00D6637C">
              <w:rPr>
                <w:webHidden/>
                <w:color w:val="auto"/>
              </w:rPr>
              <w:fldChar w:fldCharType="separate"/>
            </w:r>
            <w:r w:rsidRPr="00D6637C">
              <w:rPr>
                <w:webHidden/>
                <w:color w:val="auto"/>
              </w:rPr>
              <w:t>19</w:t>
            </w:r>
            <w:r w:rsidRPr="00D6637C">
              <w:rPr>
                <w:webHidden/>
                <w:color w:val="auto"/>
              </w:rPr>
              <w:fldChar w:fldCharType="end"/>
            </w:r>
          </w:hyperlink>
        </w:p>
        <w:p w14:paraId="268D8340" w14:textId="0EE26909" w:rsidR="005C396D" w:rsidRPr="00D6637C" w:rsidRDefault="005C396D" w:rsidP="002F6306">
          <w:pPr>
            <w:pStyle w:val="TOC2"/>
            <w:shd w:val="clear" w:color="auto" w:fill="FAD8A0"/>
            <w:rPr>
              <w:rFonts w:eastAsiaTheme="minorEastAsia"/>
              <w:color w:val="auto"/>
              <w:kern w:val="2"/>
              <w:sz w:val="24"/>
              <w:szCs w:val="24"/>
              <w:lang w:val="en-BE" w:eastAsia="en-BE"/>
              <w14:ligatures w14:val="standardContextual"/>
            </w:rPr>
          </w:pPr>
          <w:hyperlink w:anchor="_Toc190332905" w:history="1">
            <w:r w:rsidRPr="00D6637C">
              <w:rPr>
                <w:rStyle w:val="Hyperlink"/>
                <w:color w:val="auto"/>
              </w:rPr>
              <w:t>R</w:t>
            </w:r>
            <w:r w:rsidRPr="0091582B">
              <w:rPr>
                <w:rStyle w:val="Hyperlink"/>
                <w:color w:val="auto"/>
                <w:shd w:val="clear" w:color="auto" w:fill="FAD8A0"/>
              </w:rPr>
              <w:t>ecommendations (policy and legal advice)</w:t>
            </w:r>
            <w:r w:rsidRPr="00D6637C">
              <w:rPr>
                <w:webHidden/>
                <w:color w:val="auto"/>
              </w:rPr>
              <w:tab/>
            </w:r>
            <w:r w:rsidRPr="00D6637C">
              <w:rPr>
                <w:webHidden/>
                <w:color w:val="auto"/>
              </w:rPr>
              <w:fldChar w:fldCharType="begin"/>
            </w:r>
            <w:r w:rsidRPr="00D6637C">
              <w:rPr>
                <w:webHidden/>
                <w:color w:val="auto"/>
              </w:rPr>
              <w:instrText xml:space="preserve"> PAGEREF _Toc190332905 \h </w:instrText>
            </w:r>
            <w:r w:rsidRPr="00D6637C">
              <w:rPr>
                <w:webHidden/>
                <w:color w:val="auto"/>
              </w:rPr>
            </w:r>
            <w:r w:rsidRPr="00D6637C">
              <w:rPr>
                <w:webHidden/>
                <w:color w:val="auto"/>
              </w:rPr>
              <w:fldChar w:fldCharType="separate"/>
            </w:r>
            <w:r w:rsidRPr="00D6637C">
              <w:rPr>
                <w:webHidden/>
                <w:color w:val="auto"/>
              </w:rPr>
              <w:t>21</w:t>
            </w:r>
            <w:r w:rsidRPr="00D6637C">
              <w:rPr>
                <w:webHidden/>
                <w:color w:val="auto"/>
              </w:rPr>
              <w:fldChar w:fldCharType="end"/>
            </w:r>
          </w:hyperlink>
        </w:p>
        <w:p w14:paraId="1DF10698" w14:textId="0D94AF20" w:rsidR="005C396D" w:rsidRPr="00D6637C" w:rsidRDefault="005C396D" w:rsidP="003668B2">
          <w:pPr>
            <w:pStyle w:val="TOC2"/>
            <w:shd w:val="clear" w:color="auto" w:fill="FEC6C6"/>
            <w:rPr>
              <w:rFonts w:eastAsiaTheme="minorEastAsia"/>
              <w:color w:val="auto"/>
              <w:kern w:val="2"/>
              <w:sz w:val="24"/>
              <w:szCs w:val="24"/>
              <w:lang w:val="en-BE" w:eastAsia="en-BE"/>
              <w14:ligatures w14:val="standardContextual"/>
            </w:rPr>
          </w:pPr>
          <w:hyperlink w:anchor="_Toc190332906" w:history="1">
            <w:r w:rsidRPr="00D6637C">
              <w:rPr>
                <w:rStyle w:val="Hyperlink"/>
                <w:color w:val="auto"/>
              </w:rPr>
              <w:t>P</w:t>
            </w:r>
            <w:r w:rsidRPr="002F6306">
              <w:rPr>
                <w:rStyle w:val="Hyperlink"/>
                <w:color w:val="auto"/>
                <w:shd w:val="clear" w:color="auto" w:fill="FEC6C6"/>
              </w:rPr>
              <w:t>revention and promotion of equality</w:t>
            </w:r>
            <w:r w:rsidRPr="00D6637C">
              <w:rPr>
                <w:webHidden/>
                <w:color w:val="auto"/>
              </w:rPr>
              <w:tab/>
            </w:r>
            <w:r w:rsidRPr="00D6637C">
              <w:rPr>
                <w:webHidden/>
                <w:color w:val="auto"/>
              </w:rPr>
              <w:fldChar w:fldCharType="begin"/>
            </w:r>
            <w:r w:rsidRPr="00D6637C">
              <w:rPr>
                <w:webHidden/>
                <w:color w:val="auto"/>
              </w:rPr>
              <w:instrText xml:space="preserve"> PAGEREF _Toc190332906 \h </w:instrText>
            </w:r>
            <w:r w:rsidRPr="00D6637C">
              <w:rPr>
                <w:webHidden/>
                <w:color w:val="auto"/>
              </w:rPr>
            </w:r>
            <w:r w:rsidRPr="00D6637C">
              <w:rPr>
                <w:webHidden/>
                <w:color w:val="auto"/>
              </w:rPr>
              <w:fldChar w:fldCharType="separate"/>
            </w:r>
            <w:r w:rsidRPr="00D6637C">
              <w:rPr>
                <w:webHidden/>
                <w:color w:val="auto"/>
              </w:rPr>
              <w:t>24</w:t>
            </w:r>
            <w:r w:rsidRPr="00D6637C">
              <w:rPr>
                <w:webHidden/>
                <w:color w:val="auto"/>
              </w:rPr>
              <w:fldChar w:fldCharType="end"/>
            </w:r>
          </w:hyperlink>
        </w:p>
        <w:p w14:paraId="140FF0A5" w14:textId="65CD9724" w:rsidR="00875860" w:rsidRDefault="00875860">
          <w:r>
            <w:rPr>
              <w:b/>
              <w:bCs/>
              <w:noProof/>
            </w:rPr>
            <w:fldChar w:fldCharType="end"/>
          </w:r>
        </w:p>
      </w:sdtContent>
    </w:sdt>
    <w:p w14:paraId="2905FFD9" w14:textId="77777777" w:rsidR="00894494" w:rsidRDefault="00894494" w:rsidP="00CE1825">
      <w:pPr>
        <w:sectPr w:rsidR="00894494" w:rsidSect="00B1777F">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pgNumType w:fmt="lowerRoman"/>
          <w:cols w:space="708"/>
          <w:docGrid w:linePitch="360"/>
        </w:sectPr>
      </w:pPr>
    </w:p>
    <w:p w14:paraId="0DE1A0E2" w14:textId="19FCE28D" w:rsidR="00894FBA" w:rsidRPr="00894FBA" w:rsidRDefault="00EC4ED1" w:rsidP="00CE1825">
      <w:pPr>
        <w:tabs>
          <w:tab w:val="left" w:pos="3840"/>
        </w:tabs>
        <w:spacing w:before="100" w:beforeAutospacing="1" w:after="100" w:afterAutospacing="1" w:line="240" w:lineRule="auto"/>
        <w:ind w:left="113"/>
        <w:rPr>
          <w:rFonts w:ascii="Times New Roman" w:eastAsia="Times New Roman" w:hAnsi="Times New Roman" w:cs="Times New Roman"/>
          <w:sz w:val="24"/>
          <w:szCs w:val="24"/>
          <w:lang w:val="bg-BG" w:eastAsia="bg-BG"/>
        </w:rPr>
      </w:pPr>
      <w:bookmarkStart w:id="25" w:name="_Toc159593522"/>
      <w:bookmarkStart w:id="26" w:name="_Hlk164678125"/>
      <w:r w:rsidRPr="00894FBA">
        <w:rPr>
          <w:rFonts w:ascii="Times New Roman" w:eastAsia="Times New Roman" w:hAnsi="Times New Roman" w:cs="Times New Roman"/>
          <w:noProof/>
          <w:sz w:val="24"/>
          <w:szCs w:val="24"/>
          <w:lang w:val="bg-BG" w:eastAsia="bg-BG"/>
        </w:rPr>
        <w:lastRenderedPageBreak/>
        <w:drawing>
          <wp:anchor distT="0" distB="0" distL="114300" distR="114300" simplePos="0" relativeHeight="251658243" behindDoc="1" locked="0" layoutInCell="1" allowOverlap="1" wp14:anchorId="4EB0F96A" wp14:editId="007A07DC">
            <wp:simplePos x="0" y="0"/>
            <wp:positionH relativeFrom="column">
              <wp:posOffset>-2060812</wp:posOffset>
            </wp:positionH>
            <wp:positionV relativeFrom="page">
              <wp:posOffset>-232012</wp:posOffset>
            </wp:positionV>
            <wp:extent cx="9558188" cy="6289912"/>
            <wp:effectExtent l="0" t="0" r="5080" b="0"/>
            <wp:wrapNone/>
            <wp:docPr id="4907728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7287" name="Picture 3">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9558188" cy="62899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4FBA" w:rsidRPr="00894FBA">
        <w:rPr>
          <w:rFonts w:ascii="Times New Roman" w:eastAsia="Times New Roman" w:hAnsi="Times New Roman" w:cs="Times New Roman"/>
          <w:sz w:val="24"/>
          <w:szCs w:val="24"/>
          <w:lang w:val="bg-BG" w:eastAsia="bg-BG"/>
        </w:rPr>
        <w:tab/>
      </w:r>
    </w:p>
    <w:p w14:paraId="23E5B7A6" w14:textId="77777777" w:rsidR="00894FBA" w:rsidRPr="00894FBA" w:rsidRDefault="00894FBA" w:rsidP="00CE1825">
      <w:pPr>
        <w:spacing w:before="100" w:beforeAutospacing="1" w:after="100" w:afterAutospacing="1" w:line="240" w:lineRule="auto"/>
        <w:ind w:left="113"/>
        <w:rPr>
          <w:rFonts w:ascii="Times New Roman" w:eastAsia="Times New Roman" w:hAnsi="Times New Roman" w:cs="Times New Roman"/>
          <w:sz w:val="24"/>
          <w:szCs w:val="24"/>
          <w:lang w:val="bg-BG" w:eastAsia="bg-BG"/>
        </w:rPr>
      </w:pPr>
    </w:p>
    <w:p w14:paraId="64F461A9" w14:textId="291FEF52" w:rsidR="001222F2" w:rsidRPr="0045487F" w:rsidRDefault="00894FBA" w:rsidP="00CE1825">
      <w:pPr>
        <w:pStyle w:val="Heading1"/>
        <w:spacing w:before="10000"/>
        <w:jc w:val="center"/>
        <w:rPr>
          <w:sz w:val="72"/>
          <w:szCs w:val="72"/>
        </w:rPr>
        <w:sectPr w:rsidR="001222F2" w:rsidRPr="0045487F" w:rsidSect="0027131A">
          <w:footerReference w:type="default" r:id="rId26"/>
          <w:pgSz w:w="11906" w:h="16838"/>
          <w:pgMar w:top="1440" w:right="1440" w:bottom="1440" w:left="1440" w:header="708" w:footer="708" w:gutter="0"/>
          <w:cols w:space="708"/>
          <w:docGrid w:linePitch="360"/>
        </w:sectPr>
      </w:pPr>
      <w:bookmarkStart w:id="27" w:name="_Toc164944367"/>
      <w:bookmarkStart w:id="28" w:name="_Toc165042381"/>
      <w:bookmarkStart w:id="29" w:name="_Toc190332893"/>
      <w:r w:rsidRPr="0045487F">
        <w:rPr>
          <w:rFonts w:ascii="Calibri" w:hAnsi="Calibri"/>
          <w:noProof/>
          <w:sz w:val="72"/>
          <w:szCs w:val="72"/>
        </w:rPr>
        <w:drawing>
          <wp:anchor distT="0" distB="0" distL="114300" distR="114300" simplePos="0" relativeHeight="251658242" behindDoc="0" locked="0" layoutInCell="1" allowOverlap="1" wp14:anchorId="70FE6C35" wp14:editId="0CF74A0C">
            <wp:simplePos x="0" y="0"/>
            <wp:positionH relativeFrom="margin">
              <wp:posOffset>-1485900</wp:posOffset>
            </wp:positionH>
            <wp:positionV relativeFrom="paragraph">
              <wp:posOffset>3529965</wp:posOffset>
            </wp:positionV>
            <wp:extent cx="15706725" cy="1943100"/>
            <wp:effectExtent l="0" t="0" r="9525" b="0"/>
            <wp:wrapNone/>
            <wp:docPr id="339796824" name="Picture 3397968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0672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5"/>
      <w:bookmarkEnd w:id="27"/>
      <w:bookmarkEnd w:id="28"/>
      <w:r w:rsidR="003D7C1A" w:rsidRPr="0045487F">
        <w:rPr>
          <w:sz w:val="72"/>
          <w:szCs w:val="72"/>
        </w:rPr>
        <w:t>Executive Summary</w:t>
      </w:r>
      <w:bookmarkEnd w:id="29"/>
    </w:p>
    <w:p w14:paraId="4F413206" w14:textId="247CDAA9" w:rsidR="002E2197" w:rsidRPr="00562111" w:rsidRDefault="002E2197" w:rsidP="00A460C5">
      <w:pPr>
        <w:pStyle w:val="Heading2"/>
      </w:pPr>
      <w:bookmarkStart w:id="30" w:name="_Toc190332894"/>
      <w:bookmarkEnd w:id="26"/>
      <w:r w:rsidRPr="00562111">
        <w:lastRenderedPageBreak/>
        <w:t xml:space="preserve">Background and </w:t>
      </w:r>
      <w:r w:rsidR="00115562" w:rsidRPr="00562111">
        <w:t>Objectives</w:t>
      </w:r>
      <w:bookmarkEnd w:id="30"/>
    </w:p>
    <w:p w14:paraId="403B0599" w14:textId="50716146" w:rsidR="009E1849" w:rsidRDefault="00CC5C3E" w:rsidP="00CE1825">
      <w:pPr>
        <w:spacing w:after="120" w:line="360" w:lineRule="auto"/>
      </w:pPr>
      <w:r w:rsidRPr="009B3B91">
        <w:t xml:space="preserve">This </w:t>
      </w:r>
      <w:r w:rsidR="00AB1BAF" w:rsidRPr="00AB1BAF">
        <w:t>Good Practice Compendium of Equality Data Uses in Discrimination Cases</w:t>
      </w:r>
      <w:r w:rsidR="00746CF7">
        <w:t xml:space="preserve"> </w:t>
      </w:r>
      <w:r w:rsidRPr="009B3B91">
        <w:t>has been developed by the members of the</w:t>
      </w:r>
      <w:r w:rsidR="00746CF7">
        <w:t xml:space="preserve"> Equinet</w:t>
      </w:r>
      <w:r w:rsidRPr="009B3B91">
        <w:t xml:space="preserve"> Working Group on Research and Data Collection</w:t>
      </w:r>
      <w:r w:rsidR="003214A0">
        <w:t xml:space="preserve"> based o</w:t>
      </w:r>
      <w:r w:rsidR="00E029FE">
        <w:t xml:space="preserve">n </w:t>
      </w:r>
      <w:r w:rsidR="00212A20">
        <w:t xml:space="preserve">the </w:t>
      </w:r>
      <w:r w:rsidR="00E029FE">
        <w:t>results of a survey conducted in 2022 and additional submissions from 2023</w:t>
      </w:r>
      <w:r w:rsidRPr="009B3B91">
        <w:t xml:space="preserve">. There exists no dedicated </w:t>
      </w:r>
      <w:r w:rsidR="00E564B7">
        <w:t>mapping</w:t>
      </w:r>
      <w:r w:rsidRPr="009B3B91">
        <w:t xml:space="preserve"> of equality data use</w:t>
      </w:r>
      <w:r w:rsidR="003C217A">
        <w:t xml:space="preserve">s </w:t>
      </w:r>
      <w:r w:rsidRPr="009B3B91">
        <w:t xml:space="preserve">by </w:t>
      </w:r>
      <w:r w:rsidR="00B92592">
        <w:t>E</w:t>
      </w:r>
      <w:r w:rsidRPr="009B3B91">
        <w:t xml:space="preserve">quality </w:t>
      </w:r>
      <w:r w:rsidR="00B92592">
        <w:t>B</w:t>
      </w:r>
      <w:r w:rsidRPr="009B3B91">
        <w:t>odies</w:t>
      </w:r>
      <w:r w:rsidR="00716701">
        <w:t xml:space="preserve"> (EBs)</w:t>
      </w:r>
      <w:r w:rsidR="003C217A">
        <w:t>,</w:t>
      </w:r>
      <w:r w:rsidRPr="009B3B91">
        <w:t xml:space="preserve"> and the </w:t>
      </w:r>
      <w:r w:rsidR="00F05484">
        <w:t xml:space="preserve">present </w:t>
      </w:r>
      <w:r w:rsidRPr="009B3B91">
        <w:t xml:space="preserve">Compendium is envisioned to fill this gap. </w:t>
      </w:r>
    </w:p>
    <w:p w14:paraId="6D1C0BD1" w14:textId="6CA63B3A" w:rsidR="00CC5C3E" w:rsidRDefault="00982BB4" w:rsidP="00CE1825">
      <w:pPr>
        <w:spacing w:after="120" w:line="360" w:lineRule="auto"/>
      </w:pPr>
      <w:r>
        <w:t>The objective of the Compendium is to provide an overview of the</w:t>
      </w:r>
      <w:r w:rsidR="006D3427">
        <w:t xml:space="preserve"> </w:t>
      </w:r>
      <w:r w:rsidR="00E6397E">
        <w:t>var</w:t>
      </w:r>
      <w:r w:rsidR="003A4366">
        <w:t xml:space="preserve">ious </w:t>
      </w:r>
      <w:r w:rsidR="006D3427">
        <w:t xml:space="preserve">ways </w:t>
      </w:r>
      <w:r w:rsidR="0071345F">
        <w:t xml:space="preserve">in which Equality Bodies use </w:t>
      </w:r>
      <w:r w:rsidR="00677DFC">
        <w:t>equality data in the different functions of their mandat</w:t>
      </w:r>
      <w:r w:rsidR="004D66FE">
        <w:t xml:space="preserve">es. </w:t>
      </w:r>
      <w:r w:rsidR="005307FD">
        <w:t xml:space="preserve">In this way, </w:t>
      </w:r>
      <w:r w:rsidR="005C3A57">
        <w:t xml:space="preserve">the Compendium also </w:t>
      </w:r>
      <w:r w:rsidR="005307FD">
        <w:t xml:space="preserve">provides </w:t>
      </w:r>
      <w:r w:rsidR="00615C29">
        <w:t>wider conte</w:t>
      </w:r>
      <w:r w:rsidR="00732CF3">
        <w:t xml:space="preserve">xt </w:t>
      </w:r>
      <w:r w:rsidR="007A75CC">
        <w:t>f</w:t>
      </w:r>
      <w:r w:rsidR="007D24D9">
        <w:t xml:space="preserve">or </w:t>
      </w:r>
      <w:r w:rsidR="00732CF3" w:rsidRPr="00B6597E">
        <w:t xml:space="preserve">Equinet’s </w:t>
      </w:r>
      <w:r w:rsidR="000676CD" w:rsidRPr="00B6597E">
        <w:t>more</w:t>
      </w:r>
      <w:r w:rsidR="000676CD">
        <w:t xml:space="preserve"> topical </w:t>
      </w:r>
      <w:r w:rsidR="00732CF3">
        <w:t>work on different types or uses of equality data</w:t>
      </w:r>
      <w:r w:rsidR="00716701">
        <w:t xml:space="preserve"> by EBs</w:t>
      </w:r>
      <w:r w:rsidR="00914998">
        <w:t>.</w:t>
      </w:r>
      <w:r w:rsidR="00D65B03">
        <w:t xml:space="preserve"> </w:t>
      </w:r>
      <w:r w:rsidR="004A00DA">
        <w:t>Notably</w:t>
      </w:r>
      <w:r w:rsidR="00231EFC">
        <w:t>, this work</w:t>
      </w:r>
      <w:r w:rsidR="005475A5">
        <w:t xml:space="preserve"> includes </w:t>
      </w:r>
      <w:r w:rsidR="002421DA">
        <w:t xml:space="preserve">Equinet’s </w:t>
      </w:r>
      <w:r w:rsidR="005951DC">
        <w:t>R</w:t>
      </w:r>
      <w:r w:rsidR="002421DA">
        <w:t xml:space="preserve">eport on </w:t>
      </w:r>
      <w:r w:rsidR="005951DC">
        <w:t>C</w:t>
      </w:r>
      <w:r w:rsidR="002421DA">
        <w:t xml:space="preserve">omplaints </w:t>
      </w:r>
      <w:r w:rsidR="005951DC">
        <w:t>D</w:t>
      </w:r>
      <w:r w:rsidR="0009602E">
        <w:t xml:space="preserve">ata, </w:t>
      </w:r>
      <w:r w:rsidR="00E0558B">
        <w:t>Minimal Guidelines on Improving Complaints Data Collection</w:t>
      </w:r>
      <w:r w:rsidR="007E324F">
        <w:t xml:space="preserve"> by Equality Bodies</w:t>
      </w:r>
      <w:r w:rsidR="00DA4D40">
        <w:t>, which</w:t>
      </w:r>
      <w:r w:rsidR="004A795D">
        <w:t xml:space="preserve"> aim to </w:t>
      </w:r>
      <w:r w:rsidR="0085172F">
        <w:t>improv</w:t>
      </w:r>
      <w:r w:rsidR="0009602E">
        <w:t>e</w:t>
      </w:r>
      <w:r w:rsidR="0085172F">
        <w:t xml:space="preserve"> </w:t>
      </w:r>
      <w:r w:rsidR="00DA4D40">
        <w:t>cross-country comparability of complaints data gathered by EBs</w:t>
      </w:r>
      <w:r w:rsidR="00916359">
        <w:t xml:space="preserve">, and a </w:t>
      </w:r>
      <w:r w:rsidR="00A11C06">
        <w:t xml:space="preserve">forthcoming </w:t>
      </w:r>
      <w:r w:rsidR="00916359">
        <w:t>H</w:t>
      </w:r>
      <w:r w:rsidR="00A11C06">
        <w:t>andbook on</w:t>
      </w:r>
      <w:r w:rsidR="00916359">
        <w:t xml:space="preserve"> E</w:t>
      </w:r>
      <w:r w:rsidR="00A11C06">
        <w:t xml:space="preserve">quality </w:t>
      </w:r>
      <w:r w:rsidR="00916359">
        <w:t>D</w:t>
      </w:r>
      <w:r w:rsidR="00A11C06">
        <w:t>ata</w:t>
      </w:r>
      <w:r w:rsidR="00916359">
        <w:t xml:space="preserve"> Uses</w:t>
      </w:r>
      <w:r w:rsidR="00B92592">
        <w:t xml:space="preserve"> in the </w:t>
      </w:r>
      <w:r w:rsidR="00916359">
        <w:t>L</w:t>
      </w:r>
      <w:r w:rsidR="00B92592">
        <w:t xml:space="preserve">egal </w:t>
      </w:r>
      <w:r w:rsidR="00916359">
        <w:t>C</w:t>
      </w:r>
      <w:r w:rsidR="00B92592">
        <w:t xml:space="preserve">asework by Equality Bodies. </w:t>
      </w:r>
    </w:p>
    <w:p w14:paraId="67FE4C42" w14:textId="528835B9" w:rsidR="00CC5C3E" w:rsidRPr="009B3B91" w:rsidRDefault="006E08A3" w:rsidP="00CE1825">
      <w:pPr>
        <w:spacing w:after="120" w:line="360" w:lineRule="auto"/>
      </w:pPr>
      <w:r>
        <w:t>Following the approach suggested in the</w:t>
      </w:r>
      <w:r w:rsidR="0006288E" w:rsidRPr="0006288E">
        <w:t> </w:t>
      </w:r>
      <w:hyperlink r:id="rId28" w:history="1">
        <w:r w:rsidR="0006288E" w:rsidRPr="0006288E">
          <w:rPr>
            <w:rStyle w:val="Hyperlink"/>
          </w:rPr>
          <w:t>European Handbook on Equality Data</w:t>
        </w:r>
      </w:hyperlink>
      <w:r>
        <w:t xml:space="preserve">, </w:t>
      </w:r>
      <w:r w:rsidR="004A00DA">
        <w:t>t</w:t>
      </w:r>
      <w:r w:rsidR="00FB11DC">
        <w:t>he Compendium</w:t>
      </w:r>
      <w:r w:rsidR="004A00DA">
        <w:t xml:space="preserve"> </w:t>
      </w:r>
      <w:r w:rsidR="00BD6D4B">
        <w:t>adopts</w:t>
      </w:r>
      <w:r w:rsidR="004A00DA">
        <w:t xml:space="preserve"> a deliberatively expansive definition of equality data</w:t>
      </w:r>
      <w:r w:rsidR="00E3422C">
        <w:t>,</w:t>
      </w:r>
      <w:r w:rsidR="00A9157C">
        <w:t xml:space="preserve"> referring to such data as “</w:t>
      </w:r>
      <w:r w:rsidR="00CC5C3E" w:rsidRPr="009B3B91">
        <w:t xml:space="preserve">any piece of information that is useful for the purposes of describing and </w:t>
      </w:r>
      <w:proofErr w:type="spellStart"/>
      <w:r w:rsidR="00C10507">
        <w:t>analyzing</w:t>
      </w:r>
      <w:proofErr w:type="spellEnd"/>
      <w:r w:rsidR="00CC5C3E" w:rsidRPr="009B3B91">
        <w:t xml:space="preserve"> the state of equality.</w:t>
      </w:r>
      <w:r w:rsidR="00A9157C">
        <w:t>”</w:t>
      </w:r>
      <w:r w:rsidR="00CC5C3E" w:rsidRPr="009B3B91">
        <w:t xml:space="preserve"> </w:t>
      </w:r>
      <w:r w:rsidR="000B75FC">
        <w:t xml:space="preserve">Equality data </w:t>
      </w:r>
      <w:r w:rsidR="00CC5C3E" w:rsidRPr="009B3B91">
        <w:t xml:space="preserve">could be produced by the </w:t>
      </w:r>
      <w:r w:rsidR="004316C4">
        <w:t>E</w:t>
      </w:r>
      <w:r w:rsidR="00CC5C3E" w:rsidRPr="009B3B91">
        <w:t xml:space="preserve">quality </w:t>
      </w:r>
      <w:r w:rsidR="004316C4">
        <w:t>B</w:t>
      </w:r>
      <w:r w:rsidR="00CC5C3E" w:rsidRPr="009B3B91">
        <w:t xml:space="preserve">ody itself through </w:t>
      </w:r>
      <w:r w:rsidR="00C10507">
        <w:t xml:space="preserve">its </w:t>
      </w:r>
      <w:r w:rsidR="00CC5C3E" w:rsidRPr="009B3B91">
        <w:t>own surveys and reports</w:t>
      </w:r>
      <w:r w:rsidR="00C10507">
        <w:t>,</w:t>
      </w:r>
      <w:r w:rsidR="00CC5C3E" w:rsidRPr="009B3B91">
        <w:t xml:space="preserve"> or it could be any equality data </w:t>
      </w:r>
      <w:r w:rsidR="00C10507">
        <w:t>that</w:t>
      </w:r>
      <w:r w:rsidR="00CC5C3E" w:rsidRPr="009B3B91">
        <w:t xml:space="preserve"> has been produced externally</w:t>
      </w:r>
      <w:r w:rsidR="00330106">
        <w:t xml:space="preserve"> and which the Equality Bodies</w:t>
      </w:r>
      <w:r w:rsidR="004316C4">
        <w:t xml:space="preserve"> leverages to further</w:t>
      </w:r>
      <w:r w:rsidR="00B51B0F">
        <w:t xml:space="preserve"> its</w:t>
      </w:r>
      <w:r w:rsidR="00EF05D5">
        <w:t xml:space="preserve"> different strands of work, be it </w:t>
      </w:r>
      <w:r w:rsidR="000231FA">
        <w:t xml:space="preserve">in </w:t>
      </w:r>
      <w:r w:rsidR="00EF05D5">
        <w:t xml:space="preserve">awareness </w:t>
      </w:r>
      <w:r w:rsidR="000231FA">
        <w:t xml:space="preserve">arising and prevention or </w:t>
      </w:r>
      <w:r w:rsidR="00E61401">
        <w:t>litigation</w:t>
      </w:r>
      <w:r w:rsidR="00CC5C3E" w:rsidRPr="009B3B91">
        <w:t xml:space="preserve">. </w:t>
      </w:r>
    </w:p>
    <w:p w14:paraId="2176AEAD" w14:textId="52C04480" w:rsidR="00570DB8" w:rsidRPr="00703C29" w:rsidRDefault="00570DB8" w:rsidP="00A460C5">
      <w:pPr>
        <w:pStyle w:val="Heading2"/>
      </w:pPr>
      <w:bookmarkStart w:id="31" w:name="_Toc190332895"/>
      <w:r w:rsidRPr="00703C29">
        <w:t>Key challenges</w:t>
      </w:r>
      <w:bookmarkEnd w:id="31"/>
    </w:p>
    <w:p w14:paraId="379CC77A" w14:textId="48A99C8B" w:rsidR="001338E4" w:rsidRPr="00D94C5C" w:rsidRDefault="001338E4" w:rsidP="00CE1825">
      <w:pPr>
        <w:spacing w:after="120" w:line="360" w:lineRule="auto"/>
        <w:rPr>
          <w:rFonts w:cstheme="minorHAnsi"/>
        </w:rPr>
      </w:pPr>
      <w:r w:rsidRPr="00D94C5C">
        <w:rPr>
          <w:rFonts w:cstheme="minorHAnsi"/>
        </w:rPr>
        <w:t xml:space="preserve">Equality bodies rely on equality data for all of their functions, whether it be assistance to victims, surveys, reports or issuing recommendations in their advisory capacity on policy and laws. </w:t>
      </w:r>
      <w:r w:rsidR="00A1453D">
        <w:rPr>
          <w:rFonts w:cstheme="minorHAnsi"/>
        </w:rPr>
        <w:t>Considering</w:t>
      </w:r>
      <w:r w:rsidR="0028259F">
        <w:rPr>
          <w:rFonts w:cstheme="minorHAnsi"/>
        </w:rPr>
        <w:t xml:space="preserve"> </w:t>
      </w:r>
      <w:r w:rsidR="00A1453D">
        <w:rPr>
          <w:rFonts w:cstheme="minorHAnsi"/>
        </w:rPr>
        <w:t xml:space="preserve">how indispensable equality data is for the </w:t>
      </w:r>
      <w:r w:rsidR="00095DD3">
        <w:rPr>
          <w:rFonts w:cstheme="minorHAnsi"/>
        </w:rPr>
        <w:t>effective delivery</w:t>
      </w:r>
      <w:r w:rsidR="00A1453D">
        <w:rPr>
          <w:rFonts w:cstheme="minorHAnsi"/>
        </w:rPr>
        <w:t xml:space="preserve"> of Equality Bodies’ different functions, </w:t>
      </w:r>
      <w:r w:rsidRPr="00D94C5C">
        <w:rPr>
          <w:rFonts w:cstheme="minorHAnsi"/>
        </w:rPr>
        <w:t>there is an urgent need to</w:t>
      </w:r>
      <w:r w:rsidR="0098335F">
        <w:rPr>
          <w:rFonts w:cstheme="minorHAnsi"/>
        </w:rPr>
        <w:t xml:space="preserve"> identify</w:t>
      </w:r>
      <w:r w:rsidRPr="00D94C5C">
        <w:rPr>
          <w:rFonts w:cstheme="minorHAnsi"/>
        </w:rPr>
        <w:t xml:space="preserve"> challenges</w:t>
      </w:r>
      <w:r w:rsidR="00792E36">
        <w:rPr>
          <w:rFonts w:cstheme="minorHAnsi"/>
        </w:rPr>
        <w:t xml:space="preserve"> </w:t>
      </w:r>
      <w:r w:rsidR="00645DF1">
        <w:rPr>
          <w:rFonts w:cstheme="minorHAnsi"/>
        </w:rPr>
        <w:t>that might compromise equality bodies' capacity</w:t>
      </w:r>
      <w:r w:rsidRPr="00D94C5C">
        <w:rPr>
          <w:rFonts w:cstheme="minorHAnsi"/>
        </w:rPr>
        <w:t xml:space="preserve"> to collect and use</w:t>
      </w:r>
      <w:r w:rsidR="00645DF1">
        <w:rPr>
          <w:rFonts w:cstheme="minorHAnsi"/>
        </w:rPr>
        <w:t xml:space="preserve"> such data</w:t>
      </w:r>
      <w:r w:rsidRPr="00D94C5C">
        <w:rPr>
          <w:rFonts w:cstheme="minorHAnsi"/>
        </w:rPr>
        <w:t>.</w:t>
      </w:r>
    </w:p>
    <w:p w14:paraId="567BAFD3" w14:textId="3ED53249" w:rsidR="001338E4" w:rsidRPr="00D94C5C" w:rsidRDefault="00AB11F6" w:rsidP="00CE1825">
      <w:pPr>
        <w:spacing w:after="120" w:line="360" w:lineRule="auto"/>
        <w:rPr>
          <w:rFonts w:cstheme="minorHAnsi"/>
        </w:rPr>
      </w:pPr>
      <w:r>
        <w:rPr>
          <w:rFonts w:cstheme="minorHAnsi"/>
        </w:rPr>
        <w:t xml:space="preserve">Members of the Equinet </w:t>
      </w:r>
      <w:r w:rsidRPr="00AB11F6">
        <w:rPr>
          <w:rFonts w:cstheme="minorHAnsi"/>
        </w:rPr>
        <w:t>Working Group on Research and Data Collection</w:t>
      </w:r>
      <w:r w:rsidR="00CE4B78">
        <w:rPr>
          <w:rFonts w:cstheme="minorHAnsi"/>
        </w:rPr>
        <w:t xml:space="preserve"> suggested the following </w:t>
      </w:r>
      <w:r w:rsidR="00CE4B78" w:rsidRPr="004018D8">
        <w:rPr>
          <w:b/>
          <w:bCs/>
        </w:rPr>
        <w:t>key</w:t>
      </w:r>
      <w:r w:rsidR="001338E4" w:rsidRPr="004018D8">
        <w:rPr>
          <w:b/>
          <w:bCs/>
        </w:rPr>
        <w:t xml:space="preserve"> challenges</w:t>
      </w:r>
      <w:r w:rsidR="001338E4" w:rsidRPr="00D94C5C">
        <w:rPr>
          <w:rFonts w:cstheme="minorHAnsi"/>
        </w:rPr>
        <w:t>:</w:t>
      </w:r>
    </w:p>
    <w:p w14:paraId="62151A2D" w14:textId="6C7CAF45" w:rsidR="001338E4" w:rsidRPr="009065EE" w:rsidRDefault="001338E4" w:rsidP="00CE1825">
      <w:pPr>
        <w:pStyle w:val="ListParagraph"/>
        <w:numPr>
          <w:ilvl w:val="0"/>
          <w:numId w:val="11"/>
        </w:numPr>
        <w:shd w:val="clear" w:color="auto" w:fill="FDE7F7"/>
        <w:spacing w:after="120" w:line="360" w:lineRule="auto"/>
        <w:rPr>
          <w:rFonts w:cstheme="minorHAnsi"/>
        </w:rPr>
      </w:pPr>
      <w:r w:rsidRPr="009065EE">
        <w:rPr>
          <w:rFonts w:cstheme="minorHAnsi"/>
        </w:rPr>
        <w:t xml:space="preserve">Limited availability of data – on specific grounds such as race, ethnicity, and sexual orientation (disaggregation by ground), on certain forms of </w:t>
      </w:r>
      <w:r w:rsidR="00032ED0" w:rsidRPr="009065EE">
        <w:rPr>
          <w:rFonts w:cstheme="minorHAnsi"/>
        </w:rPr>
        <w:t>discrimination</w:t>
      </w:r>
      <w:r w:rsidRPr="009065EE">
        <w:rPr>
          <w:rFonts w:cstheme="minorHAnsi"/>
        </w:rPr>
        <w:t xml:space="preserve"> such as multiple and intersectional discrimination, and as regards population coverage from across the whole territory of a state.</w:t>
      </w:r>
    </w:p>
    <w:p w14:paraId="5E9A1919" w14:textId="43DE12C1" w:rsidR="001338E4" w:rsidRPr="009065EE" w:rsidRDefault="001338E4" w:rsidP="00CE1825">
      <w:pPr>
        <w:pStyle w:val="ListParagraph"/>
        <w:numPr>
          <w:ilvl w:val="0"/>
          <w:numId w:val="11"/>
        </w:numPr>
        <w:shd w:val="clear" w:color="auto" w:fill="FDE7F7"/>
        <w:spacing w:after="120" w:line="360" w:lineRule="auto"/>
        <w:rPr>
          <w:rFonts w:cstheme="minorHAnsi"/>
        </w:rPr>
      </w:pPr>
      <w:r w:rsidRPr="009065EE">
        <w:rPr>
          <w:rFonts w:cstheme="minorHAnsi"/>
        </w:rPr>
        <w:lastRenderedPageBreak/>
        <w:t xml:space="preserve">Inadequate quality of equality data – no or limited disaggregation, lack of comparability and reliability due to different collection methods, categories and classifications used by the different stakeholders involved in equality data collection. </w:t>
      </w:r>
    </w:p>
    <w:p w14:paraId="58C1AB5F" w14:textId="77777777" w:rsidR="001338E4" w:rsidRPr="009065EE" w:rsidRDefault="001338E4" w:rsidP="00CE1825">
      <w:pPr>
        <w:pStyle w:val="ListParagraph"/>
        <w:numPr>
          <w:ilvl w:val="0"/>
          <w:numId w:val="11"/>
        </w:numPr>
        <w:shd w:val="clear" w:color="auto" w:fill="FDE7F7"/>
        <w:spacing w:after="120" w:line="360" w:lineRule="auto"/>
        <w:rPr>
          <w:rFonts w:cstheme="minorHAnsi"/>
        </w:rPr>
      </w:pPr>
      <w:r w:rsidRPr="009065EE">
        <w:rPr>
          <w:rFonts w:cstheme="minorHAnsi"/>
        </w:rPr>
        <w:t>Difficulties linking statistical data to a particular case or explaining how equality can serve as evidence in individual cases.</w:t>
      </w:r>
    </w:p>
    <w:p w14:paraId="18D84CCE" w14:textId="77777777" w:rsidR="001338E4" w:rsidRPr="009065EE" w:rsidRDefault="001338E4" w:rsidP="00CE1825">
      <w:pPr>
        <w:pStyle w:val="ListParagraph"/>
        <w:numPr>
          <w:ilvl w:val="0"/>
          <w:numId w:val="11"/>
        </w:numPr>
        <w:shd w:val="clear" w:color="auto" w:fill="FDE7F7"/>
        <w:spacing w:after="120" w:line="360" w:lineRule="auto"/>
        <w:rPr>
          <w:rFonts w:cstheme="minorHAnsi"/>
        </w:rPr>
      </w:pPr>
      <w:r w:rsidRPr="009065EE">
        <w:rPr>
          <w:rFonts w:cstheme="minorHAnsi"/>
        </w:rPr>
        <w:t xml:space="preserve">Obstacles to using equality data as evidence of discrimination in legal casework due to limited powers of some equality bodies – no mandate for work on complaints and no ability to decide on cases with biding or non-binding decisions translates into impeded ability to provide legal assistance to victims of discrimination using equality data as evidence. </w:t>
      </w:r>
    </w:p>
    <w:p w14:paraId="3D0746E3" w14:textId="77777777" w:rsidR="001338E4" w:rsidRPr="009065EE" w:rsidRDefault="001338E4" w:rsidP="00CE1825">
      <w:pPr>
        <w:pStyle w:val="ListParagraph"/>
        <w:numPr>
          <w:ilvl w:val="0"/>
          <w:numId w:val="11"/>
        </w:numPr>
        <w:shd w:val="clear" w:color="auto" w:fill="FDE7F7"/>
        <w:spacing w:after="120" w:line="360" w:lineRule="auto"/>
        <w:rPr>
          <w:rFonts w:cstheme="minorHAnsi"/>
        </w:rPr>
      </w:pPr>
      <w:r w:rsidRPr="009065EE">
        <w:rPr>
          <w:rFonts w:cstheme="minorHAnsi"/>
        </w:rPr>
        <w:t>Lack of information on compliance with or implementation of equality bodies’ decisions or recommendations – this information on enforcement constitutes a vital component of equality data as it could point to ways to improve impact of available redress mechanisms for victims of discrimination.</w:t>
      </w:r>
    </w:p>
    <w:p w14:paraId="5F7EE733" w14:textId="3926AE27" w:rsidR="002E5966" w:rsidRPr="009065EE" w:rsidRDefault="001338E4" w:rsidP="00CE1825">
      <w:pPr>
        <w:pStyle w:val="ListParagraph"/>
        <w:numPr>
          <w:ilvl w:val="0"/>
          <w:numId w:val="11"/>
        </w:numPr>
        <w:shd w:val="clear" w:color="auto" w:fill="FDE7F7"/>
        <w:spacing w:after="120" w:line="360" w:lineRule="auto"/>
        <w:rPr>
          <w:rFonts w:cstheme="minorHAnsi"/>
        </w:rPr>
      </w:pPr>
      <w:r w:rsidRPr="009065EE">
        <w:rPr>
          <w:rFonts w:cstheme="minorHAnsi"/>
        </w:rPr>
        <w:t>Lack of feedback information on the use of equality data produced by the equality body by other stakeholders.</w:t>
      </w:r>
    </w:p>
    <w:p w14:paraId="794DC0B8" w14:textId="3510B825" w:rsidR="001338E4" w:rsidRPr="00D16A42" w:rsidRDefault="001338E4" w:rsidP="00A460C5">
      <w:pPr>
        <w:pStyle w:val="Heading2"/>
      </w:pPr>
      <w:bookmarkStart w:id="32" w:name="_Toc190332896"/>
      <w:r w:rsidRPr="00D16A42">
        <w:t>Way</w:t>
      </w:r>
      <w:r w:rsidR="0037617A">
        <w:rPr>
          <w:lang w:val="en-US"/>
        </w:rPr>
        <w:t>s</w:t>
      </w:r>
      <w:r w:rsidRPr="00D16A42">
        <w:t xml:space="preserve"> forward</w:t>
      </w:r>
      <w:bookmarkEnd w:id="32"/>
    </w:p>
    <w:p w14:paraId="5F78D26C" w14:textId="19454D80" w:rsidR="001338E4" w:rsidRPr="00E53052" w:rsidRDefault="00B25111" w:rsidP="00CE1825">
      <w:pPr>
        <w:spacing w:after="120" w:line="360" w:lineRule="auto"/>
      </w:pPr>
      <w:r>
        <w:t>To</w:t>
      </w:r>
      <w:r w:rsidR="001338E4">
        <w:t xml:space="preserve"> i</w:t>
      </w:r>
      <w:r w:rsidR="001338E4" w:rsidRPr="00E53052">
        <w:t xml:space="preserve">mprove protection against discrimination </w:t>
      </w:r>
      <w:r w:rsidR="00D16A42">
        <w:t>through</w:t>
      </w:r>
      <w:r w:rsidR="00683940">
        <w:t xml:space="preserve"> the </w:t>
      </w:r>
      <w:r w:rsidR="00683940" w:rsidRPr="002459CE">
        <w:t>effective use of equality data</w:t>
      </w:r>
      <w:r w:rsidR="002459CE" w:rsidRPr="002459CE">
        <w:t>, E</w:t>
      </w:r>
      <w:r w:rsidR="001338E4" w:rsidRPr="002459CE">
        <w:t xml:space="preserve">quality </w:t>
      </w:r>
      <w:r w:rsidR="002459CE" w:rsidRPr="002459CE">
        <w:t>B</w:t>
      </w:r>
      <w:r w:rsidR="001338E4" w:rsidRPr="002459CE">
        <w:t xml:space="preserve">odies contributing to this Compendium </w:t>
      </w:r>
      <w:r w:rsidR="0060617A">
        <w:t>recommended</w:t>
      </w:r>
      <w:r w:rsidR="001338E4" w:rsidRPr="002459CE">
        <w:t xml:space="preserve"> </w:t>
      </w:r>
      <w:r w:rsidR="002459CE" w:rsidRPr="002459CE">
        <w:t xml:space="preserve">the </w:t>
      </w:r>
      <w:r w:rsidR="001338E4" w:rsidRPr="002459CE">
        <w:t xml:space="preserve">following </w:t>
      </w:r>
      <w:r w:rsidR="001338E4" w:rsidRPr="004018D8">
        <w:rPr>
          <w:b/>
          <w:bCs/>
        </w:rPr>
        <w:t>measures and actions</w:t>
      </w:r>
      <w:r w:rsidR="00240595" w:rsidRPr="004018D8">
        <w:rPr>
          <w:b/>
          <w:bCs/>
        </w:rPr>
        <w:t xml:space="preserve"> to be undertaken by </w:t>
      </w:r>
      <w:r w:rsidR="00FA4C8B" w:rsidRPr="004018D8">
        <w:rPr>
          <w:b/>
          <w:bCs/>
        </w:rPr>
        <w:t xml:space="preserve">government, relevant </w:t>
      </w:r>
      <w:r w:rsidR="001338E4" w:rsidRPr="004018D8">
        <w:rPr>
          <w:b/>
          <w:bCs/>
        </w:rPr>
        <w:t>public authorities</w:t>
      </w:r>
      <w:r w:rsidR="000D7FE6" w:rsidRPr="004018D8">
        <w:rPr>
          <w:b/>
          <w:bCs/>
        </w:rPr>
        <w:t xml:space="preserve"> or the Equality Bodies</w:t>
      </w:r>
      <w:r w:rsidR="000D7FE6">
        <w:t xml:space="preserve"> themselves</w:t>
      </w:r>
      <w:r w:rsidR="001338E4" w:rsidRPr="002459CE">
        <w:t>:</w:t>
      </w:r>
    </w:p>
    <w:p w14:paraId="392D6DAC" w14:textId="14DE9099" w:rsidR="001338E4" w:rsidRPr="00E53052" w:rsidRDefault="00125651" w:rsidP="00CE1825">
      <w:pPr>
        <w:pStyle w:val="ListParagraph"/>
        <w:numPr>
          <w:ilvl w:val="0"/>
          <w:numId w:val="13"/>
        </w:numPr>
        <w:shd w:val="clear" w:color="auto" w:fill="E7FDF1"/>
        <w:spacing w:after="120" w:line="360" w:lineRule="auto"/>
      </w:pPr>
      <w:r>
        <w:t>S</w:t>
      </w:r>
      <w:r w:rsidR="001338E4" w:rsidRPr="00E53052">
        <w:t>treamlining disaggregation requirements for all providers of equality data – current “hierarchy” of equality data, with gender and age having greater visibility and benefitting more greatly form an evidence</w:t>
      </w:r>
      <w:r w:rsidR="001338E4">
        <w:t xml:space="preserve"> -</w:t>
      </w:r>
      <w:r w:rsidR="001338E4" w:rsidRPr="00E53052">
        <w:t xml:space="preserve"> based approach than other protected grounds</w:t>
      </w:r>
      <w:r w:rsidR="001338E4">
        <w:t>.</w:t>
      </w:r>
    </w:p>
    <w:p w14:paraId="7691A4F9" w14:textId="083BD7CF" w:rsidR="001338E4" w:rsidRDefault="001338E4" w:rsidP="00CE1825">
      <w:pPr>
        <w:pStyle w:val="ListParagraph"/>
        <w:numPr>
          <w:ilvl w:val="0"/>
          <w:numId w:val="13"/>
        </w:numPr>
        <w:shd w:val="clear" w:color="auto" w:fill="E7FDF1"/>
        <w:spacing w:after="120" w:line="360" w:lineRule="auto"/>
      </w:pPr>
      <w:r w:rsidRPr="00A545CA">
        <w:t xml:space="preserve">Clarification and expansion of </w:t>
      </w:r>
      <w:r>
        <w:t>court decisions</w:t>
      </w:r>
      <w:r w:rsidRPr="00A545CA">
        <w:t xml:space="preserve"> registers and </w:t>
      </w:r>
      <w:r>
        <w:t>all sources of administrative data to enable easy identification of equality cases. This could be ensured, for example, through the incusing of mandatory entries in the technical systems of entities handling discrimination cases.</w:t>
      </w:r>
    </w:p>
    <w:p w14:paraId="6FAC6E46" w14:textId="14E91C69" w:rsidR="001338E4" w:rsidRDefault="001338E4" w:rsidP="00CE1825">
      <w:pPr>
        <w:pStyle w:val="ListParagraph"/>
        <w:numPr>
          <w:ilvl w:val="0"/>
          <w:numId w:val="13"/>
        </w:numPr>
        <w:shd w:val="clear" w:color="auto" w:fill="E7FDF1"/>
        <w:spacing w:after="120" w:line="360" w:lineRule="auto"/>
      </w:pPr>
      <w:r>
        <w:t xml:space="preserve">Equality data collection duties for all providers of public administrative data (e.g., ethnic data in the healthcare sector) and of justice system data (court decisions register). </w:t>
      </w:r>
    </w:p>
    <w:p w14:paraId="7DAB75F8" w14:textId="6E22B3B1" w:rsidR="001338E4" w:rsidRDefault="001338E4" w:rsidP="00CE1825">
      <w:pPr>
        <w:pStyle w:val="ListParagraph"/>
        <w:numPr>
          <w:ilvl w:val="0"/>
          <w:numId w:val="13"/>
        </w:numPr>
        <w:shd w:val="clear" w:color="auto" w:fill="E7FDF1"/>
        <w:spacing w:after="120" w:line="360" w:lineRule="auto"/>
      </w:pPr>
      <w:r>
        <w:t>Increasing the awareness of discrimination and available legal remedies among duty holders and the public as way to encourage equality data collection.</w:t>
      </w:r>
    </w:p>
    <w:p w14:paraId="7C3F60E6" w14:textId="2480A91F" w:rsidR="001338E4" w:rsidRDefault="001338E4" w:rsidP="00CE1825">
      <w:pPr>
        <w:pStyle w:val="ListParagraph"/>
        <w:numPr>
          <w:ilvl w:val="0"/>
          <w:numId w:val="13"/>
        </w:numPr>
        <w:shd w:val="clear" w:color="auto" w:fill="E7FDF1"/>
        <w:spacing w:after="120" w:line="360" w:lineRule="auto"/>
      </w:pPr>
      <w:r>
        <w:lastRenderedPageBreak/>
        <w:t xml:space="preserve">Good practice exchange between different European equality bodies through initiatives such as the present compendium. </w:t>
      </w:r>
    </w:p>
    <w:p w14:paraId="7F7516A1" w14:textId="0927C66A" w:rsidR="001338E4" w:rsidRPr="009B3B91" w:rsidRDefault="001338E4" w:rsidP="00CE1825">
      <w:pPr>
        <w:pStyle w:val="ListParagraph"/>
        <w:numPr>
          <w:ilvl w:val="0"/>
          <w:numId w:val="13"/>
        </w:numPr>
        <w:shd w:val="clear" w:color="auto" w:fill="E7FDF1"/>
        <w:spacing w:after="120" w:line="360" w:lineRule="auto"/>
      </w:pPr>
      <w:r>
        <w:t xml:space="preserve">Develop mapping of such equality data collection practices by equality bodies, organized at a minimum into common categories and themes, so that it can be readily referred to and used by Equinet members. </w:t>
      </w:r>
    </w:p>
    <w:p w14:paraId="697353E7" w14:textId="3F1F7BEC" w:rsidR="001338E4" w:rsidRDefault="001338E4" w:rsidP="00CE1825">
      <w:pPr>
        <w:pStyle w:val="ListParagraph"/>
        <w:numPr>
          <w:ilvl w:val="0"/>
          <w:numId w:val="13"/>
        </w:numPr>
        <w:shd w:val="clear" w:color="auto" w:fill="E7FDF1"/>
        <w:spacing w:after="120" w:line="360" w:lineRule="auto"/>
      </w:pPr>
      <w:r>
        <w:t>Adequate resourcing of equality bodies to build and further st</w:t>
      </w:r>
      <w:r w:rsidR="0037617A">
        <w:t xml:space="preserve">rengthen </w:t>
      </w:r>
      <w:r>
        <w:t>internal capacity on equality data collection and use.</w:t>
      </w:r>
    </w:p>
    <w:p w14:paraId="68DEB0DB" w14:textId="598F51C9" w:rsidR="001338E4" w:rsidRDefault="001338E4" w:rsidP="00CE1825">
      <w:pPr>
        <w:pStyle w:val="ListParagraph"/>
        <w:numPr>
          <w:ilvl w:val="0"/>
          <w:numId w:val="13"/>
        </w:numPr>
        <w:shd w:val="clear" w:color="auto" w:fill="E7FDF1"/>
        <w:spacing w:after="120" w:line="360" w:lineRule="auto"/>
      </w:pPr>
      <w:r>
        <w:t>Increased and dedicated resources to e</w:t>
      </w:r>
      <w:r w:rsidRPr="00296EBD">
        <w:t>quality bodies to</w:t>
      </w:r>
      <w:r>
        <w:t xml:space="preserve"> carry out research more effectively</w:t>
      </w:r>
      <w:r w:rsidRPr="00296EBD">
        <w:t xml:space="preserve"> and produce data.</w:t>
      </w:r>
    </w:p>
    <w:p w14:paraId="532AAF37" w14:textId="0AB93D52" w:rsidR="001338E4" w:rsidRDefault="001338E4" w:rsidP="00CE1825">
      <w:pPr>
        <w:pStyle w:val="ListParagraph"/>
        <w:numPr>
          <w:ilvl w:val="0"/>
          <w:numId w:val="13"/>
        </w:numPr>
        <w:shd w:val="clear" w:color="auto" w:fill="E7FDF1"/>
        <w:spacing w:after="120" w:line="360" w:lineRule="auto"/>
      </w:pPr>
      <w:r>
        <w:t xml:space="preserve">Increasing </w:t>
      </w:r>
      <w:r w:rsidRPr="009B3B91">
        <w:t xml:space="preserve">awareness on the </w:t>
      </w:r>
      <w:r w:rsidRPr="008326E6">
        <w:t>importance of equality data in the context of the investigation of discrimination cases.</w:t>
      </w:r>
    </w:p>
    <w:p w14:paraId="73C52E28" w14:textId="6F77DF96" w:rsidR="001338E4" w:rsidRDefault="001338E4" w:rsidP="00CE1825">
      <w:pPr>
        <w:pStyle w:val="ListParagraph"/>
        <w:numPr>
          <w:ilvl w:val="0"/>
          <w:numId w:val="13"/>
        </w:numPr>
        <w:shd w:val="clear" w:color="auto" w:fill="E7FDF1"/>
        <w:spacing w:after="120" w:line="360" w:lineRule="auto"/>
      </w:pPr>
      <w:r>
        <w:t>St</w:t>
      </w:r>
      <w:r w:rsidR="00D16A42">
        <w:t xml:space="preserve">rengthen </w:t>
      </w:r>
      <w:r>
        <w:t xml:space="preserve">knowledge on how to use equality data in legal cases. </w:t>
      </w:r>
    </w:p>
    <w:p w14:paraId="6E88AD9D" w14:textId="77777777" w:rsidR="001338E4" w:rsidRPr="009B3B91" w:rsidRDefault="001338E4" w:rsidP="00CE1825">
      <w:pPr>
        <w:pStyle w:val="ListParagraph"/>
        <w:numPr>
          <w:ilvl w:val="0"/>
          <w:numId w:val="13"/>
        </w:numPr>
        <w:shd w:val="clear" w:color="auto" w:fill="E7FDF1"/>
        <w:spacing w:after="120" w:line="360" w:lineRule="auto"/>
      </w:pPr>
      <w:r>
        <w:t>Ensure legal standing for equality bodies before the courts to enable them to introduce equality data in legal proceedings.</w:t>
      </w:r>
    </w:p>
    <w:p w14:paraId="0C794E42" w14:textId="7B76C7C0" w:rsidR="001338E4" w:rsidRPr="009B3B91" w:rsidRDefault="001338E4" w:rsidP="00CE1825">
      <w:pPr>
        <w:pStyle w:val="ListParagraph"/>
        <w:numPr>
          <w:ilvl w:val="0"/>
          <w:numId w:val="13"/>
        </w:numPr>
        <w:shd w:val="clear" w:color="auto" w:fill="E7FDF1"/>
        <w:spacing w:after="120" w:line="360" w:lineRule="auto"/>
      </w:pPr>
      <w:r>
        <w:t>Lowering legal barriers for use of equality data as evidence in discrimination</w:t>
      </w:r>
      <w:r w:rsidR="00244B65">
        <w:t>. This could be done, for example, through</w:t>
      </w:r>
      <w:r>
        <w:t xml:space="preserve"> legal provisions stipulating that </w:t>
      </w:r>
      <w:r w:rsidRPr="00B65852">
        <w:t>statistical proof may be sufficient for shifting of the burden of proof</w:t>
      </w:r>
      <w:r>
        <w:t>.</w:t>
      </w:r>
    </w:p>
    <w:p w14:paraId="24BBF4F2" w14:textId="77777777" w:rsidR="001338E4" w:rsidRDefault="001338E4" w:rsidP="00CE1825">
      <w:pPr>
        <w:pStyle w:val="ListParagraph"/>
        <w:numPr>
          <w:ilvl w:val="0"/>
          <w:numId w:val="13"/>
        </w:numPr>
        <w:shd w:val="clear" w:color="auto" w:fill="E7FDF1"/>
        <w:spacing w:after="120" w:line="360" w:lineRule="auto"/>
      </w:pPr>
      <w:r>
        <w:t xml:space="preserve">Development of accessible and reliable </w:t>
      </w:r>
      <w:r w:rsidRPr="00E956AA">
        <w:t>databases and statistical tools</w:t>
      </w:r>
      <w:r>
        <w:t xml:space="preserve"> for readily obtaining and analysing equality data.</w:t>
      </w:r>
    </w:p>
    <w:p w14:paraId="59B0BFE1" w14:textId="77777777" w:rsidR="001338E4" w:rsidRDefault="001338E4" w:rsidP="00CE1825">
      <w:pPr>
        <w:pStyle w:val="ListParagraph"/>
        <w:numPr>
          <w:ilvl w:val="0"/>
          <w:numId w:val="13"/>
        </w:numPr>
        <w:shd w:val="clear" w:color="auto" w:fill="E7FDF1"/>
        <w:spacing w:after="120" w:line="360" w:lineRule="auto"/>
      </w:pPr>
      <w:r>
        <w:t>Enabling equality bodies to fund the bringing of cases to the courts by rights-holders, thus improving the reliability and representativity of complaints data as one crucial source of equality data.</w:t>
      </w:r>
    </w:p>
    <w:p w14:paraId="6CBDFE04" w14:textId="77777777" w:rsidR="001338E4" w:rsidRPr="009B3B91" w:rsidRDefault="001338E4" w:rsidP="00CE1825">
      <w:pPr>
        <w:pStyle w:val="ListParagraph"/>
        <w:numPr>
          <w:ilvl w:val="0"/>
          <w:numId w:val="13"/>
        </w:numPr>
        <w:shd w:val="clear" w:color="auto" w:fill="E7FDF1"/>
        <w:spacing w:after="120" w:line="360" w:lineRule="auto"/>
      </w:pPr>
      <w:r w:rsidRPr="00BA3959">
        <w:t>Continuous</w:t>
      </w:r>
      <w:r>
        <w:t xml:space="preserve"> education of </w:t>
      </w:r>
      <w:r w:rsidRPr="00BA3959">
        <w:t xml:space="preserve">judges, lawyers, inspectors, officials, teachers, social workers, police officers, medical staff, and other groups </w:t>
      </w:r>
      <w:r>
        <w:t xml:space="preserve">on how to recognize and identify </w:t>
      </w:r>
      <w:r w:rsidRPr="00BA3959">
        <w:t>discriminat</w:t>
      </w:r>
      <w:r>
        <w:t xml:space="preserve">ory practices and on how to take advantage of the available legal remedies. </w:t>
      </w:r>
    </w:p>
    <w:p w14:paraId="4FC6D324" w14:textId="269634B8" w:rsidR="001338E4" w:rsidRPr="009B3B91" w:rsidRDefault="001338E4" w:rsidP="00CE1825">
      <w:pPr>
        <w:pStyle w:val="ListParagraph"/>
        <w:numPr>
          <w:ilvl w:val="0"/>
          <w:numId w:val="13"/>
        </w:numPr>
        <w:shd w:val="clear" w:color="auto" w:fill="E7FDF1"/>
        <w:spacing w:after="120" w:line="360" w:lineRule="auto"/>
      </w:pPr>
      <w:r>
        <w:t>T</w:t>
      </w:r>
      <w:r w:rsidRPr="009B3B91">
        <w:t xml:space="preserve">argeted information </w:t>
      </w:r>
      <w:r w:rsidRPr="00E956AA">
        <w:t>campaigns aimed at raising the awareness of disadvantaged groups a</w:t>
      </w:r>
      <w:r w:rsidR="002459CE">
        <w:t>t</w:t>
      </w:r>
      <w:r w:rsidRPr="00E956AA">
        <w:t xml:space="preserve"> heightened risk of discrimination.</w:t>
      </w:r>
      <w:r w:rsidRPr="009B3B91">
        <w:t xml:space="preserve"> </w:t>
      </w:r>
    </w:p>
    <w:p w14:paraId="199EF74E" w14:textId="77777777" w:rsidR="001338E4" w:rsidRPr="009B3B91" w:rsidRDefault="001338E4" w:rsidP="00CE1825">
      <w:pPr>
        <w:pStyle w:val="ListParagraph"/>
        <w:numPr>
          <w:ilvl w:val="0"/>
          <w:numId w:val="13"/>
        </w:numPr>
        <w:shd w:val="clear" w:color="auto" w:fill="E7FDF1"/>
        <w:spacing w:after="120" w:line="360" w:lineRule="auto"/>
      </w:pPr>
      <w:r w:rsidRPr="009B3B91">
        <w:t xml:space="preserve">Establishing a </w:t>
      </w:r>
      <w:r>
        <w:t xml:space="preserve">national </w:t>
      </w:r>
      <w:r w:rsidRPr="00E956AA">
        <w:t>comprehensive framework for equality data collection, alongside with accompanying indicator frameworks and databases on discrimination cases before courts</w:t>
      </w:r>
      <w:r w:rsidRPr="009B3B91">
        <w:t>. A</w:t>
      </w:r>
      <w:r>
        <w:t xml:space="preserve">s well, ensuing the publishing of </w:t>
      </w:r>
      <w:r w:rsidRPr="009B3B91">
        <w:t xml:space="preserve">regular reports and systematic comparison of </w:t>
      </w:r>
      <w:r>
        <w:t xml:space="preserve">the collected </w:t>
      </w:r>
      <w:r w:rsidRPr="009B3B91">
        <w:t xml:space="preserve">data </w:t>
      </w:r>
      <w:r>
        <w:t xml:space="preserve">by public entities charged with overseeing and contributing to the above framework. </w:t>
      </w:r>
    </w:p>
    <w:p w14:paraId="02821C0B" w14:textId="04A764CA" w:rsidR="001338E4" w:rsidRDefault="001338E4" w:rsidP="00CE1825">
      <w:pPr>
        <w:pStyle w:val="ListParagraph"/>
        <w:numPr>
          <w:ilvl w:val="0"/>
          <w:numId w:val="13"/>
        </w:numPr>
        <w:shd w:val="clear" w:color="auto" w:fill="E7FDF1"/>
        <w:spacing w:after="120" w:line="360" w:lineRule="auto"/>
      </w:pPr>
      <w:r w:rsidRPr="009B3B91">
        <w:t xml:space="preserve">Advocate for more </w:t>
      </w:r>
      <w:r w:rsidRPr="00E956AA">
        <w:t>systematic and transparent collection of equality data</w:t>
      </w:r>
      <w:r>
        <w:t xml:space="preserve"> and promote</w:t>
      </w:r>
      <w:r w:rsidRPr="009B3B91">
        <w:t xml:space="preserve"> </w:t>
      </w:r>
      <w:r w:rsidRPr="00E956AA">
        <w:t xml:space="preserve">the importance of collecting and making equality data available </w:t>
      </w:r>
      <w:r w:rsidR="00273486">
        <w:t xml:space="preserve">consistently at regular </w:t>
      </w:r>
      <w:r w:rsidR="00273486">
        <w:lastRenderedPageBreak/>
        <w:t>time intervals across a wide variety of grounds, areas of life, and thematic issues</w:t>
      </w:r>
      <w:r w:rsidRPr="00E956AA">
        <w:t xml:space="preserve">. </w:t>
      </w:r>
      <w:r>
        <w:t xml:space="preserve">Emphasize the centrality of equality data collection focused on marginalized groups. </w:t>
      </w:r>
    </w:p>
    <w:p w14:paraId="547A8805" w14:textId="77777777" w:rsidR="001338E4" w:rsidRDefault="001338E4" w:rsidP="00CE1825">
      <w:pPr>
        <w:pStyle w:val="ListParagraph"/>
        <w:numPr>
          <w:ilvl w:val="0"/>
          <w:numId w:val="13"/>
        </w:numPr>
        <w:shd w:val="clear" w:color="auto" w:fill="E7FDF1"/>
        <w:spacing w:after="120" w:line="360" w:lineRule="auto"/>
      </w:pPr>
      <w:r w:rsidRPr="00B16563">
        <w:t xml:space="preserve">Initiate and stimulate public discussions on the development of statistics, studies </w:t>
      </w:r>
      <w:r>
        <w:t>and</w:t>
      </w:r>
      <w:r w:rsidRPr="00B16563">
        <w:t xml:space="preserve"> reports that can gather data disaggregated by racial or ethnic origin.</w:t>
      </w:r>
    </w:p>
    <w:p w14:paraId="7BC1003B" w14:textId="3A48393B" w:rsidR="001338E4" w:rsidRDefault="001338E4" w:rsidP="00CE1825">
      <w:pPr>
        <w:pStyle w:val="ListParagraph"/>
        <w:numPr>
          <w:ilvl w:val="0"/>
          <w:numId w:val="13"/>
        </w:numPr>
        <w:shd w:val="clear" w:color="auto" w:fill="E7FDF1"/>
        <w:spacing w:after="120" w:line="360" w:lineRule="auto"/>
      </w:pPr>
      <w:r>
        <w:t xml:space="preserve">Creating </w:t>
      </w:r>
      <w:r w:rsidRPr="00F861CD">
        <w:t>a provision in the technical system of public entities collecting information to create dedicate entry categories for information related to cases of discrimination. Further processing, analysis and categorization of the data collected, as well as their use for publication or dissemination of information, should be done by a team, or a section of the organization (e.g., communication office).</w:t>
      </w:r>
      <w:r w:rsidRPr="009B3B91">
        <w:t xml:space="preserve"> </w:t>
      </w:r>
    </w:p>
    <w:p w14:paraId="474FEEAE" w14:textId="370B147D" w:rsidR="00A41851" w:rsidRDefault="00A41851" w:rsidP="00CE1825">
      <w:pPr>
        <w:pStyle w:val="ListParagraph"/>
        <w:sectPr w:rsidR="00A41851" w:rsidSect="0027131A">
          <w:footerReference w:type="default" r:id="rId29"/>
          <w:pgSz w:w="11906" w:h="16838"/>
          <w:pgMar w:top="1440" w:right="1440" w:bottom="1440" w:left="1440" w:header="708" w:footer="708" w:gutter="0"/>
          <w:cols w:space="708"/>
          <w:docGrid w:linePitch="360"/>
        </w:sectPr>
      </w:pPr>
    </w:p>
    <w:p w14:paraId="48F7C96D" w14:textId="718953CA" w:rsidR="00D04F68" w:rsidRPr="00894FBA" w:rsidRDefault="00FE1AC1" w:rsidP="00CE1825">
      <w:pPr>
        <w:tabs>
          <w:tab w:val="left" w:pos="3840"/>
        </w:tabs>
        <w:spacing w:before="100" w:beforeAutospacing="1" w:after="100" w:afterAutospacing="1" w:line="240" w:lineRule="auto"/>
        <w:rPr>
          <w:rFonts w:ascii="Times New Roman" w:eastAsia="Times New Roman" w:hAnsi="Times New Roman" w:cs="Times New Roman"/>
          <w:sz w:val="24"/>
          <w:szCs w:val="24"/>
          <w:lang w:val="en-US" w:eastAsia="bg-BG"/>
        </w:rPr>
      </w:pPr>
      <w:r w:rsidRPr="00894FBA">
        <w:rPr>
          <w:rFonts w:ascii="Times New Roman" w:eastAsia="Times New Roman" w:hAnsi="Times New Roman" w:cs="Times New Roman"/>
          <w:noProof/>
          <w:sz w:val="24"/>
          <w:szCs w:val="24"/>
          <w:lang w:val="bg-BG" w:eastAsia="bg-BG"/>
        </w:rPr>
        <w:lastRenderedPageBreak/>
        <w:drawing>
          <wp:anchor distT="0" distB="0" distL="114300" distR="114300" simplePos="0" relativeHeight="251658245" behindDoc="1" locked="0" layoutInCell="1" allowOverlap="1" wp14:anchorId="5DDD2B31" wp14:editId="65CEDBDB">
            <wp:simplePos x="0" y="0"/>
            <wp:positionH relativeFrom="column">
              <wp:posOffset>-2060812</wp:posOffset>
            </wp:positionH>
            <wp:positionV relativeFrom="page">
              <wp:posOffset>-1187355</wp:posOffset>
            </wp:positionV>
            <wp:extent cx="9157304" cy="7473855"/>
            <wp:effectExtent l="0" t="0" r="6350" b="0"/>
            <wp:wrapNone/>
            <wp:docPr id="46421334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213341" name="Picture 3">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9160317" cy="74763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F723BA" w14:textId="4807E281" w:rsidR="00D04F68" w:rsidRPr="00894FBA" w:rsidRDefault="00D04F68" w:rsidP="00CE1825">
      <w:pPr>
        <w:spacing w:before="100" w:beforeAutospacing="1" w:after="100" w:afterAutospacing="1" w:line="240" w:lineRule="auto"/>
        <w:ind w:left="113"/>
        <w:rPr>
          <w:rFonts w:ascii="Times New Roman" w:eastAsia="Times New Roman" w:hAnsi="Times New Roman" w:cs="Times New Roman"/>
          <w:sz w:val="24"/>
          <w:szCs w:val="24"/>
          <w:lang w:val="en-US" w:eastAsia="bg-BG"/>
        </w:rPr>
      </w:pPr>
    </w:p>
    <w:p w14:paraId="78227B32" w14:textId="71B860DC" w:rsidR="00D04F68" w:rsidRPr="00DD0DF8" w:rsidRDefault="00D04F68" w:rsidP="00DD0DF8">
      <w:pPr>
        <w:pStyle w:val="Heading1"/>
        <w:spacing w:before="10000"/>
        <w:jc w:val="center"/>
        <w:rPr>
          <w:sz w:val="72"/>
          <w:szCs w:val="72"/>
        </w:rPr>
        <w:sectPr w:rsidR="00D04F68" w:rsidRPr="00DD0DF8" w:rsidSect="00D04F68">
          <w:footerReference w:type="default" r:id="rId31"/>
          <w:pgSz w:w="11906" w:h="16838"/>
          <w:pgMar w:top="1440" w:right="1440" w:bottom="1440" w:left="1440" w:header="708" w:footer="708" w:gutter="0"/>
          <w:cols w:space="708"/>
          <w:docGrid w:linePitch="360"/>
        </w:sectPr>
      </w:pPr>
      <w:bookmarkStart w:id="33" w:name="_Toc190332897"/>
      <w:r w:rsidRPr="00DD0DF8">
        <w:rPr>
          <w:rFonts w:ascii="Calibri" w:hAnsi="Calibri"/>
          <w:noProof/>
          <w:sz w:val="72"/>
          <w:szCs w:val="72"/>
        </w:rPr>
        <w:drawing>
          <wp:anchor distT="0" distB="0" distL="114300" distR="114300" simplePos="0" relativeHeight="251658244" behindDoc="0" locked="0" layoutInCell="1" allowOverlap="1" wp14:anchorId="04295298" wp14:editId="40524C56">
            <wp:simplePos x="0" y="0"/>
            <wp:positionH relativeFrom="margin">
              <wp:posOffset>-1485900</wp:posOffset>
            </wp:positionH>
            <wp:positionV relativeFrom="paragraph">
              <wp:posOffset>3529965</wp:posOffset>
            </wp:positionV>
            <wp:extent cx="15706725" cy="1943100"/>
            <wp:effectExtent l="0" t="0" r="9525" b="0"/>
            <wp:wrapNone/>
            <wp:docPr id="636236727" name="Picture 6362367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0672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1CB2" w:rsidRPr="00DD0DF8">
        <w:rPr>
          <w:sz w:val="72"/>
          <w:szCs w:val="72"/>
        </w:rPr>
        <w:t>Good practices in the use of equality data</w:t>
      </w:r>
      <w:bookmarkEnd w:id="33"/>
    </w:p>
    <w:p w14:paraId="796134A0" w14:textId="6D3C595E" w:rsidR="00B11B00" w:rsidRPr="00A460C5" w:rsidRDefault="00C6564D" w:rsidP="00A460C5">
      <w:pPr>
        <w:pStyle w:val="Heading2"/>
      </w:pPr>
      <w:bookmarkStart w:id="34" w:name="_Toc190332898"/>
      <w:r w:rsidRPr="00A460C5">
        <w:lastRenderedPageBreak/>
        <w:t>Independent assistance to victims</w:t>
      </w:r>
      <w:bookmarkEnd w:id="34"/>
    </w:p>
    <w:p w14:paraId="2A726273" w14:textId="22011BE6" w:rsidR="00C77332" w:rsidRPr="00A460C5" w:rsidRDefault="00107998" w:rsidP="00E9222C">
      <w:pPr>
        <w:pStyle w:val="Heading3"/>
        <w:pBdr>
          <w:top w:val="dashed" w:sz="4" w:space="9" w:color="22489E"/>
        </w:pBdr>
        <w:spacing w:line="360" w:lineRule="auto"/>
      </w:pPr>
      <w:bookmarkStart w:id="35" w:name="_Toc190332899"/>
      <w:r w:rsidRPr="00A460C5">
        <w:t>Use</w:t>
      </w:r>
      <w:r w:rsidR="00F864B5" w:rsidRPr="00A460C5">
        <w:t xml:space="preserve"> of </w:t>
      </w:r>
      <w:r w:rsidRPr="00A460C5">
        <w:t>equality</w:t>
      </w:r>
      <w:r w:rsidR="00F864B5" w:rsidRPr="00A460C5">
        <w:t xml:space="preserve"> data </w:t>
      </w:r>
      <w:r w:rsidR="000D493A" w:rsidRPr="00A460C5">
        <w:t>in own</w:t>
      </w:r>
      <w:r w:rsidR="00F864B5" w:rsidRPr="00A460C5">
        <w:t xml:space="preserve"> </w:t>
      </w:r>
      <w:r w:rsidRPr="00A460C5">
        <w:t>decision</w:t>
      </w:r>
      <w:r w:rsidR="00F864B5" w:rsidRPr="00A460C5">
        <w:t>-making</w:t>
      </w:r>
      <w:r w:rsidR="00D45D3F" w:rsidRPr="00A460C5">
        <w:t xml:space="preserve">: </w:t>
      </w:r>
      <w:r w:rsidR="00F864B5" w:rsidRPr="00A460C5">
        <w:t>legally</w:t>
      </w:r>
      <w:r w:rsidR="00B76865" w:rsidRPr="00A460C5">
        <w:t xml:space="preserve"> non-</w:t>
      </w:r>
      <w:r w:rsidR="00F864B5" w:rsidRPr="00A460C5">
        <w:t>binding</w:t>
      </w:r>
      <w:r w:rsidR="0021054D" w:rsidRPr="00A460C5">
        <w:t xml:space="preserve"> decisions</w:t>
      </w:r>
      <w:bookmarkEnd w:id="35"/>
    </w:p>
    <w:p w14:paraId="214327C3" w14:textId="77777777" w:rsidR="00151E12" w:rsidRPr="009B3B91" w:rsidRDefault="00151E12" w:rsidP="00E944A2">
      <w:pPr>
        <w:pStyle w:val="Heading4"/>
        <w:shd w:val="clear" w:color="auto" w:fill="D3B5E9"/>
      </w:pPr>
      <w:r w:rsidRPr="009B3B91">
        <w:t>Advocate of the Principle of Equality</w:t>
      </w:r>
      <w:r>
        <w:t xml:space="preserve"> of Slovenia</w:t>
      </w:r>
    </w:p>
    <w:p w14:paraId="2B8C315B" w14:textId="76A0CCF0" w:rsidR="00AB6834" w:rsidRPr="00B11B00" w:rsidRDefault="00B957CD" w:rsidP="00CE1825">
      <w:pPr>
        <w:spacing w:after="120" w:line="360" w:lineRule="auto"/>
      </w:pPr>
      <w:r w:rsidRPr="00B11B00">
        <w:t>The Advocate of the Principle of Equality decided on a case concerning the evaluation of annual performance of a</w:t>
      </w:r>
      <w:r w:rsidR="00984F94" w:rsidRPr="00B11B00">
        <w:t xml:space="preserve"> civil servant, who was assessed negatively based on justified absence from work</w:t>
      </w:r>
      <w:r w:rsidR="00EB77AD" w:rsidRPr="00B11B00">
        <w:t xml:space="preserve">. </w:t>
      </w:r>
      <w:r w:rsidR="00AE3654" w:rsidRPr="00B11B00">
        <w:t xml:space="preserve">The advocate found that the employee was treated less favourably due to the personal grounds of parenthood and gender. </w:t>
      </w:r>
      <w:r w:rsidR="00AB6834" w:rsidRPr="00B11B00">
        <w:t xml:space="preserve">The Advocate collected historical data on the evaluation results of civil servants employed by the public body and used statistical tools to </w:t>
      </w:r>
      <w:r w:rsidR="00071CBE" w:rsidRPr="00B11B00">
        <w:t>analyse</w:t>
      </w:r>
      <w:r w:rsidR="00AB6834" w:rsidRPr="00B11B00">
        <w:t xml:space="preserve"> it</w:t>
      </w:r>
      <w:r w:rsidR="000166BC" w:rsidRPr="00B11B00">
        <w:t xml:space="preserve">. </w:t>
      </w:r>
      <w:r w:rsidR="00AB6834" w:rsidRPr="00B11B00">
        <w:t xml:space="preserve">Based on this, the Advocate identified an obvious causal link between absence/attendance at workplace and the performance review of </w:t>
      </w:r>
      <w:r w:rsidR="00071CBE" w:rsidRPr="00B11B00">
        <w:t>most</w:t>
      </w:r>
      <w:r w:rsidR="00AB6834" w:rsidRPr="00B11B00">
        <w:t xml:space="preserve"> employees of that specific public institution</w:t>
      </w:r>
      <w:r w:rsidR="00472245" w:rsidRPr="00B11B00">
        <w:t xml:space="preserve">. </w:t>
      </w:r>
      <w:r w:rsidR="00AB6834" w:rsidRPr="00B11B00">
        <w:t>To avoid the possibility that the criterion of absence at work in the time of annual performance evaluation be applied in state authorities and other public institutions, the Advocate recommended that the Ministry of Public Administration</w:t>
      </w:r>
      <w:r w:rsidR="00AE3654" w:rsidRPr="00B11B00">
        <w:t xml:space="preserve"> </w:t>
      </w:r>
      <w:r w:rsidR="00AB6834" w:rsidRPr="00B11B00">
        <w:t>address a circular letter to all state authorities and public institutions</w:t>
      </w:r>
      <w:r w:rsidR="00AE3654" w:rsidRPr="00B11B00">
        <w:t xml:space="preserve">. The circular should state </w:t>
      </w:r>
      <w:r w:rsidR="00AB6834" w:rsidRPr="00B11B00">
        <w:t xml:space="preserve">that poor performance review in connection to justified absence from work constitutes indirect </w:t>
      </w:r>
      <w:r w:rsidR="00AB6834" w:rsidRPr="00101D1A">
        <w:t xml:space="preserve">discrimination, which </w:t>
      </w:r>
      <w:r w:rsidR="004B6312" w:rsidRPr="00101D1A">
        <w:t>is legally</w:t>
      </w:r>
      <w:r w:rsidR="00AB6834" w:rsidRPr="00101D1A">
        <w:t xml:space="preserve"> prohibited, and that persons responsible for assessing employee performance must consider this fact when preparing the annual performance reviews of employees. The recommendation was implemented by the ministry.</w:t>
      </w:r>
    </w:p>
    <w:p w14:paraId="0C42C48E" w14:textId="77777777" w:rsidR="009A1161" w:rsidRPr="00620ED6" w:rsidRDefault="009A1161" w:rsidP="00E944A2">
      <w:pPr>
        <w:pStyle w:val="Heading4"/>
        <w:shd w:val="clear" w:color="auto" w:fill="D3B5E9"/>
      </w:pPr>
      <w:r w:rsidRPr="00620ED6">
        <w:t>Ombudsman’s Office of Latvia</w:t>
      </w:r>
    </w:p>
    <w:p w14:paraId="756FC2BB" w14:textId="67D3EE05" w:rsidR="00026C23" w:rsidRPr="00316B6F" w:rsidRDefault="009A1161" w:rsidP="00CE1825">
      <w:pPr>
        <w:spacing w:after="120" w:line="360" w:lineRule="auto"/>
        <w:rPr>
          <w:rFonts w:cstheme="minorHAnsi"/>
        </w:rPr>
      </w:pPr>
      <w:r w:rsidRPr="00620ED6">
        <w:rPr>
          <w:rFonts w:cstheme="minorHAnsi"/>
        </w:rPr>
        <w:t xml:space="preserve">The Ombudsman decided on a complaint submitted by a female physician, who was asked to take full certification exams—as opposed to re-certification—after having two subsequent pregnancies during which she continued to have medical training and wrote a medicine book in her specialization. The Ombudsman’s Office found that rules regulating certification and re-certification in the medical profession led to systemic indirect gender discrimination as they obligate female physicians to take a certification exam (and thus pay more and pass two exams) upon returning to work after consecutive pregnancy-related leaves. The Ombudsman also concluded breach of good governance principle by the Ministry of Health and the Latvian Medical Association, as they both were informed about the situation, but did not act.  Currently, the rules regulating certification and re-certification are in the process of amendment. To establish indirect discrimination, the Ombudsman’s Office used statistical data on parental childcare benefits, which showed their uptake by more women than men, thereby indicating larger impact on women than men by any negative job-related consequences of parental leave. The Ombudsman’s Office also used statistics on age and </w:t>
      </w:r>
      <w:r w:rsidRPr="00620ED6">
        <w:rPr>
          <w:rFonts w:cstheme="minorHAnsi"/>
        </w:rPr>
        <w:lastRenderedPageBreak/>
        <w:t xml:space="preserve">gender for medical personnel in Latvia, which showed the prevalent gender and age in the medical profession to be respectively women and over 45 years old. </w:t>
      </w:r>
    </w:p>
    <w:p w14:paraId="31E4566E" w14:textId="34D89785" w:rsidR="007C6AB0" w:rsidRPr="002505E0" w:rsidRDefault="008B522D" w:rsidP="00E9222C">
      <w:pPr>
        <w:pStyle w:val="Heading3"/>
        <w:pBdr>
          <w:top w:val="dashed" w:sz="4" w:space="9" w:color="22489E"/>
        </w:pBdr>
        <w:spacing w:line="360" w:lineRule="auto"/>
      </w:pPr>
      <w:bookmarkStart w:id="36" w:name="_Toc190332900"/>
      <w:r w:rsidRPr="002505E0">
        <w:t>Use</w:t>
      </w:r>
      <w:r w:rsidR="00E70D47" w:rsidRPr="002505E0">
        <w:t xml:space="preserve"> of </w:t>
      </w:r>
      <w:r w:rsidRPr="002505E0">
        <w:t>equality</w:t>
      </w:r>
      <w:r w:rsidR="00E70D47" w:rsidRPr="002505E0">
        <w:t xml:space="preserve"> data </w:t>
      </w:r>
      <w:r w:rsidRPr="002505E0">
        <w:t>in own</w:t>
      </w:r>
      <w:r w:rsidR="00E70D47" w:rsidRPr="002505E0">
        <w:t xml:space="preserve"> </w:t>
      </w:r>
      <w:r w:rsidRPr="002505E0">
        <w:t>decision</w:t>
      </w:r>
      <w:r w:rsidR="00E70D47" w:rsidRPr="002505E0">
        <w:t>-making</w:t>
      </w:r>
      <w:r w:rsidR="00101D1A" w:rsidRPr="002505E0">
        <w:t xml:space="preserve">: </w:t>
      </w:r>
      <w:r w:rsidR="00BA486B" w:rsidRPr="002505E0">
        <w:t>non-</w:t>
      </w:r>
      <w:r w:rsidR="00AB69D4" w:rsidRPr="002505E0">
        <w:t xml:space="preserve">legally binding </w:t>
      </w:r>
      <w:r w:rsidR="00BA486B" w:rsidRPr="002505E0">
        <w:t>recommendations</w:t>
      </w:r>
      <w:bookmarkEnd w:id="36"/>
    </w:p>
    <w:p w14:paraId="7BC54F3C" w14:textId="77777777" w:rsidR="007C6AB0" w:rsidRPr="009B3B91" w:rsidRDefault="007C6AB0" w:rsidP="00E944A2">
      <w:pPr>
        <w:pStyle w:val="Heading4"/>
        <w:shd w:val="clear" w:color="auto" w:fill="D3B5E9"/>
      </w:pPr>
      <w:r w:rsidRPr="009B3B91">
        <w:t>Lithuanian Office of the Equal Opportunities Ombudsperson</w:t>
      </w:r>
    </w:p>
    <w:p w14:paraId="26E97689" w14:textId="494CA312" w:rsidR="00F95DA3" w:rsidRDefault="00E70D47" w:rsidP="00CE1825">
      <w:pPr>
        <w:spacing w:after="120" w:line="360" w:lineRule="auto"/>
      </w:pPr>
      <w:r w:rsidRPr="00635F10">
        <w:t xml:space="preserve">The Office of the Equal Opportunities Ombudsperson decided on a case brought by a male complainant alleging discrimination against men on the ground of gender by a private </w:t>
      </w:r>
      <w:r w:rsidR="000830D5" w:rsidRPr="00635F10">
        <w:t>organization</w:t>
      </w:r>
      <w:r w:rsidRPr="00635F10">
        <w:t xml:space="preserve"> </w:t>
      </w:r>
      <w:r w:rsidR="00890B18" w:rsidRPr="00635F10">
        <w:t>which</w:t>
      </w:r>
      <w:r w:rsidRPr="00635F10">
        <w:t xml:space="preserve"> </w:t>
      </w:r>
      <w:r w:rsidR="00973AC8" w:rsidRPr="00635F10">
        <w:t>offers leadership</w:t>
      </w:r>
      <w:r w:rsidR="00A91365" w:rsidRPr="00635F10">
        <w:t xml:space="preserve"> courses for women only.</w:t>
      </w:r>
      <w:r w:rsidRPr="00635F10">
        <w:t xml:space="preserve"> In its decision, which established no discrimination, </w:t>
      </w:r>
      <w:r w:rsidR="000830D5" w:rsidRPr="00635F10">
        <w:t>the</w:t>
      </w:r>
      <w:r w:rsidR="00A91365" w:rsidRPr="00635F10">
        <w:t xml:space="preserve"> Lithuanian</w:t>
      </w:r>
      <w:r w:rsidRPr="00635F10">
        <w:t xml:space="preserve"> Ombudsperson used external data on women in leading </w:t>
      </w:r>
      <w:r w:rsidR="000830D5" w:rsidRPr="00635F10">
        <w:t>positions</w:t>
      </w:r>
      <w:r w:rsidRPr="00635F10">
        <w:t xml:space="preserve"> in business, showing the </w:t>
      </w:r>
      <w:r w:rsidR="000830D5" w:rsidRPr="00635F10">
        <w:t>significantly</w:t>
      </w:r>
      <w:r w:rsidRPr="00635F10">
        <w:t xml:space="preserve"> lower numbers of women </w:t>
      </w:r>
      <w:r w:rsidR="00A91365" w:rsidRPr="00635F10">
        <w:t xml:space="preserve">in leading </w:t>
      </w:r>
      <w:r w:rsidR="000830D5" w:rsidRPr="00635F10">
        <w:t>positions</w:t>
      </w:r>
      <w:r w:rsidR="00A91365" w:rsidRPr="00635F10">
        <w:t xml:space="preserve"> in business </w:t>
      </w:r>
      <w:r w:rsidRPr="00635F10">
        <w:t xml:space="preserve">compared </w:t>
      </w:r>
      <w:r w:rsidR="00A91365" w:rsidRPr="00635F10">
        <w:t>to men.</w:t>
      </w:r>
      <w:r w:rsidR="002B1814" w:rsidRPr="002B1814">
        <w:rPr>
          <w:rFonts w:eastAsia="Times New Roman"/>
          <w:lang w:val="lt-LT"/>
        </w:rPr>
        <w:t xml:space="preserve"> </w:t>
      </w:r>
      <w:r w:rsidR="002661E8">
        <w:rPr>
          <w:rFonts w:eastAsia="Times New Roman"/>
          <w:lang w:val="lt-LT"/>
        </w:rPr>
        <w:t xml:space="preserve">The adat included various naitonal and internaitonal sources such as the </w:t>
      </w:r>
      <w:r w:rsidR="002B1814">
        <w:rPr>
          <w:rFonts w:eastAsia="Times New Roman"/>
          <w:lang w:val="lt-LT"/>
        </w:rPr>
        <w:t>Lithuanian official statistics (Statistics Lithuania), surveys made by media, EIGE, various Lithuanian (Versli Lietuva) and non-Lithuanian organizations, publications by media (Forbes, Verslo zinios), banks (SEB), Lithuanian ministry,</w:t>
      </w:r>
      <w:r w:rsidR="004C3CDE">
        <w:rPr>
          <w:rFonts w:eastAsia="Times New Roman"/>
          <w:lang w:val="lt-LT"/>
        </w:rPr>
        <w:t xml:space="preserve"> and European Commission reports</w:t>
      </w:r>
      <w:r w:rsidR="005C40FA">
        <w:rPr>
          <w:rFonts w:eastAsia="Times New Roman"/>
          <w:lang w:val="lt-LT"/>
        </w:rPr>
        <w:t xml:space="preserve">. </w:t>
      </w:r>
      <w:r w:rsidR="002B1814">
        <w:rPr>
          <w:rFonts w:eastAsia="Times New Roman"/>
          <w:lang w:val="lt-LT"/>
        </w:rPr>
        <w:t xml:space="preserve"> </w:t>
      </w:r>
    </w:p>
    <w:p w14:paraId="6159E19A" w14:textId="4BBF8A02" w:rsidR="001C0427" w:rsidRDefault="00A91365" w:rsidP="00CE1825">
      <w:pPr>
        <w:spacing w:after="120" w:line="360" w:lineRule="auto"/>
        <w:rPr>
          <w:rFonts w:eastAsia="Times New Roman" w:cstheme="minorHAnsi"/>
          <w:color w:val="333333"/>
        </w:rPr>
      </w:pPr>
      <w:r w:rsidRPr="00635F10">
        <w:t xml:space="preserve"> </w:t>
      </w:r>
      <w:r w:rsidR="00E70D47" w:rsidRPr="00635F10">
        <w:t xml:space="preserve">In another </w:t>
      </w:r>
      <w:r w:rsidR="0014578F" w:rsidRPr="00635F10">
        <w:t>decision</w:t>
      </w:r>
      <w:r w:rsidR="00B062DD" w:rsidRPr="00635F10">
        <w:t xml:space="preserve">, the </w:t>
      </w:r>
      <w:r w:rsidR="00890B18" w:rsidRPr="00635F10">
        <w:t>Lithuanian</w:t>
      </w:r>
      <w:r w:rsidR="00B062DD" w:rsidRPr="00635F10">
        <w:t xml:space="preserve"> equality body found that </w:t>
      </w:r>
      <w:r w:rsidR="00973AC8" w:rsidRPr="00635F10">
        <w:t>a</w:t>
      </w:r>
      <w:r w:rsidR="00B062DD" w:rsidRPr="00635F10">
        <w:t xml:space="preserve"> legal </w:t>
      </w:r>
      <w:r w:rsidR="0014578F" w:rsidRPr="00635F10">
        <w:t>requirement</w:t>
      </w:r>
      <w:r w:rsidR="00B062DD" w:rsidRPr="00635F10">
        <w:t xml:space="preserve"> regarding the qualification of </w:t>
      </w:r>
      <w:r w:rsidR="0014578F" w:rsidRPr="00635F10">
        <w:t>paediatric</w:t>
      </w:r>
      <w:r w:rsidR="00B062DD" w:rsidRPr="00635F10">
        <w:t xml:space="preserve"> allergologists introduced </w:t>
      </w:r>
      <w:r w:rsidR="00890B18" w:rsidRPr="00635F10">
        <w:t>by</w:t>
      </w:r>
      <w:r w:rsidR="00B062DD" w:rsidRPr="00635F10">
        <w:t xml:space="preserve"> the Ministry of Health Protection is indirectly </w:t>
      </w:r>
      <w:r w:rsidR="0014578F" w:rsidRPr="00635F10">
        <w:t>discriminatory</w:t>
      </w:r>
      <w:r w:rsidR="00B062DD" w:rsidRPr="00635F10">
        <w:t xml:space="preserve"> based on gender</w:t>
      </w:r>
      <w:r w:rsidR="0080095A" w:rsidRPr="00635F10">
        <w:t xml:space="preserve">. </w:t>
      </w:r>
      <w:r w:rsidR="00B062DD" w:rsidRPr="00635F10">
        <w:t xml:space="preserve">The rule stated that </w:t>
      </w:r>
      <w:r w:rsidR="0003150E">
        <w:t>to</w:t>
      </w:r>
      <w:r w:rsidR="00B062DD" w:rsidRPr="00635F10">
        <w:t xml:space="preserve"> qualify for a license for medical </w:t>
      </w:r>
      <w:r w:rsidR="0014578F" w:rsidRPr="00635F10">
        <w:t>practice</w:t>
      </w:r>
      <w:r w:rsidR="00B062DD" w:rsidRPr="00635F10">
        <w:t xml:space="preserve"> as </w:t>
      </w:r>
      <w:r w:rsidR="00B85379" w:rsidRPr="00635F10">
        <w:t>paediatric</w:t>
      </w:r>
      <w:r w:rsidR="00B062DD" w:rsidRPr="00635F10">
        <w:t xml:space="preserve"> allergologists, Lithuanian doctors need to obtain a minimum of </w:t>
      </w:r>
      <w:r w:rsidR="00B85379" w:rsidRPr="00635F10">
        <w:t>three</w:t>
      </w:r>
      <w:r w:rsidR="00B062DD" w:rsidRPr="00635F10">
        <w:t xml:space="preserve"> years practice within the </w:t>
      </w:r>
      <w:r w:rsidR="00B85379" w:rsidRPr="00635F10">
        <w:t>period</w:t>
      </w:r>
      <w:r w:rsidR="00B062DD" w:rsidRPr="00635F10">
        <w:t xml:space="preserve"> </w:t>
      </w:r>
      <w:r w:rsidR="00890B18" w:rsidRPr="00635F10">
        <w:t>of five</w:t>
      </w:r>
      <w:r w:rsidR="00B062DD" w:rsidRPr="00635F10">
        <w:t xml:space="preserve"> years. To reach this decision, the Ombudsperson relied on external data</w:t>
      </w:r>
      <w:r w:rsidR="002817F8">
        <w:t xml:space="preserve"> from the </w:t>
      </w:r>
      <w:r w:rsidR="002817F8" w:rsidRPr="0011408C">
        <w:rPr>
          <w:lang w:val="lt-LT"/>
        </w:rPr>
        <w:t>official statistical database</w:t>
      </w:r>
      <w:r w:rsidR="00B062DD" w:rsidRPr="00635F10">
        <w:t xml:space="preserve"> that showed that </w:t>
      </w:r>
      <w:r w:rsidR="00B85379" w:rsidRPr="00635F10">
        <w:t>most</w:t>
      </w:r>
      <w:r w:rsidR="00B062DD" w:rsidRPr="00635F10">
        <w:t xml:space="preserve"> parents going on maternity/paternity leave were women, thus this legal act affected disproportionately more women doctors that than their male colleagues.</w:t>
      </w:r>
      <w:r w:rsidR="00513283">
        <w:t xml:space="preserve"> </w:t>
      </w:r>
      <w:r w:rsidR="00B062DD" w:rsidRPr="00635F10">
        <w:t xml:space="preserve">The equality body </w:t>
      </w:r>
      <w:r w:rsidR="001C6B09">
        <w:t>recommended</w:t>
      </w:r>
      <w:r w:rsidR="00B062DD" w:rsidRPr="00635F10">
        <w:t xml:space="preserve"> to the </w:t>
      </w:r>
      <w:r w:rsidRPr="00635F10">
        <w:t>Ministry of Health Protection to prolong the term for doctors on maternity/paternity leave to obtain necessary work practice.</w:t>
      </w:r>
      <w:r w:rsidRPr="009B3B91">
        <w:rPr>
          <w:rFonts w:eastAsia="Times New Roman" w:cstheme="minorHAnsi"/>
          <w:color w:val="333333"/>
        </w:rPr>
        <w:t xml:space="preserve"> </w:t>
      </w:r>
    </w:p>
    <w:p w14:paraId="755989A9" w14:textId="77777777" w:rsidR="001C0427" w:rsidRPr="008B522D" w:rsidRDefault="001C0427" w:rsidP="00E944A2">
      <w:pPr>
        <w:pStyle w:val="Heading4"/>
        <w:shd w:val="clear" w:color="auto" w:fill="D3B5E9"/>
      </w:pPr>
      <w:r w:rsidRPr="008B522D">
        <w:t>Serbian Commissioner for Protection against Discrimination</w:t>
      </w:r>
    </w:p>
    <w:p w14:paraId="356ECE1C" w14:textId="2079F56B" w:rsidR="00180294" w:rsidRPr="00316B6F" w:rsidRDefault="001C6B09" w:rsidP="00CE1825">
      <w:pPr>
        <w:spacing w:after="120" w:line="360" w:lineRule="auto"/>
      </w:pPr>
      <w:r>
        <w:t xml:space="preserve">The </w:t>
      </w:r>
      <w:r w:rsidR="001C0427" w:rsidRPr="00B11B00">
        <w:t>Serbian Commissioner</w:t>
      </w:r>
      <w:r>
        <w:t xml:space="preserve"> </w:t>
      </w:r>
      <w:r w:rsidR="001C0427" w:rsidRPr="00B11B00">
        <w:t xml:space="preserve">decided </w:t>
      </w:r>
      <w:r w:rsidR="001C0427" w:rsidRPr="007E153A">
        <w:t>on a complaint against</w:t>
      </w:r>
      <w:r w:rsidR="001C0427" w:rsidRPr="008B522D">
        <w:t xml:space="preserve"> the owner of the beauty salon for discrimination based on nationality and ethnic origin (member of the Roma community). Since this was a case of indirect discrimination, the Commissioner used data from its own research “Perception of citizens toward discrimination” to establish evidence triggering a shift in the burden of proof. </w:t>
      </w:r>
      <w:r>
        <w:t>Specifically, the Commissioner used data on pandemic-related social distancing towards Roma population to show bias in applying</w:t>
      </w:r>
      <w:r w:rsidR="001C0427" w:rsidRPr="008B522D">
        <w:t xml:space="preserve"> distancing measures. Another case decided by the Commissioner resulted in a finding that a Serbian TV host’s comments in relation to sexual orientation amount to hate speech and harassment. To reach its decision (non-binding recommendation), the </w:t>
      </w:r>
      <w:r w:rsidR="001C0427" w:rsidRPr="008B522D">
        <w:lastRenderedPageBreak/>
        <w:t xml:space="preserve">Commissioner relied on data from UNDP research "Being LGBT in Eastern Europe - Report on Serbia." </w:t>
      </w:r>
    </w:p>
    <w:p w14:paraId="36C8C45F" w14:textId="7F590010" w:rsidR="00357823" w:rsidRPr="00EB258C" w:rsidRDefault="00357823" w:rsidP="00E944A2">
      <w:pPr>
        <w:shd w:val="clear" w:color="auto" w:fill="D3B5E9"/>
        <w:spacing w:after="120" w:line="360" w:lineRule="auto"/>
        <w:rPr>
          <w:b/>
          <w:bCs/>
          <w:sz w:val="24"/>
          <w:szCs w:val="24"/>
        </w:rPr>
      </w:pPr>
      <w:r w:rsidRPr="000F5805">
        <w:rPr>
          <w:b/>
          <w:bCs/>
          <w:sz w:val="24"/>
          <w:szCs w:val="24"/>
        </w:rPr>
        <w:t>French Defender of Rights (</w:t>
      </w:r>
      <w:proofErr w:type="spellStart"/>
      <w:r w:rsidRPr="000F5805">
        <w:rPr>
          <w:b/>
          <w:bCs/>
          <w:sz w:val="24"/>
          <w:szCs w:val="24"/>
        </w:rPr>
        <w:t>Défenseur</w:t>
      </w:r>
      <w:proofErr w:type="spellEnd"/>
      <w:r w:rsidRPr="000F5805">
        <w:rPr>
          <w:b/>
          <w:bCs/>
          <w:sz w:val="24"/>
          <w:szCs w:val="24"/>
        </w:rPr>
        <w:t xml:space="preserve"> des droits)</w:t>
      </w:r>
    </w:p>
    <w:p w14:paraId="0D0BF09F" w14:textId="63B7E91B" w:rsidR="00500D05" w:rsidRPr="00500D05" w:rsidRDefault="00500D05" w:rsidP="00CE1825">
      <w:pPr>
        <w:spacing w:after="120" w:line="360" w:lineRule="auto"/>
        <w:rPr>
          <w:rFonts w:ascii="Calibri" w:eastAsia="Calibri" w:hAnsi="Calibri" w:cs="Calibri"/>
          <w:bCs/>
        </w:rPr>
      </w:pPr>
      <w:r w:rsidRPr="00500D05">
        <w:rPr>
          <w:rFonts w:ascii="Calibri" w:eastAsia="Calibri" w:hAnsi="Calibri" w:cs="Calibri"/>
          <w:bCs/>
        </w:rPr>
        <w:t xml:space="preserve">In 2013 the Defender of Rights received a </w:t>
      </w:r>
      <w:r>
        <w:rPr>
          <w:rFonts w:ascii="Calibri" w:eastAsia="Calibri" w:hAnsi="Calibri" w:cs="Calibri"/>
          <w:bCs/>
        </w:rPr>
        <w:t>complaint</w:t>
      </w:r>
      <w:r w:rsidR="009E68A5">
        <w:rPr>
          <w:rFonts w:ascii="Calibri" w:eastAsia="Calibri" w:hAnsi="Calibri" w:cs="Calibri"/>
          <w:bCs/>
        </w:rPr>
        <w:t xml:space="preserve"> regarding sexual harassment experienced by </w:t>
      </w:r>
      <w:r w:rsidRPr="00500D05">
        <w:rPr>
          <w:rFonts w:ascii="Calibri" w:eastAsia="Calibri" w:hAnsi="Calibri" w:cs="Calibri"/>
          <w:bCs/>
        </w:rPr>
        <w:t xml:space="preserve"> five women in a cleaning company, and reprisals for reporting these facts. The </w:t>
      </w:r>
      <w:r w:rsidR="0045205D">
        <w:rPr>
          <w:rFonts w:ascii="Calibri" w:eastAsia="Calibri" w:hAnsi="Calibri" w:cs="Calibri"/>
          <w:bCs/>
        </w:rPr>
        <w:t xml:space="preserve">Defender was approached in parallel by </w:t>
      </w:r>
      <w:r w:rsidRPr="00500D05">
        <w:rPr>
          <w:rFonts w:ascii="Calibri" w:eastAsia="Calibri" w:hAnsi="Calibri" w:cs="Calibri"/>
          <w:bCs/>
        </w:rPr>
        <w:t xml:space="preserve">a union representative of the same company, who claimed to have been subjected to reprisals for having supported these women. </w:t>
      </w:r>
      <w:r w:rsidR="002B4668">
        <w:rPr>
          <w:rFonts w:ascii="Calibri" w:eastAsia="Calibri" w:hAnsi="Calibri" w:cs="Calibri"/>
          <w:bCs/>
        </w:rPr>
        <w:t xml:space="preserve"> </w:t>
      </w:r>
      <w:r w:rsidRPr="00500D05">
        <w:rPr>
          <w:rFonts w:ascii="Calibri" w:eastAsia="Calibri" w:hAnsi="Calibri" w:cs="Calibri"/>
          <w:bCs/>
        </w:rPr>
        <w:t xml:space="preserve">A dozen people were interviewed and an on-site inspection was organized for two days. Following this investigation, a legal analysis was carried out by the Defender of Rights. It revealed a system of domination between women and men in the cleaning sector in general and on this site in particular. This domination was based on both a hierarchy of functions and tasks according to gender. Faced with these observations, a sociological expertise was requested from Natalie Benelli, a sociologist who has worked on gender issue and intersectionality. Her </w:t>
      </w:r>
      <w:r w:rsidR="005D6AC2" w:rsidRPr="00500D05">
        <w:rPr>
          <w:rFonts w:ascii="Calibri" w:eastAsia="Calibri" w:hAnsi="Calibri" w:cs="Calibri"/>
          <w:bCs/>
        </w:rPr>
        <w:t>expert</w:t>
      </w:r>
      <w:r w:rsidR="000F5805">
        <w:rPr>
          <w:rFonts w:ascii="Calibri" w:eastAsia="Calibri" w:hAnsi="Calibri" w:cs="Calibri"/>
          <w:bCs/>
        </w:rPr>
        <w:t xml:space="preserve"> brief</w:t>
      </w:r>
      <w:r w:rsidRPr="00500D05">
        <w:rPr>
          <w:rFonts w:ascii="Calibri" w:eastAsia="Calibri" w:hAnsi="Calibri" w:cs="Calibri"/>
          <w:bCs/>
        </w:rPr>
        <w:t xml:space="preserve"> demonstrated gender domination in the cleaning industry, coupled with situations of precariousness and economic vulnerability, creating a context conducive to sexual harassment. </w:t>
      </w:r>
    </w:p>
    <w:p w14:paraId="0428E99C" w14:textId="304124EA" w:rsidR="00117BE6" w:rsidRPr="00316B6F" w:rsidRDefault="00500D05" w:rsidP="00CE1825">
      <w:pPr>
        <w:spacing w:after="120" w:line="360" w:lineRule="auto"/>
        <w:rPr>
          <w:rFonts w:ascii="Calibri" w:eastAsia="Calibri" w:hAnsi="Calibri" w:cs="Calibri"/>
          <w:bCs/>
        </w:rPr>
      </w:pPr>
      <w:r w:rsidRPr="00500D05">
        <w:rPr>
          <w:rFonts w:ascii="Calibri" w:eastAsia="Calibri" w:hAnsi="Calibri" w:cs="Calibri"/>
          <w:bCs/>
        </w:rPr>
        <w:t>In 2017 the Labour Court's judgment recognized sexual harassment for the claimants and used this sociological analysis to establish sexual harassment. The company was ordered to compensate the claimants significantly. On appeal, the Court of Appeals recognized sexual harassment but did not retain the sociological context.</w:t>
      </w:r>
    </w:p>
    <w:p w14:paraId="41A2FE49" w14:textId="77777777" w:rsidR="00117BE6" w:rsidRDefault="00117BE6" w:rsidP="00E944A2">
      <w:pPr>
        <w:pStyle w:val="Heading4"/>
        <w:shd w:val="clear" w:color="auto" w:fill="D3B5E9"/>
      </w:pPr>
      <w:r w:rsidRPr="007C3D6F">
        <w:t>Office of the Greek Ombudsman</w:t>
      </w:r>
      <w:r w:rsidRPr="00543EFE">
        <w:t xml:space="preserve"> </w:t>
      </w:r>
    </w:p>
    <w:p w14:paraId="67F50239" w14:textId="32FF2A86" w:rsidR="00B062DD" w:rsidRPr="00316B6F" w:rsidRDefault="00117BE6" w:rsidP="00CE1825">
      <w:pPr>
        <w:spacing w:after="120" w:line="360" w:lineRule="auto"/>
      </w:pPr>
      <w:r w:rsidRPr="007C3D6F">
        <w:t>The Office of the Greek Ombudsman</w:t>
      </w:r>
      <w:r w:rsidR="00944C04" w:rsidRPr="007C3D6F">
        <w:t xml:space="preserve"> relied on </w:t>
      </w:r>
      <w:r w:rsidR="00865269" w:rsidRPr="007C3D6F">
        <w:t>both statistical and qualitative data</w:t>
      </w:r>
      <w:r w:rsidR="0034763E" w:rsidRPr="007C3D6F">
        <w:t xml:space="preserve"> from own as well as from external sources </w:t>
      </w:r>
      <w:r w:rsidR="00C92678" w:rsidRPr="007C3D6F">
        <w:t xml:space="preserve">to intervene on a case of indirect gender discrimination.  </w:t>
      </w:r>
      <w:r w:rsidR="00A5575C" w:rsidRPr="007C3D6F">
        <w:t>The Ombudsman’s office received a number of complaints</w:t>
      </w:r>
      <w:r w:rsidR="00C07F85" w:rsidRPr="007C3D6F">
        <w:t xml:space="preserve"> concerning possible discrimination against women entering the police force. </w:t>
      </w:r>
      <w:r w:rsidR="004E4861" w:rsidRPr="007C3D6F">
        <w:t xml:space="preserve"> </w:t>
      </w:r>
      <w:r w:rsidR="004E4861" w:rsidRPr="008B522D">
        <w:t>The</w:t>
      </w:r>
      <w:r w:rsidR="003C69F8">
        <w:t xml:space="preserve"> contested rule </w:t>
      </w:r>
      <w:r w:rsidR="001D3ED4">
        <w:t xml:space="preserve">set an </w:t>
      </w:r>
      <w:r w:rsidR="004E4861" w:rsidRPr="008B522D">
        <w:t xml:space="preserve">upper limit </w:t>
      </w:r>
      <w:r w:rsidR="001D3ED4">
        <w:t xml:space="preserve">for the </w:t>
      </w:r>
      <w:r w:rsidR="004E4861" w:rsidRPr="008B522D">
        <w:t>height women</w:t>
      </w:r>
      <w:r w:rsidR="001D3ED4">
        <w:t xml:space="preserve"> have to have to </w:t>
      </w:r>
      <w:r w:rsidR="004E4861" w:rsidRPr="008B522D">
        <w:t>participate in the competit</w:t>
      </w:r>
      <w:r w:rsidR="007D1448">
        <w:t xml:space="preserve">ive </w:t>
      </w:r>
      <w:r w:rsidR="004E4861" w:rsidRPr="008B522D">
        <w:t xml:space="preserve">exams for entry to the police force. This upper limit has now been changed allowing more women access to the police force. </w:t>
      </w:r>
    </w:p>
    <w:p w14:paraId="3BE389CE" w14:textId="77777777" w:rsidR="00151E12" w:rsidRPr="009B3B91" w:rsidRDefault="00151E12" w:rsidP="00E944A2">
      <w:pPr>
        <w:pStyle w:val="Heading4"/>
        <w:shd w:val="clear" w:color="auto" w:fill="D3B5E9"/>
      </w:pPr>
      <w:r w:rsidRPr="009B3B91">
        <w:t>Advocate of the Principle of Equality</w:t>
      </w:r>
      <w:r>
        <w:t xml:space="preserve"> of Slovenia</w:t>
      </w:r>
    </w:p>
    <w:p w14:paraId="36384005" w14:textId="120DDA5E" w:rsidR="00620ED6" w:rsidRPr="001F4BAF" w:rsidRDefault="00C9648F" w:rsidP="00CE1825">
      <w:pPr>
        <w:spacing w:after="120" w:line="360" w:lineRule="auto"/>
      </w:pPr>
      <w:r>
        <w:t xml:space="preserve">The Advocate found discrimination in a form of victimization in a case of public servant who publicly spoke in front of a Bosnian news portal about discrimination against Bosnians in Slovenia.  The civil servant was served a written warning by the public employer, stating that if she repeated any kind of violation in the course of one year, she would be fired.  As a justification for the warning, the employer described the employee's statements as untrue and harmful to the Republic of Slovenia </w:t>
      </w:r>
      <w:r>
        <w:lastRenderedPageBreak/>
        <w:t>and</w:t>
      </w:r>
      <w:r w:rsidR="003B037F">
        <w:t>, therefore,</w:t>
      </w:r>
      <w:r>
        <w:t xml:space="preserve"> claimed that she had violated her employment obligations as a civil servant. The Advocate </w:t>
      </w:r>
      <w:r w:rsidR="00D97092">
        <w:t xml:space="preserve">used various sources of equality data to </w:t>
      </w:r>
      <w:r w:rsidR="00695572">
        <w:t xml:space="preserve">reach </w:t>
      </w:r>
      <w:r w:rsidR="0060031A">
        <w:t>a</w:t>
      </w:r>
      <w:r w:rsidR="00695572">
        <w:t xml:space="preserve"> finding that </w:t>
      </w:r>
      <w:r>
        <w:t xml:space="preserve">the public servant has been a </w:t>
      </w:r>
      <w:r w:rsidR="004315E7">
        <w:t xml:space="preserve">subject of </w:t>
      </w:r>
      <w:r>
        <w:t>victimization</w:t>
      </w:r>
      <w:r w:rsidR="004315E7">
        <w:t>. Specifically, t</w:t>
      </w:r>
      <w:r>
        <w:t xml:space="preserve">he Advocate </w:t>
      </w:r>
      <w:r w:rsidR="00FD40EB">
        <w:t>relied on</w:t>
      </w:r>
      <w:r w:rsidR="00F9589C">
        <w:t xml:space="preserve"> the following sources: </w:t>
      </w:r>
      <w:r w:rsidR="003B037F">
        <w:t xml:space="preserve">a </w:t>
      </w:r>
      <w:r>
        <w:t>research project conducted by the Institute for Ethnic Studies regarding the position and status of members of the nations of the former Yugoslavia in the Republic of Slovenia</w:t>
      </w:r>
      <w:r w:rsidR="00F9589C">
        <w:t xml:space="preserve">; </w:t>
      </w:r>
      <w:r w:rsidR="00FC77C1">
        <w:t xml:space="preserve"> research by the Institute for Ethnic and Regional Studies</w:t>
      </w:r>
      <w:r w:rsidR="00311180">
        <w:t xml:space="preserve"> on</w:t>
      </w:r>
      <w:r w:rsidR="00FC77C1">
        <w:t xml:space="preserve"> </w:t>
      </w:r>
      <w:r w:rsidR="00311180">
        <w:t>d</w:t>
      </w:r>
      <w:r w:rsidR="009E152B">
        <w:t>iscriminatory attitude</w:t>
      </w:r>
      <w:r w:rsidR="00311180">
        <w:t>s</w:t>
      </w:r>
      <w:r w:rsidR="009E152B">
        <w:t xml:space="preserve"> of Slovenians towards Bosnians</w:t>
      </w:r>
      <w:r w:rsidR="0091658F">
        <w:t xml:space="preserve">; </w:t>
      </w:r>
      <w:r w:rsidR="0060031A">
        <w:t>publication by M</w:t>
      </w:r>
      <w:r>
        <w:t xml:space="preserve">inority Rights Group International about Bosnians in Slovenia facing problems with economic and social exclusion, partly because of widespread prejudice and hidden discrimination.  </w:t>
      </w:r>
    </w:p>
    <w:p w14:paraId="67C0C7F0" w14:textId="752C6C0E" w:rsidR="00B24C1E" w:rsidRPr="00316B6F" w:rsidRDefault="00B24C1E" w:rsidP="00E944A2">
      <w:pPr>
        <w:pStyle w:val="Heading4"/>
        <w:shd w:val="clear" w:color="auto" w:fill="D3B5E9"/>
        <w:rPr>
          <w:rFonts w:eastAsia="Times New Roman"/>
        </w:rPr>
      </w:pPr>
      <w:r w:rsidRPr="009B3B91">
        <w:rPr>
          <w:rFonts w:eastAsia="Times New Roman"/>
        </w:rPr>
        <w:t>Albanian Commissioner for Protection from Discrimination</w:t>
      </w:r>
    </w:p>
    <w:p w14:paraId="65ABA9A6" w14:textId="08C60382" w:rsidR="00261EBF" w:rsidRPr="009B3B91" w:rsidRDefault="0078111A" w:rsidP="00D76FFD">
      <w:pPr>
        <w:spacing w:after="120" w:line="360" w:lineRule="auto"/>
      </w:pPr>
      <w:r w:rsidRPr="00BC1008">
        <w:t xml:space="preserve">The Commissioner </w:t>
      </w:r>
      <w:r w:rsidR="00832C93" w:rsidRPr="00BC1008">
        <w:t>decided</w:t>
      </w:r>
      <w:r w:rsidR="000D6006" w:rsidRPr="00BC1008">
        <w:t xml:space="preserve"> in a case that the Ministry of Health and Social Protection and the University Hospital </w:t>
      </w:r>
      <w:r w:rsidR="00832C93" w:rsidRPr="00BC1008">
        <w:t>Centre</w:t>
      </w:r>
      <w:r w:rsidR="000D6006" w:rsidRPr="00BC1008">
        <w:t xml:space="preserve"> “Mother Tereza” has discriminated against an infant on the </w:t>
      </w:r>
      <w:r w:rsidR="00832C93" w:rsidRPr="00BC1008">
        <w:t>grounds</w:t>
      </w:r>
      <w:r w:rsidR="000D6006" w:rsidRPr="00BC1008">
        <w:t xml:space="preserve"> </w:t>
      </w:r>
      <w:r w:rsidR="009416BF" w:rsidRPr="00BC1008">
        <w:t>of “</w:t>
      </w:r>
      <w:r w:rsidRPr="00BC1008">
        <w:t>disability, age, health status and economic status</w:t>
      </w:r>
      <w:r w:rsidR="000D6006" w:rsidRPr="00BC1008">
        <w:t>.</w:t>
      </w:r>
      <w:r w:rsidRPr="00BC1008">
        <w:t>”</w:t>
      </w:r>
      <w:r w:rsidR="000D6006" w:rsidRPr="00BC1008">
        <w:t xml:space="preserve">  </w:t>
      </w:r>
      <w:r w:rsidR="00832C93" w:rsidRPr="00BC1008">
        <w:t>Based</w:t>
      </w:r>
      <w:r w:rsidR="000D6006" w:rsidRPr="00BC1008">
        <w:t xml:space="preserve"> on data that the </w:t>
      </w:r>
      <w:r w:rsidR="00832C93" w:rsidRPr="00BC1008">
        <w:t>Commissioner</w:t>
      </w:r>
      <w:r w:rsidR="000D6006" w:rsidRPr="00BC1008">
        <w:t xml:space="preserve">’ </w:t>
      </w:r>
      <w:r w:rsidR="009416BF" w:rsidRPr="00BC1008">
        <w:t>office</w:t>
      </w:r>
      <w:r w:rsidR="000D6006" w:rsidRPr="00BC1008">
        <w:t xml:space="preserve"> </w:t>
      </w:r>
      <w:r w:rsidR="009416BF" w:rsidRPr="00BC1008">
        <w:t>themselves</w:t>
      </w:r>
      <w:r w:rsidR="000D6006" w:rsidRPr="00BC1008">
        <w:t xml:space="preserve"> have collected during the years</w:t>
      </w:r>
      <w:r w:rsidRPr="00BC1008">
        <w:t>,</w:t>
      </w:r>
      <w:r w:rsidR="000D6006" w:rsidRPr="00BC1008">
        <w:t xml:space="preserve"> the Commissioner established that there has been a persistent history of </w:t>
      </w:r>
      <w:r w:rsidR="00832C93" w:rsidRPr="00BC1008">
        <w:t>failure</w:t>
      </w:r>
      <w:r w:rsidR="000D6006" w:rsidRPr="00BC1008">
        <w:t xml:space="preserve"> to </w:t>
      </w:r>
      <w:r w:rsidR="009416BF" w:rsidRPr="00BC1008">
        <w:t>address</w:t>
      </w:r>
      <w:r w:rsidR="000D6006" w:rsidRPr="00BC1008">
        <w:t xml:space="preserve"> the problem </w:t>
      </w:r>
      <w:r w:rsidR="00AA7CDD" w:rsidRPr="00BC1008">
        <w:t>of lack</w:t>
      </w:r>
      <w:r w:rsidRPr="00BC1008">
        <w:t xml:space="preserve"> of relevant medications for the treatment of children with </w:t>
      </w:r>
      <w:r w:rsidR="00832C93" w:rsidRPr="00BC1008">
        <w:t>leukaemia</w:t>
      </w:r>
      <w:r w:rsidR="000D6006" w:rsidRPr="00BC1008">
        <w:t>, despite this problem being identified by the Commissioner already in 2016</w:t>
      </w:r>
      <w:r w:rsidR="0080095A" w:rsidRPr="00BC1008">
        <w:t xml:space="preserve">. </w:t>
      </w:r>
      <w:r w:rsidRPr="00BC1008">
        <w:t xml:space="preserve">The case in question is </w:t>
      </w:r>
      <w:r w:rsidR="000D6006" w:rsidRPr="00BC1008">
        <w:t>still pending before the courts</w:t>
      </w:r>
      <w:r w:rsidR="009416BF" w:rsidRPr="00BC1008">
        <w:t xml:space="preserve">. </w:t>
      </w:r>
    </w:p>
    <w:p w14:paraId="331A2485" w14:textId="380FEC38" w:rsidR="005363A6" w:rsidRPr="002505E0" w:rsidRDefault="00113033" w:rsidP="00E9222C">
      <w:pPr>
        <w:pStyle w:val="Heading3"/>
        <w:pBdr>
          <w:top w:val="dashed" w:sz="4" w:space="9" w:color="22489E"/>
        </w:pBdr>
        <w:spacing w:line="360" w:lineRule="auto"/>
      </w:pPr>
      <w:bookmarkStart w:id="37" w:name="_Toc190332901"/>
      <w:r w:rsidRPr="00C46C4E">
        <w:t>Participating in court proceedings</w:t>
      </w:r>
      <w:bookmarkEnd w:id="37"/>
      <w:r w:rsidRPr="00C46C4E">
        <w:t xml:space="preserve"> </w:t>
      </w:r>
    </w:p>
    <w:p w14:paraId="6F1913A1" w14:textId="77777777" w:rsidR="00DD70B1" w:rsidRPr="00DD70B1" w:rsidRDefault="00DD70B1" w:rsidP="00E944A2">
      <w:pPr>
        <w:pStyle w:val="Heading4"/>
        <w:shd w:val="clear" w:color="auto" w:fill="D3B5E9"/>
        <w:rPr>
          <w:rFonts w:eastAsia="Times New Roman"/>
        </w:rPr>
      </w:pPr>
      <w:r w:rsidRPr="00DD70B1">
        <w:rPr>
          <w:rFonts w:eastAsia="Times New Roman"/>
        </w:rPr>
        <w:t>Advocate of the Principle of Equality of Slovenia</w:t>
      </w:r>
    </w:p>
    <w:p w14:paraId="38870274" w14:textId="461E70B6" w:rsidR="00E14D85" w:rsidRPr="00E6721C" w:rsidRDefault="00C54B31" w:rsidP="0026604D">
      <w:pPr>
        <w:spacing w:after="120" w:line="360" w:lineRule="auto"/>
        <w:rPr>
          <w:b/>
          <w:bCs/>
          <w:sz w:val="20"/>
          <w:szCs w:val="20"/>
        </w:rPr>
      </w:pPr>
      <w:r w:rsidRPr="00E6721C">
        <w:rPr>
          <w:rStyle w:val="Heading4Char"/>
          <w:sz w:val="20"/>
          <w:szCs w:val="20"/>
        </w:rPr>
        <w:t>Amicus curiae intervention before the European Court of Human Rights (ECtHR</w:t>
      </w:r>
      <w:r w:rsidRPr="00E6721C">
        <w:rPr>
          <w:b/>
          <w:bCs/>
          <w:sz w:val="20"/>
          <w:szCs w:val="20"/>
        </w:rPr>
        <w:t>)</w:t>
      </w:r>
    </w:p>
    <w:p w14:paraId="381CD041" w14:textId="77777777" w:rsidR="0058114C" w:rsidRPr="00295750" w:rsidRDefault="0058114C" w:rsidP="00CE1825">
      <w:pPr>
        <w:spacing w:after="120" w:line="360" w:lineRule="auto"/>
      </w:pPr>
      <w:r w:rsidRPr="00295750">
        <w:t>The Advocate of the Principle of Equality made an amicus curiae intervention before the European Court of Human Rights (ECtHR) in the case Toplak and Mrak v Slovenia, concerning access to polling stations for people with disabilities. In its intervention, in addition to factual and legislative information about the organization of elections and available legal remedies against breaches of the right to vote, the Advocate used statistics of the percentage of people who have a disability status in Slovenia formally recognized by the competent bodies. Aggregated data of different disability statuses as reported by as Statistical Office of Republic of Slovenia</w:t>
      </w:r>
      <w:r w:rsidRPr="00295750">
        <w:footnoteReference w:id="2"/>
      </w:r>
      <w:r w:rsidRPr="00295750">
        <w:t xml:space="preserve"> was used to build upon argumentation. The purpose of giving this information was to provide the court with a comprehensive background of the election process and in its impact on persons with disabilities in the Republic of Slovenia.</w:t>
      </w:r>
    </w:p>
    <w:p w14:paraId="3C500D62" w14:textId="2390A6BA" w:rsidR="00B71E0B" w:rsidRPr="004630CA" w:rsidRDefault="00EB258C" w:rsidP="00E944A2">
      <w:pPr>
        <w:pStyle w:val="Heading4"/>
        <w:shd w:val="clear" w:color="auto" w:fill="D3B5E9"/>
      </w:pPr>
      <w:r w:rsidRPr="004630CA">
        <w:lastRenderedPageBreak/>
        <w:t>French Defender of Rights (Défenseur des droits)</w:t>
      </w:r>
    </w:p>
    <w:p w14:paraId="2215128E" w14:textId="55450154" w:rsidR="00B71E0B" w:rsidRPr="00266B54" w:rsidRDefault="00B71E0B" w:rsidP="00CE1825">
      <w:pPr>
        <w:spacing w:after="120" w:line="360" w:lineRule="auto"/>
      </w:pPr>
      <w:r w:rsidRPr="00266B54">
        <w:t xml:space="preserve">In 2019 the Defender of Rights </w:t>
      </w:r>
      <w:r w:rsidR="00152767" w:rsidRPr="00266B54">
        <w:t>examined</w:t>
      </w:r>
      <w:r w:rsidRPr="00266B54">
        <w:t xml:space="preserve"> the situation of a group of undocumented construction workers who experienced discriminatory treatments based on origin and nationality by their employer. </w:t>
      </w:r>
      <w:r w:rsidR="00F54779" w:rsidRPr="00266B54">
        <w:t>To deliver its a</w:t>
      </w:r>
      <w:r w:rsidR="005B5121" w:rsidRPr="00266B54">
        <w:t>micus curiae</w:t>
      </w:r>
      <w:r w:rsidR="00F54779" w:rsidRPr="00266B54">
        <w:t xml:space="preserve"> intervention before the </w:t>
      </w:r>
      <w:r w:rsidR="00B26346" w:rsidRPr="00266B54">
        <w:t xml:space="preserve">Labour Court, the Defender asked </w:t>
      </w:r>
      <w:r w:rsidR="00172F0E" w:rsidRPr="00266B54">
        <w:t xml:space="preserve">for the testimony of a </w:t>
      </w:r>
      <w:r w:rsidRPr="00266B54">
        <w:t>sociologist</w:t>
      </w:r>
      <w:r w:rsidR="00BE175E" w:rsidRPr="00266B54">
        <w:t xml:space="preserve">, </w:t>
      </w:r>
      <w:r w:rsidR="00BE175E" w:rsidRPr="00266B54">
        <w:rPr>
          <w:rFonts w:cstheme="minorHAnsi"/>
        </w:rPr>
        <w:t xml:space="preserve">Nicolas </w:t>
      </w:r>
      <w:proofErr w:type="spellStart"/>
      <w:r w:rsidR="00BE175E" w:rsidRPr="00266B54">
        <w:rPr>
          <w:rFonts w:cstheme="minorHAnsi"/>
        </w:rPr>
        <w:t>Jounin</w:t>
      </w:r>
      <w:proofErr w:type="spellEnd"/>
      <w:r w:rsidR="00BE175E" w:rsidRPr="00266B54">
        <w:rPr>
          <w:rFonts w:cstheme="minorHAnsi"/>
        </w:rPr>
        <w:t>,</w:t>
      </w:r>
      <w:r w:rsidRPr="00266B54">
        <w:t xml:space="preserve"> whose </w:t>
      </w:r>
      <w:r w:rsidR="009D6D0B">
        <w:t>book</w:t>
      </w:r>
      <w:r w:rsidRPr="00266B54">
        <w:t xml:space="preserve"> focused on an investigation o</w:t>
      </w:r>
      <w:r w:rsidR="00E77E94">
        <w:t>f</w:t>
      </w:r>
      <w:r w:rsidRPr="00266B54">
        <w:t xml:space="preserve"> construction sites</w:t>
      </w:r>
      <w:r w:rsidR="00E77E94">
        <w:t xml:space="preserve">. </w:t>
      </w:r>
      <w:r w:rsidRPr="00266B54">
        <w:t>His investigative work, through interviews and participant observation</w:t>
      </w:r>
      <w:r w:rsidR="006F76B2" w:rsidRPr="00266B54">
        <w:t>s</w:t>
      </w:r>
      <w:r w:rsidRPr="00266B54">
        <w:t xml:space="preserve">, </w:t>
      </w:r>
      <w:r w:rsidR="00471C3F">
        <w:t xml:space="preserve">captures the overarching </w:t>
      </w:r>
      <w:r w:rsidRPr="00266B54">
        <w:t>configuration</w:t>
      </w:r>
      <w:r w:rsidR="00471C3F">
        <w:t xml:space="preserve"> of discriminatory practices</w:t>
      </w:r>
      <w:r w:rsidRPr="00266B54">
        <w:t>. He describes a discriminatory system</w:t>
      </w:r>
      <w:r w:rsidR="00FE796A">
        <w:t xml:space="preserve"> enabled through the interactions between </w:t>
      </w:r>
      <w:r w:rsidRPr="00266B54">
        <w:t xml:space="preserve">the productive organization of building sites and racist discrimination. </w:t>
      </w:r>
      <w:r w:rsidR="00C3395C">
        <w:t>T</w:t>
      </w:r>
      <w:r w:rsidRPr="00266B54">
        <w:t>he group of undocumented workers was assigned and maintained to the most difficult and dangerous tasks, without any protective equipment. Moreover, the economic dependence of these workers due to their irregular</w:t>
      </w:r>
      <w:r w:rsidR="00687055">
        <w:t xml:space="preserve"> immigrant</w:t>
      </w:r>
      <w:r w:rsidRPr="00266B54">
        <w:t xml:space="preserve"> situation allowed the employer to abuse their vulnerability and to make them work in conditions contrary to their dignity.</w:t>
      </w:r>
    </w:p>
    <w:p w14:paraId="5CBDD48E" w14:textId="0E174275" w:rsidR="00914BEE" w:rsidRPr="00316B6F" w:rsidRDefault="00D24396" w:rsidP="00CE1825">
      <w:pPr>
        <w:spacing w:after="120" w:line="360" w:lineRule="auto"/>
      </w:pPr>
      <w:r>
        <w:t>Based on</w:t>
      </w:r>
      <w:r w:rsidR="00B71E0B" w:rsidRPr="00266B54">
        <w:t xml:space="preserve"> the sociological studies, the Defender of Rights made the discriminatory treatments evident. Following these observations, the Paris Labour Court recognized the racial and systemic discrimination against these construction workers.</w:t>
      </w:r>
    </w:p>
    <w:p w14:paraId="73E1058A" w14:textId="5826709E" w:rsidR="009A52BF" w:rsidRPr="009B3B91" w:rsidRDefault="00E14D85" w:rsidP="00E944A2">
      <w:pPr>
        <w:pStyle w:val="Heading4"/>
        <w:shd w:val="clear" w:color="auto" w:fill="D3B5E9"/>
      </w:pPr>
      <w:r w:rsidRPr="00121732">
        <w:t>Czech Defender of Rights</w:t>
      </w:r>
    </w:p>
    <w:p w14:paraId="1E76ADE3" w14:textId="1E846ACE" w:rsidR="00E14D85" w:rsidRPr="009B3B91" w:rsidRDefault="009A52BF" w:rsidP="00CE1825">
      <w:pPr>
        <w:spacing w:after="120" w:line="360" w:lineRule="auto"/>
        <w:rPr>
          <w:sz w:val="24"/>
          <w:szCs w:val="24"/>
        </w:rPr>
      </w:pPr>
      <w:r w:rsidRPr="00914BEE">
        <w:t xml:space="preserve">The Czech </w:t>
      </w:r>
      <w:bookmarkStart w:id="38" w:name="_Hlk123818982"/>
      <w:r w:rsidRPr="00914BEE">
        <w:t>Defender</w:t>
      </w:r>
      <w:bookmarkEnd w:id="38"/>
      <w:r w:rsidRPr="00914BEE">
        <w:t xml:space="preserve"> of Rights acted as amicus curiae before the Constitutional Court of the Czech Republic to annul a provision that does not allow the complainant to change gender </w:t>
      </w:r>
      <w:r w:rsidR="00DF0F4D" w:rsidRPr="00914BEE">
        <w:t>information</w:t>
      </w:r>
      <w:r w:rsidRPr="00914BEE">
        <w:t xml:space="preserve"> on national identity cards. </w:t>
      </w:r>
      <w:r w:rsidR="00967FDA" w:rsidRPr="00914BEE">
        <w:t xml:space="preserve">To substantiate its position, the Defender used numerous studies, </w:t>
      </w:r>
      <w:r w:rsidR="00474FB6" w:rsidRPr="00914BEE">
        <w:t>which</w:t>
      </w:r>
      <w:r w:rsidR="00967FDA" w:rsidRPr="00914BEE">
        <w:t xml:space="preserve"> show d</w:t>
      </w:r>
      <w:r w:rsidR="00E14D85" w:rsidRPr="00914BEE">
        <w:t>iscrimination of the LGBT+ people in Czech Republic</w:t>
      </w:r>
      <w:r w:rsidR="008A3BBC" w:rsidRPr="00914BEE">
        <w:t xml:space="preserve"> in a wide variety of fields such </w:t>
      </w:r>
      <w:r w:rsidR="00DF0F4D" w:rsidRPr="00914BEE">
        <w:t>as education</w:t>
      </w:r>
      <w:r w:rsidR="00E14D85" w:rsidRPr="00914BEE">
        <w:t>, healthcare,</w:t>
      </w:r>
      <w:r w:rsidR="008A3BBC" w:rsidRPr="00914BEE">
        <w:t xml:space="preserve"> and</w:t>
      </w:r>
      <w:r w:rsidR="00E14D85" w:rsidRPr="00914BEE">
        <w:t xml:space="preserve"> </w:t>
      </w:r>
      <w:r w:rsidR="008A3BBC" w:rsidRPr="00914BEE">
        <w:t>employment. The Defender also used data showing d</w:t>
      </w:r>
      <w:r w:rsidR="00E14D85" w:rsidRPr="00914BEE">
        <w:t xml:space="preserve">iscrimination of the transgender </w:t>
      </w:r>
      <w:r w:rsidR="008A3BBC" w:rsidRPr="00914BEE">
        <w:t xml:space="preserve">people—both enabled through the law itself or in various </w:t>
      </w:r>
      <w:r w:rsidR="00DF0F4D" w:rsidRPr="00914BEE">
        <w:t>areas</w:t>
      </w:r>
      <w:r w:rsidR="008A3BBC" w:rsidRPr="00914BEE">
        <w:t xml:space="preserve"> of life such as healthcare—in the Czech </w:t>
      </w:r>
      <w:r w:rsidR="00DF0F4D" w:rsidRPr="00914BEE">
        <w:t>Republic</w:t>
      </w:r>
      <w:r w:rsidR="008A3BBC" w:rsidRPr="00914BEE">
        <w:t xml:space="preserve">. </w:t>
      </w:r>
    </w:p>
    <w:p w14:paraId="49F990F1" w14:textId="55060A93" w:rsidR="00E14D85" w:rsidRPr="00815454" w:rsidRDefault="00E14D85" w:rsidP="00E944A2">
      <w:pPr>
        <w:pStyle w:val="Heading4"/>
        <w:shd w:val="clear" w:color="auto" w:fill="D3B5E9"/>
      </w:pPr>
      <w:r w:rsidRPr="00815454">
        <w:t xml:space="preserve">Lithuanian Office of the Equal Opportunities Ombudsperson </w:t>
      </w:r>
    </w:p>
    <w:p w14:paraId="063A3F3A" w14:textId="019FA2B0" w:rsidR="00793B14" w:rsidRDefault="00E14D85" w:rsidP="00CE1825">
      <w:pPr>
        <w:spacing w:after="120" w:line="360" w:lineRule="auto"/>
      </w:pPr>
      <w:r w:rsidRPr="00815454">
        <w:t>Lithuanian</w:t>
      </w:r>
      <w:r w:rsidR="008A3BBC" w:rsidRPr="00815454">
        <w:t xml:space="preserve"> Office of the Equal Opportunities Ombudsperson </w:t>
      </w:r>
      <w:r w:rsidRPr="00815454">
        <w:t xml:space="preserve">EB participated as an expert in a court case concerning physical accessibility of voting premises. External data showed that huge majority of those premises where not accessible for persons with physical disabilities. </w:t>
      </w:r>
    </w:p>
    <w:p w14:paraId="6430F9ED" w14:textId="77777777" w:rsidR="00793B14" w:rsidRDefault="00793B14">
      <w:r>
        <w:br w:type="page"/>
      </w:r>
    </w:p>
    <w:p w14:paraId="178F6B1C" w14:textId="7B869528" w:rsidR="00E14D85" w:rsidRPr="00316B6F" w:rsidRDefault="009C2CFB" w:rsidP="00E9222C">
      <w:pPr>
        <w:pStyle w:val="Heading3"/>
        <w:pBdr>
          <w:top w:val="dashed" w:sz="4" w:space="9" w:color="22489E"/>
        </w:pBdr>
        <w:spacing w:line="360" w:lineRule="auto"/>
      </w:pPr>
      <w:bookmarkStart w:id="39" w:name="_Toc190332902"/>
      <w:r w:rsidRPr="00316B6F">
        <w:lastRenderedPageBreak/>
        <w:t>S</w:t>
      </w:r>
      <w:r w:rsidR="00270D84" w:rsidRPr="00316B6F">
        <w:t>trategic litigation</w:t>
      </w:r>
      <w:bookmarkEnd w:id="39"/>
    </w:p>
    <w:p w14:paraId="2E27FC91" w14:textId="2B5156B3" w:rsidR="00101D1A" w:rsidRPr="00827ABF" w:rsidRDefault="00B603C8" w:rsidP="00E944A2">
      <w:pPr>
        <w:pStyle w:val="Heading4"/>
        <w:shd w:val="clear" w:color="auto" w:fill="D3B5E9"/>
        <w:rPr>
          <w:rFonts w:ascii="Arial" w:eastAsia="Times New Roman" w:hAnsi="Arial" w:cs="Arial"/>
        </w:rPr>
      </w:pPr>
      <w:r w:rsidRPr="009B3B91">
        <w:t xml:space="preserve">Serbian Commissioner for Protection against </w:t>
      </w:r>
      <w:r w:rsidRPr="00A41851">
        <w:t>Discrimination</w:t>
      </w:r>
      <w:r w:rsidR="00116B86" w:rsidRPr="00A41851">
        <w:rPr>
          <w:rFonts w:ascii="Arial" w:eastAsia="Times New Roman" w:hAnsi="Arial" w:cs="Arial"/>
        </w:rPr>
        <w:t xml:space="preserve"> </w:t>
      </w:r>
    </w:p>
    <w:p w14:paraId="511FB3F9" w14:textId="77777777" w:rsidR="00BD0F52" w:rsidRDefault="00B603C8" w:rsidP="00DB3D99">
      <w:pPr>
        <w:spacing w:after="120" w:line="360" w:lineRule="auto"/>
      </w:pPr>
      <w:r w:rsidRPr="00B67D51">
        <w:t xml:space="preserve">The Commissioner initiated </w:t>
      </w:r>
      <w:r w:rsidR="007448F1" w:rsidRPr="00B67D51">
        <w:t>s</w:t>
      </w:r>
      <w:r w:rsidRPr="00B67D51">
        <w:t>trategic litigation against a person for harassment and humiliating treatment on account of an article published in an internet magazine, advocating for social patterns based on subjugation of female sex and stereotypical gender roles.</w:t>
      </w:r>
    </w:p>
    <w:p w14:paraId="1EB3CF39" w14:textId="48482DA0" w:rsidR="00DB3D99" w:rsidRDefault="00B603C8" w:rsidP="00DB3D99">
      <w:pPr>
        <w:spacing w:after="120" w:line="360" w:lineRule="auto"/>
        <w:sectPr w:rsidR="00DB3D99">
          <w:headerReference w:type="default" r:id="rId32"/>
          <w:footerReference w:type="default" r:id="rId33"/>
          <w:pgSz w:w="11906" w:h="16838"/>
          <w:pgMar w:top="1440" w:right="1440" w:bottom="1440" w:left="1440" w:header="708" w:footer="708" w:gutter="0"/>
          <w:cols w:space="708"/>
          <w:docGrid w:linePitch="360"/>
        </w:sectPr>
      </w:pPr>
      <w:r w:rsidRPr="00B67D51">
        <w:t xml:space="preserve">As evidence and rationale, the Commissioner used the Annual report of the National Institute for Social Protection on the work of </w:t>
      </w:r>
      <w:r w:rsidR="00DF0F4D" w:rsidRPr="00B67D51">
        <w:t>social</w:t>
      </w:r>
      <w:r w:rsidRPr="00B67D51">
        <w:t xml:space="preserve"> protection </w:t>
      </w:r>
      <w:r w:rsidR="00474FB6" w:rsidRPr="00B67D51">
        <w:t>centres</w:t>
      </w:r>
      <w:r w:rsidRPr="00B67D51">
        <w:t>, as well as the data from the study "Abuse of w</w:t>
      </w:r>
      <w:r w:rsidR="00C967EC">
        <w:t>omen</w:t>
      </w:r>
      <w:r w:rsidRPr="00B67D51">
        <w:t xml:space="preserve"> and Gender based violence" issued by</w:t>
      </w:r>
      <w:r w:rsidR="007448F1" w:rsidRPr="00B67D51">
        <w:t xml:space="preserve"> the civil society organization “</w:t>
      </w:r>
      <w:r w:rsidR="00DF0F4D" w:rsidRPr="00B67D51">
        <w:t>Centre</w:t>
      </w:r>
      <w:r w:rsidRPr="00B67D51">
        <w:t xml:space="preserve"> for </w:t>
      </w:r>
      <w:r w:rsidR="007448F1" w:rsidRPr="00B67D51">
        <w:t>research</w:t>
      </w:r>
      <w:r w:rsidRPr="00B67D51">
        <w:t xml:space="preserve"> of public policy.</w:t>
      </w:r>
      <w:r w:rsidR="007448F1" w:rsidRPr="00B67D51">
        <w:t>”</w:t>
      </w:r>
      <w:r w:rsidRPr="00B67D51">
        <w:t xml:space="preserve">  In another case, </w:t>
      </w:r>
      <w:r w:rsidR="007448F1" w:rsidRPr="00B67D51">
        <w:t>t</w:t>
      </w:r>
      <w:r w:rsidRPr="00B67D51">
        <w:t xml:space="preserve">he </w:t>
      </w:r>
      <w:r w:rsidR="00DF0F4D" w:rsidRPr="00B67D51">
        <w:t>Commissioner chose</w:t>
      </w:r>
      <w:r w:rsidR="007448F1" w:rsidRPr="00B67D51">
        <w:t xml:space="preserve"> to litigate strategically against an employer that demoted a </w:t>
      </w:r>
      <w:r w:rsidRPr="00B67D51">
        <w:t>female employee upon return from maternity leave. On this occasion, the Commissioner requested</w:t>
      </w:r>
      <w:r w:rsidR="007448F1" w:rsidRPr="00B67D51">
        <w:t xml:space="preserve"> historical</w:t>
      </w:r>
      <w:r w:rsidRPr="00B67D51">
        <w:t xml:space="preserve"> data</w:t>
      </w:r>
      <w:r w:rsidR="007448F1" w:rsidRPr="00B67D51">
        <w:t xml:space="preserve"> from the employer</w:t>
      </w:r>
      <w:r w:rsidRPr="00B67D51">
        <w:t xml:space="preserve"> on all female employees that used maternity leave in the last 3 years along with their current position</w:t>
      </w:r>
      <w:r w:rsidR="007448F1" w:rsidRPr="00B67D51">
        <w:t xml:space="preserve">. In specific, the Commissioner requested </w:t>
      </w:r>
      <w:r w:rsidR="00086476" w:rsidRPr="00B67D51">
        <w:t xml:space="preserve">information on the </w:t>
      </w:r>
      <w:r w:rsidR="00325797" w:rsidRPr="00B67D51">
        <w:t>positions</w:t>
      </w:r>
      <w:r w:rsidR="00086476" w:rsidRPr="00B67D51">
        <w:t xml:space="preserve"> these employees had before they went on leave and information on their positions </w:t>
      </w:r>
      <w:r w:rsidRPr="00B67D51">
        <w:t>6 months upon return</w:t>
      </w:r>
      <w:r w:rsidR="00086476" w:rsidRPr="00B67D51">
        <w:t>. Based on this information, the Commissioner was able to identify clear discriminatory patterns in the employer’s behaviour</w:t>
      </w:r>
      <w:r w:rsidR="00116B86" w:rsidRPr="00B67D51">
        <w:t xml:space="preserve">, which </w:t>
      </w:r>
      <w:r w:rsidRPr="00B67D51">
        <w:t>was used as evidence in the subsequent strategic litigation.</w:t>
      </w:r>
      <w:r w:rsidR="002B4F61" w:rsidRPr="00B67D51">
        <w:t xml:space="preserve"> </w:t>
      </w:r>
    </w:p>
    <w:p w14:paraId="416F7DFE" w14:textId="28E31525" w:rsidR="00F20D26" w:rsidRPr="004A14B5" w:rsidRDefault="0004360E" w:rsidP="00ED1D25">
      <w:pPr>
        <w:pStyle w:val="Heading2"/>
      </w:pPr>
      <w:bookmarkStart w:id="40" w:name="_Toc190332903"/>
      <w:r w:rsidRPr="005D1178">
        <w:lastRenderedPageBreak/>
        <w:t>S</w:t>
      </w:r>
      <w:r w:rsidR="00C34DCD" w:rsidRPr="005D1178">
        <w:t>urveys</w:t>
      </w:r>
      <w:r w:rsidR="00722A74" w:rsidRPr="005D1178">
        <w:t xml:space="preserve"> and research</w:t>
      </w:r>
      <w:r w:rsidR="00C34DCD" w:rsidRPr="005D1178">
        <w:t>—</w:t>
      </w:r>
      <w:r w:rsidR="00325797" w:rsidRPr="005D1178">
        <w:t>equality</w:t>
      </w:r>
      <w:r w:rsidR="00C34DCD" w:rsidRPr="005D1178">
        <w:t xml:space="preserve"> bodies as producers of equality data</w:t>
      </w:r>
      <w:bookmarkStart w:id="41" w:name="_Hlk123819887"/>
      <w:bookmarkEnd w:id="40"/>
    </w:p>
    <w:p w14:paraId="0CF81FAA" w14:textId="69C83A3F" w:rsidR="00323B5F" w:rsidRPr="009B3B91" w:rsidRDefault="000271EC" w:rsidP="00810DD4">
      <w:pPr>
        <w:pStyle w:val="Heading4"/>
        <w:shd w:val="clear" w:color="auto" w:fill="B3DEFF"/>
      </w:pPr>
      <w:r w:rsidRPr="009B3B91">
        <w:t xml:space="preserve">Croatian </w:t>
      </w:r>
      <w:bookmarkStart w:id="42" w:name="_Hlk123820027"/>
      <w:r w:rsidRPr="009B3B91">
        <w:t xml:space="preserve">Ombudswoman </w:t>
      </w:r>
      <w:bookmarkEnd w:id="41"/>
      <w:r w:rsidRPr="009B3B91">
        <w:t>for Persons with Disabilities</w:t>
      </w:r>
    </w:p>
    <w:bookmarkEnd w:id="42"/>
    <w:p w14:paraId="7C15B0DE" w14:textId="76368102" w:rsidR="00F351E4" w:rsidRPr="004A14B5" w:rsidRDefault="0004360E" w:rsidP="00CE1825">
      <w:pPr>
        <w:spacing w:after="120" w:line="360" w:lineRule="auto"/>
      </w:pPr>
      <w:r w:rsidRPr="007E3F2D">
        <w:t xml:space="preserve">Croatian Ombudswoman routinely collects data—which alongside with analysis of complaints—allow them to identify tailored measures </w:t>
      </w:r>
      <w:r w:rsidR="00AC58E5" w:rsidRPr="007E3F2D">
        <w:t xml:space="preserve">to build a comprehensive system of protection and promotion of the rights and interests of persons with disabilities. In the field of education in 2021, </w:t>
      </w:r>
      <w:r w:rsidRPr="007E3F2D">
        <w:t xml:space="preserve">Ombudswoman for Persons with Disabilities </w:t>
      </w:r>
      <w:r w:rsidR="00325797" w:rsidRPr="007E3F2D">
        <w:t>conducted</w:t>
      </w:r>
      <w:r w:rsidRPr="007E3F2D">
        <w:t xml:space="preserve"> two </w:t>
      </w:r>
      <w:r w:rsidR="00AC58E5" w:rsidRPr="007E3F2D">
        <w:t xml:space="preserve">major </w:t>
      </w:r>
      <w:r w:rsidRPr="007E3F2D">
        <w:t xml:space="preserve">surveys, </w:t>
      </w:r>
      <w:r w:rsidR="00325797" w:rsidRPr="007E3F2D">
        <w:t>targeting</w:t>
      </w:r>
      <w:r w:rsidRPr="007E3F2D">
        <w:t xml:space="preserve"> respectively </w:t>
      </w:r>
      <w:r w:rsidR="00AC58E5" w:rsidRPr="007E3F2D">
        <w:t>all primary and secondary schools and</w:t>
      </w:r>
      <w:r w:rsidRPr="007E3F2D">
        <w:t xml:space="preserve"> all</w:t>
      </w:r>
      <w:r w:rsidR="00AC58E5" w:rsidRPr="007E3F2D">
        <w:t xml:space="preserve"> special schools</w:t>
      </w:r>
      <w:r w:rsidRPr="007E3F2D">
        <w:t xml:space="preserve">, in relation to the </w:t>
      </w:r>
      <w:r w:rsidR="00AC58E5" w:rsidRPr="007E3F2D">
        <w:t xml:space="preserve">organization of distance learning for students with disabilities during the </w:t>
      </w:r>
      <w:r w:rsidRPr="007E3F2D">
        <w:t>Covid-19</w:t>
      </w:r>
      <w:r w:rsidR="00AC58E5" w:rsidRPr="007E3F2D">
        <w:t xml:space="preserve">. </w:t>
      </w:r>
      <w:r w:rsidRPr="007E3F2D">
        <w:t xml:space="preserve">The results of these surveys were used to send </w:t>
      </w:r>
      <w:r w:rsidR="00AC58E5" w:rsidRPr="007E3F2D">
        <w:t>recommendations to the Ministry of Science and Education</w:t>
      </w:r>
      <w:r w:rsidRPr="007E3F2D">
        <w:t xml:space="preserve"> </w:t>
      </w:r>
      <w:r w:rsidR="00D25F48" w:rsidRPr="007E3F2D">
        <w:t>to</w:t>
      </w:r>
      <w:r w:rsidRPr="007E3F2D">
        <w:t xml:space="preserve"> ensure </w:t>
      </w:r>
      <w:r w:rsidR="00AC58E5" w:rsidRPr="007E3F2D">
        <w:t xml:space="preserve">equal conditions for students with disabilities. </w:t>
      </w:r>
      <w:r w:rsidRPr="007E3F2D">
        <w:t xml:space="preserve">The findings of the survey were complemented by qualitative data collected </w:t>
      </w:r>
      <w:r w:rsidR="00D25F48" w:rsidRPr="007E3F2D">
        <w:t>through</w:t>
      </w:r>
      <w:r w:rsidRPr="007E3F2D">
        <w:t xml:space="preserve"> the individual complaints</w:t>
      </w:r>
      <w:r w:rsidR="00474FB6" w:rsidRPr="007E3F2D">
        <w:t xml:space="preserve">. </w:t>
      </w:r>
      <w:r w:rsidR="004E604C" w:rsidRPr="007E3F2D">
        <w:t>In 2017, the Ombudswoman survey</w:t>
      </w:r>
      <w:r w:rsidR="00C34DCD" w:rsidRPr="007E3F2D">
        <w:t>ed</w:t>
      </w:r>
      <w:r w:rsidR="004E604C" w:rsidRPr="007E3F2D">
        <w:t xml:space="preserve"> a number of </w:t>
      </w:r>
      <w:r w:rsidR="00D25F48" w:rsidRPr="007E3F2D">
        <w:t>regional</w:t>
      </w:r>
      <w:r w:rsidR="00B94421" w:rsidRPr="007E3F2D">
        <w:t xml:space="preserve"> public health bodies</w:t>
      </w:r>
      <w:r w:rsidR="00C34DCD" w:rsidRPr="007E3F2D">
        <w:t xml:space="preserve"> regarding the provision of preventive breast examinations and the use of this service by women with disabilities</w:t>
      </w:r>
      <w:r w:rsidR="00B94421" w:rsidRPr="007E3F2D">
        <w:t>,</w:t>
      </w:r>
      <w:r w:rsidR="00C34DCD" w:rsidRPr="007E3F2D">
        <w:t xml:space="preserve"> including question about the </w:t>
      </w:r>
      <w:r w:rsidR="00D25F48" w:rsidRPr="007E3F2D">
        <w:t>women</w:t>
      </w:r>
      <w:r w:rsidR="00C34DCD" w:rsidRPr="007E3F2D">
        <w:t xml:space="preserve">’ own </w:t>
      </w:r>
      <w:r w:rsidR="00E61C77" w:rsidRPr="007E3F2D">
        <w:t>evaluation</w:t>
      </w:r>
      <w:r w:rsidR="00C34DCD" w:rsidRPr="007E3F2D">
        <w:t xml:space="preserve"> of the service. The findings of the surveys were the basis </w:t>
      </w:r>
      <w:r w:rsidR="00D25F48" w:rsidRPr="007E3F2D">
        <w:t>of recommendations</w:t>
      </w:r>
      <w:r w:rsidR="00AC58E5" w:rsidRPr="007E3F2D">
        <w:t xml:space="preserve"> sent to the Ministry of Health and civil society organizations</w:t>
      </w:r>
      <w:r w:rsidR="00757D7E" w:rsidRPr="007E3F2D">
        <w:t xml:space="preserve">. </w:t>
      </w:r>
      <w:r w:rsidR="00AC58E5" w:rsidRPr="007E3F2D">
        <w:t xml:space="preserve">In 2022, </w:t>
      </w:r>
      <w:r w:rsidR="00C34DCD" w:rsidRPr="007E3F2D">
        <w:t xml:space="preserve">the Ombudswoman </w:t>
      </w:r>
      <w:r w:rsidR="00AC58E5" w:rsidRPr="007E3F2D">
        <w:t xml:space="preserve">conducted a </w:t>
      </w:r>
      <w:r w:rsidR="00C34DCD" w:rsidRPr="007E3F2D">
        <w:t xml:space="preserve">survey </w:t>
      </w:r>
      <w:r w:rsidR="00AC58E5" w:rsidRPr="007E3F2D">
        <w:t xml:space="preserve">on the accessibility </w:t>
      </w:r>
      <w:r w:rsidR="00C34DCD" w:rsidRPr="007E3F2D">
        <w:t xml:space="preserve">for </w:t>
      </w:r>
      <w:r w:rsidR="00D25F48" w:rsidRPr="007E3F2D">
        <w:t>persons</w:t>
      </w:r>
      <w:r w:rsidR="00C34DCD" w:rsidRPr="007E3F2D">
        <w:t xml:space="preserve"> with disabilities of </w:t>
      </w:r>
      <w:r w:rsidR="00E61C77" w:rsidRPr="007E3F2D">
        <w:t>six</w:t>
      </w:r>
      <w:r w:rsidR="00AC58E5" w:rsidRPr="007E3F2D">
        <w:t xml:space="preserve"> newly opened shelters </w:t>
      </w:r>
      <w:r w:rsidR="00C34DCD" w:rsidRPr="007E3F2D">
        <w:t>for victims of violence, which built upon previous research conducted in 2015</w:t>
      </w:r>
      <w:r w:rsidR="00AA7CDD" w:rsidRPr="007E3F2D">
        <w:t xml:space="preserve">. </w:t>
      </w:r>
      <w:r w:rsidR="00C34DCD" w:rsidRPr="007E3F2D">
        <w:t xml:space="preserve">The outcome of this survey </w:t>
      </w:r>
      <w:r w:rsidR="00D25F48" w:rsidRPr="007E3F2D">
        <w:t>were recommendations</w:t>
      </w:r>
      <w:r w:rsidR="00C34DCD" w:rsidRPr="007E3F2D">
        <w:t xml:space="preserve"> </w:t>
      </w:r>
      <w:r w:rsidR="00AC58E5" w:rsidRPr="007E3F2D">
        <w:t xml:space="preserve">sent to the Ministry of </w:t>
      </w:r>
      <w:r w:rsidR="00D25F48" w:rsidRPr="007E3F2D">
        <w:t>Labour</w:t>
      </w:r>
      <w:r w:rsidR="00AC58E5" w:rsidRPr="007E3F2D">
        <w:t>, Pension System, Family and Social Policy</w:t>
      </w:r>
      <w:r w:rsidR="00C34DCD" w:rsidRPr="007E3F2D">
        <w:t>, as well</w:t>
      </w:r>
      <w:r w:rsidR="009776F2" w:rsidRPr="007E3F2D">
        <w:t xml:space="preserve"> </w:t>
      </w:r>
      <w:r w:rsidR="00C34DCD" w:rsidRPr="007E3F2D">
        <w:t xml:space="preserve">as to </w:t>
      </w:r>
      <w:r w:rsidR="00AC58E5" w:rsidRPr="007E3F2D">
        <w:t>civil society organizations that provide accommodation to victims of violence.</w:t>
      </w:r>
    </w:p>
    <w:p w14:paraId="14304A33" w14:textId="456191DC" w:rsidR="003017C1" w:rsidRDefault="00F351E4" w:rsidP="00810DD4">
      <w:pPr>
        <w:pStyle w:val="Heading4"/>
        <w:shd w:val="clear" w:color="auto" w:fill="B3DEFF"/>
        <w:spacing w:before="0" w:after="120"/>
        <w:rPr>
          <w:rFonts w:eastAsia="Times New Roman"/>
        </w:rPr>
      </w:pPr>
      <w:bookmarkStart w:id="43" w:name="_Hlk123827932"/>
      <w:r w:rsidRPr="00B17B73">
        <w:rPr>
          <w:rFonts w:eastAsia="Times New Roman"/>
        </w:rPr>
        <w:t xml:space="preserve">Slovak National Centre for Human Rights </w:t>
      </w:r>
      <w:bookmarkEnd w:id="43"/>
    </w:p>
    <w:p w14:paraId="697A82CE" w14:textId="143296A7" w:rsidR="00F351E4" w:rsidRPr="003017C1" w:rsidRDefault="00F351E4" w:rsidP="00595A7B">
      <w:pPr>
        <w:pStyle w:val="Heading4"/>
        <w:spacing w:before="0" w:after="120"/>
        <w:rPr>
          <w:rFonts w:eastAsia="Times New Roman"/>
          <w:sz w:val="20"/>
          <w:szCs w:val="20"/>
        </w:rPr>
      </w:pPr>
      <w:r w:rsidRPr="003017C1">
        <w:rPr>
          <w:rFonts w:eastAsia="Times New Roman"/>
          <w:sz w:val="20"/>
          <w:szCs w:val="20"/>
        </w:rPr>
        <w:t>(</w:t>
      </w:r>
      <w:r w:rsidR="00C46C4E">
        <w:rPr>
          <w:rFonts w:eastAsia="Times New Roman"/>
          <w:sz w:val="20"/>
          <w:szCs w:val="20"/>
        </w:rPr>
        <w:t>Own</w:t>
      </w:r>
      <w:r w:rsidRPr="003017C1">
        <w:rPr>
          <w:rFonts w:eastAsia="Times New Roman"/>
          <w:sz w:val="20"/>
          <w:szCs w:val="20"/>
        </w:rPr>
        <w:t xml:space="preserve"> research feeding into national strategy)</w:t>
      </w:r>
    </w:p>
    <w:p w14:paraId="5A403CCC" w14:textId="3E16BFCF" w:rsidR="00E3137F" w:rsidRPr="009B3B91" w:rsidRDefault="00F351E4" w:rsidP="00CE1825">
      <w:pPr>
        <w:spacing w:after="120" w:line="360" w:lineRule="auto"/>
      </w:pPr>
      <w:r w:rsidRPr="00B17B73">
        <w:t>The Slovak National Centre for Human Rights collected quantitative data as part of its 2019 representative research on work-life balance. The analysis of this data was</w:t>
      </w:r>
      <w:r w:rsidR="00983D81" w:rsidRPr="00B17B73">
        <w:t xml:space="preserve"> used to support</w:t>
      </w:r>
      <w:r w:rsidRPr="00B17B73">
        <w:t xml:space="preserve"> SNCHR</w:t>
      </w:r>
      <w:r w:rsidR="00983D81" w:rsidRPr="00B17B73">
        <w:t>’s feedback</w:t>
      </w:r>
      <w:r w:rsidRPr="00B17B73">
        <w:t xml:space="preserve"> for </w:t>
      </w:r>
      <w:r w:rsidR="00991AD2">
        <w:t xml:space="preserve">the </w:t>
      </w:r>
      <w:r w:rsidRPr="00B17B73">
        <w:t xml:space="preserve">National Report on the State of Gender Equality in 2020. The </w:t>
      </w:r>
      <w:r w:rsidR="00D25F48" w:rsidRPr="00B17B73">
        <w:t>Centre’s</w:t>
      </w:r>
      <w:r w:rsidRPr="00B17B73">
        <w:t xml:space="preserve"> work on research and reports is used for its </w:t>
      </w:r>
      <w:r w:rsidR="001E14D0" w:rsidRPr="00B17B73">
        <w:t>contributions</w:t>
      </w:r>
      <w:r w:rsidRPr="00B17B73">
        <w:t xml:space="preserve"> in several working groups developing national strategies, action plans or reports on implementation of national strategies. Through this participation</w:t>
      </w:r>
      <w:r w:rsidR="00991AD2">
        <w:t>,</w:t>
      </w:r>
      <w:r w:rsidRPr="00B17B73">
        <w:t xml:space="preserve"> SNCHR has an opportunity to present data </w:t>
      </w:r>
      <w:r w:rsidR="00991AD2">
        <w:t>showing systemic inequality</w:t>
      </w:r>
      <w:r w:rsidRPr="00B17B73">
        <w:t>.</w:t>
      </w:r>
    </w:p>
    <w:p w14:paraId="1EADD786" w14:textId="77777777" w:rsidR="004B3989" w:rsidRPr="009B3B91" w:rsidRDefault="004B3989" w:rsidP="00810DD4">
      <w:pPr>
        <w:pStyle w:val="Heading4"/>
        <w:shd w:val="clear" w:color="auto" w:fill="B3DEFF"/>
      </w:pPr>
      <w:bookmarkStart w:id="44" w:name="_Hlk123828342"/>
      <w:r w:rsidRPr="009B3B91">
        <w:t xml:space="preserve">Albanian Commissioner </w:t>
      </w:r>
      <w:bookmarkEnd w:id="44"/>
      <w:r w:rsidRPr="009B3B91">
        <w:t>for Protection from Discrimination</w:t>
      </w:r>
    </w:p>
    <w:p w14:paraId="5B8744E4" w14:textId="11B37168" w:rsidR="00722A74" w:rsidRDefault="004B3989" w:rsidP="00CE1825">
      <w:pPr>
        <w:spacing w:after="120" w:line="360" w:lineRule="auto"/>
      </w:pPr>
      <w:r w:rsidRPr="008505CE">
        <w:t xml:space="preserve">The Albanian </w:t>
      </w:r>
      <w:r w:rsidR="001E14D0" w:rsidRPr="008505CE">
        <w:t>Commissioner has</w:t>
      </w:r>
      <w:r w:rsidRPr="008505CE">
        <w:t xml:space="preserve"> a competence conduct of surveys related to </w:t>
      </w:r>
      <w:r w:rsidR="001E14D0" w:rsidRPr="008505CE">
        <w:t>discrimination in</w:t>
      </w:r>
      <w:r w:rsidRPr="008505CE">
        <w:t xml:space="preserve"> relation to its function to monitor the implementation of the specialized national anti-discrimination law. For example, in 2020 the Commissioner issued </w:t>
      </w:r>
      <w:r w:rsidR="001833FA">
        <w:t xml:space="preserve">a </w:t>
      </w:r>
      <w:r w:rsidRPr="008505CE">
        <w:t xml:space="preserve">monitoring report on the inclusion of children </w:t>
      </w:r>
      <w:r w:rsidRPr="008505CE">
        <w:lastRenderedPageBreak/>
        <w:t>with disabilities and Roma and Egyptian children in education for the school year 2018 - 2019 and 2019 – 2020. The methodology for this survey was drafted by the Commissioner’s office using public guidelines no. 708, dated 26.08.2015 “On the types, periodicity and manner of reporting statistical data on disability by the responsible state structures, at central and local level”</w:t>
      </w:r>
      <w:r w:rsidR="001E14D0" w:rsidRPr="008505CE">
        <w:t xml:space="preserve">. </w:t>
      </w:r>
      <w:r w:rsidRPr="008505CE">
        <w:t xml:space="preserve">In 2019, the CPD has </w:t>
      </w:r>
      <w:r w:rsidR="001E14D0" w:rsidRPr="008505CE">
        <w:t>conducted</w:t>
      </w:r>
      <w:r w:rsidRPr="008505CE">
        <w:t xml:space="preserve"> a </w:t>
      </w:r>
      <w:r w:rsidR="00E61C77" w:rsidRPr="008505CE">
        <w:t>survey</w:t>
      </w:r>
      <w:r w:rsidRPr="008505CE">
        <w:t xml:space="preserve">, which collected responses from 58 </w:t>
      </w:r>
      <w:r w:rsidR="001E14D0" w:rsidRPr="008505CE">
        <w:t>municipalities</w:t>
      </w:r>
      <w:r w:rsidRPr="008505CE">
        <w:t xml:space="preserve">, for a report on monitoring the accessibility of local public transport for people with disabilities. </w:t>
      </w:r>
    </w:p>
    <w:p w14:paraId="7227FD6B" w14:textId="3B6825FA" w:rsidR="00722A74" w:rsidRPr="00AB1B6C" w:rsidRDefault="00722A74" w:rsidP="00810DD4">
      <w:pPr>
        <w:pStyle w:val="Heading4"/>
        <w:shd w:val="clear" w:color="auto" w:fill="B3DEFF"/>
        <w:rPr>
          <w:lang w:val="en-US"/>
        </w:rPr>
      </w:pPr>
      <w:r w:rsidRPr="00FD3CC7">
        <w:t>French Defender of Rights</w:t>
      </w:r>
      <w:r w:rsidR="00C46C4E">
        <w:t xml:space="preserve"> (D</w:t>
      </w:r>
      <w:proofErr w:type="spellStart"/>
      <w:r w:rsidR="00C46C4E" w:rsidRPr="00AB1B6C">
        <w:rPr>
          <w:lang w:val="en-US"/>
        </w:rPr>
        <w:t>éfenseur</w:t>
      </w:r>
      <w:proofErr w:type="spellEnd"/>
      <w:r w:rsidR="00C46C4E" w:rsidRPr="00AB1B6C">
        <w:rPr>
          <w:lang w:val="en-US"/>
        </w:rPr>
        <w:t xml:space="preserve"> des droits)</w:t>
      </w:r>
    </w:p>
    <w:p w14:paraId="0331E44A" w14:textId="77777777" w:rsidR="00722A74" w:rsidRPr="00CA4423" w:rsidRDefault="00722A74" w:rsidP="00CE1825">
      <w:pPr>
        <w:spacing w:after="120" w:line="360" w:lineRule="auto"/>
      </w:pPr>
      <w:r w:rsidRPr="00CA4423">
        <w:t xml:space="preserve">Faced with the extent and persistence of discrimination in housing, the Defender of Rights has developed practical tools that were widely distributed in 2018 to real estate professionals. In order to evaluate this awareness-raising action on the practices of real estate agencies, the Defender of Rights and the Ministry of Territorial Cohesion and Relations with Local Authorities commissioned research by the Universities of Paris-Est Marne-la-Vallée and Paris-Est </w:t>
      </w:r>
      <w:proofErr w:type="spellStart"/>
      <w:r w:rsidRPr="00CA4423">
        <w:t>Créteil</w:t>
      </w:r>
      <w:proofErr w:type="spellEnd"/>
      <w:r w:rsidRPr="00CA4423">
        <w:t>. The research is based on a testing of 343 real estate agencies with discriminatory risks. Half of these agencies received a letter from the Defender of Rights, the handbook "Renting without discrimination" and a guide reminding them about the legal framework and sanctions to which they will be subject if they discriminate against housing applicants.  Other test campaigns were then targeted at these agencies in order to evaluate the evolution of their practices. These agencies were retested three, nine and fifteen months after receiving the letter to determine whether their applicant selection practices had changed.</w:t>
      </w:r>
    </w:p>
    <w:p w14:paraId="7D5D3B35" w14:textId="4BDE6705" w:rsidR="00A66823" w:rsidRDefault="00722A74" w:rsidP="00CE1825">
      <w:pPr>
        <w:spacing w:after="120" w:line="360" w:lineRule="auto"/>
      </w:pPr>
      <w:r w:rsidRPr="00CA4423">
        <w:t>The results, published in 2019, revealed that in the short term the information and awareness-raising activities of the Defender of Rights significantly reduced discrimination in access to housing. However, the impact of the letter did not maintain in the long term.</w:t>
      </w:r>
    </w:p>
    <w:p w14:paraId="0A8C0C0E" w14:textId="77777777" w:rsidR="00A66823" w:rsidRPr="00A66823" w:rsidRDefault="00A66823" w:rsidP="00810DD4">
      <w:pPr>
        <w:pStyle w:val="Heading4"/>
        <w:shd w:val="clear" w:color="auto" w:fill="B3DEFF"/>
      </w:pPr>
      <w:r w:rsidRPr="00A66823">
        <w:t>Ombudsman’s Office of Latvia</w:t>
      </w:r>
    </w:p>
    <w:p w14:paraId="7591C3AB" w14:textId="740C5E25" w:rsidR="00807DC0" w:rsidRDefault="00255BF9" w:rsidP="00CE1825">
      <w:pPr>
        <w:spacing w:after="120" w:line="360" w:lineRule="auto"/>
        <w:rPr>
          <w:rFonts w:cstheme="minorHAnsi"/>
        </w:rPr>
        <w:sectPr w:rsidR="00807DC0">
          <w:headerReference w:type="default" r:id="rId34"/>
          <w:pgSz w:w="11906" w:h="16838"/>
          <w:pgMar w:top="1440" w:right="1440" w:bottom="1440" w:left="1440" w:header="708" w:footer="708" w:gutter="0"/>
          <w:cols w:space="708"/>
          <w:docGrid w:linePitch="360"/>
        </w:sectPr>
      </w:pPr>
      <w:r w:rsidRPr="00896B1D">
        <w:rPr>
          <w:rFonts w:cstheme="minorHAnsi"/>
        </w:rPr>
        <w:t xml:space="preserve">The Ombudsman’s Office of Latvia conducted research on the Roma </w:t>
      </w:r>
      <w:r w:rsidR="00A66823" w:rsidRPr="00896B1D">
        <w:rPr>
          <w:rFonts w:cstheme="minorHAnsi"/>
        </w:rPr>
        <w:t xml:space="preserve">situation in Latvia (2021/2022). </w:t>
      </w:r>
      <w:r w:rsidR="00E2794D" w:rsidRPr="00896B1D">
        <w:rPr>
          <w:rFonts w:cstheme="minorHAnsi"/>
        </w:rPr>
        <w:t xml:space="preserve">The </w:t>
      </w:r>
      <w:r w:rsidR="00896B1D" w:rsidRPr="00896B1D">
        <w:rPr>
          <w:rFonts w:cstheme="minorHAnsi"/>
        </w:rPr>
        <w:t>methodology</w:t>
      </w:r>
      <w:r w:rsidR="00E2794D" w:rsidRPr="00896B1D">
        <w:rPr>
          <w:rFonts w:cstheme="minorHAnsi"/>
        </w:rPr>
        <w:t xml:space="preserve"> included </w:t>
      </w:r>
      <w:r w:rsidR="00896B1D" w:rsidRPr="00896B1D">
        <w:rPr>
          <w:rFonts w:cstheme="minorHAnsi"/>
        </w:rPr>
        <w:t>both</w:t>
      </w:r>
      <w:r w:rsidR="00E2794D" w:rsidRPr="00896B1D">
        <w:rPr>
          <w:rFonts w:cstheme="minorHAnsi"/>
        </w:rPr>
        <w:t xml:space="preserve"> primary data </w:t>
      </w:r>
      <w:r w:rsidR="00896B1D" w:rsidRPr="00896B1D">
        <w:rPr>
          <w:rFonts w:cstheme="minorHAnsi"/>
        </w:rPr>
        <w:t>collection</w:t>
      </w:r>
      <w:r w:rsidR="00E2794D" w:rsidRPr="00896B1D">
        <w:rPr>
          <w:rFonts w:cstheme="minorHAnsi"/>
        </w:rPr>
        <w:t>—</w:t>
      </w:r>
      <w:r w:rsidR="00896B1D" w:rsidRPr="00896B1D">
        <w:rPr>
          <w:rFonts w:cstheme="minorHAnsi"/>
        </w:rPr>
        <w:t>through</w:t>
      </w:r>
      <w:r w:rsidR="00E2794D" w:rsidRPr="00896B1D">
        <w:rPr>
          <w:rFonts w:cstheme="minorHAnsi"/>
        </w:rPr>
        <w:t xml:space="preserve"> </w:t>
      </w:r>
      <w:r w:rsidR="00A66823" w:rsidRPr="00896B1D">
        <w:rPr>
          <w:rFonts w:cstheme="minorHAnsi"/>
        </w:rPr>
        <w:t>interviews with municipalities</w:t>
      </w:r>
      <w:r w:rsidR="00A33A22" w:rsidRPr="00896B1D">
        <w:rPr>
          <w:rFonts w:cstheme="minorHAnsi"/>
        </w:rPr>
        <w:t xml:space="preserve"> and</w:t>
      </w:r>
      <w:r w:rsidR="00A66823" w:rsidRPr="00896B1D">
        <w:rPr>
          <w:rFonts w:cstheme="minorHAnsi"/>
        </w:rPr>
        <w:t xml:space="preserve"> interviews with Roma moderators</w:t>
      </w:r>
      <w:r w:rsidR="00A33A22" w:rsidRPr="00896B1D">
        <w:rPr>
          <w:rFonts w:cstheme="minorHAnsi"/>
        </w:rPr>
        <w:t>—</w:t>
      </w:r>
      <w:r w:rsidR="00894566" w:rsidRPr="00896B1D">
        <w:rPr>
          <w:rFonts w:cstheme="minorHAnsi"/>
        </w:rPr>
        <w:t xml:space="preserve"> and </w:t>
      </w:r>
      <w:r w:rsidR="00E868BD">
        <w:rPr>
          <w:rFonts w:cstheme="minorHAnsi"/>
        </w:rPr>
        <w:t xml:space="preserve">the </w:t>
      </w:r>
      <w:r w:rsidR="00894566" w:rsidRPr="00896B1D">
        <w:rPr>
          <w:rFonts w:cstheme="minorHAnsi"/>
        </w:rPr>
        <w:t xml:space="preserve">use of </w:t>
      </w:r>
      <w:r w:rsidR="00A66823" w:rsidRPr="00896B1D">
        <w:rPr>
          <w:rFonts w:cstheme="minorHAnsi"/>
        </w:rPr>
        <w:t xml:space="preserve">statistics from different state institutions. </w:t>
      </w:r>
      <w:r w:rsidR="00E868BD" w:rsidRPr="00896B1D">
        <w:rPr>
          <w:rFonts w:cstheme="minorHAnsi"/>
        </w:rPr>
        <w:t>The</w:t>
      </w:r>
      <w:r w:rsidR="00D823ED" w:rsidRPr="00896B1D">
        <w:rPr>
          <w:rFonts w:cstheme="minorHAnsi"/>
        </w:rPr>
        <w:t xml:space="preserve"> selection of </w:t>
      </w:r>
      <w:r w:rsidR="00896B1D" w:rsidRPr="00896B1D">
        <w:rPr>
          <w:rFonts w:cstheme="minorHAnsi"/>
        </w:rPr>
        <w:t>municipalities</w:t>
      </w:r>
      <w:r w:rsidR="00D823ED" w:rsidRPr="00896B1D">
        <w:rPr>
          <w:rFonts w:cstheme="minorHAnsi"/>
        </w:rPr>
        <w:t xml:space="preserve"> to </w:t>
      </w:r>
      <w:r w:rsidR="00896B1D" w:rsidRPr="00896B1D">
        <w:rPr>
          <w:rFonts w:cstheme="minorHAnsi"/>
        </w:rPr>
        <w:t>interview</w:t>
      </w:r>
      <w:r w:rsidR="00D823ED" w:rsidRPr="00896B1D">
        <w:rPr>
          <w:rFonts w:cstheme="minorHAnsi"/>
        </w:rPr>
        <w:t xml:space="preserve"> was made by the </w:t>
      </w:r>
      <w:r w:rsidR="00A66823" w:rsidRPr="00896B1D">
        <w:rPr>
          <w:rFonts w:cstheme="minorHAnsi"/>
        </w:rPr>
        <w:t>Central Statistical Bureau of Republic of Latvia</w:t>
      </w:r>
      <w:r w:rsidR="00ED5D48" w:rsidRPr="00896B1D">
        <w:rPr>
          <w:rFonts w:cstheme="minorHAnsi"/>
        </w:rPr>
        <w:t xml:space="preserve"> in order to ensure re</w:t>
      </w:r>
      <w:r w:rsidR="00896B1D" w:rsidRPr="00896B1D">
        <w:rPr>
          <w:rFonts w:cstheme="minorHAnsi"/>
        </w:rPr>
        <w:t>presentation</w:t>
      </w:r>
      <w:r w:rsidR="00ED5D48" w:rsidRPr="00896B1D">
        <w:rPr>
          <w:rFonts w:cstheme="minorHAnsi"/>
        </w:rPr>
        <w:t xml:space="preserve"> of </w:t>
      </w:r>
      <w:r w:rsidR="00896B1D" w:rsidRPr="00896B1D">
        <w:rPr>
          <w:rFonts w:cstheme="minorHAnsi"/>
        </w:rPr>
        <w:t>municipalities</w:t>
      </w:r>
      <w:r w:rsidR="00ED5D48" w:rsidRPr="00896B1D">
        <w:rPr>
          <w:rFonts w:cstheme="minorHAnsi"/>
        </w:rPr>
        <w:t xml:space="preserve"> </w:t>
      </w:r>
      <w:r w:rsidR="00C967EC" w:rsidRPr="00896B1D">
        <w:rPr>
          <w:rFonts w:cstheme="minorHAnsi"/>
        </w:rPr>
        <w:t>with statistically</w:t>
      </w:r>
      <w:r w:rsidR="00E868BD">
        <w:rPr>
          <w:rFonts w:cstheme="minorHAnsi"/>
        </w:rPr>
        <w:t xml:space="preserve"> </w:t>
      </w:r>
      <w:r w:rsidR="00ED5D48" w:rsidRPr="00896B1D">
        <w:rPr>
          <w:rFonts w:cstheme="minorHAnsi"/>
        </w:rPr>
        <w:t xml:space="preserve">the </w:t>
      </w:r>
      <w:r w:rsidR="00A66823" w:rsidRPr="00896B1D">
        <w:rPr>
          <w:rFonts w:cstheme="minorHAnsi"/>
        </w:rPr>
        <w:t xml:space="preserve">most significant number of Roma minority.  </w:t>
      </w:r>
      <w:r w:rsidR="00197EC8" w:rsidRPr="00896B1D">
        <w:rPr>
          <w:rFonts w:cstheme="minorHAnsi"/>
        </w:rPr>
        <w:t xml:space="preserve">Ombudsman’s Office relied </w:t>
      </w:r>
      <w:r w:rsidR="001C4931" w:rsidRPr="00896B1D">
        <w:rPr>
          <w:rFonts w:cstheme="minorHAnsi"/>
        </w:rPr>
        <w:t xml:space="preserve">on statistics to show that </w:t>
      </w:r>
      <w:r w:rsidR="00A66823" w:rsidRPr="00896B1D">
        <w:rPr>
          <w:rFonts w:cstheme="minorHAnsi"/>
        </w:rPr>
        <w:t xml:space="preserve">from all </w:t>
      </w:r>
      <w:r w:rsidR="00896B1D" w:rsidRPr="00896B1D">
        <w:rPr>
          <w:rFonts w:cstheme="minorHAnsi"/>
        </w:rPr>
        <w:t>minority groups</w:t>
      </w:r>
      <w:r w:rsidR="007B1741" w:rsidRPr="00896B1D">
        <w:rPr>
          <w:rFonts w:cstheme="minorHAnsi"/>
        </w:rPr>
        <w:t xml:space="preserve"> in </w:t>
      </w:r>
      <w:r w:rsidR="00A66823" w:rsidRPr="00896B1D">
        <w:rPr>
          <w:rFonts w:cstheme="minorHAnsi"/>
        </w:rPr>
        <w:t>Latvia</w:t>
      </w:r>
      <w:r w:rsidR="00F1676B" w:rsidRPr="00896B1D">
        <w:rPr>
          <w:rFonts w:cstheme="minorHAnsi"/>
        </w:rPr>
        <w:t xml:space="preserve"> </w:t>
      </w:r>
      <w:r w:rsidR="007B1741" w:rsidRPr="00896B1D">
        <w:rPr>
          <w:rFonts w:cstheme="minorHAnsi"/>
        </w:rPr>
        <w:t xml:space="preserve">members of the </w:t>
      </w:r>
      <w:r w:rsidR="00A66823" w:rsidRPr="00896B1D">
        <w:rPr>
          <w:rFonts w:cstheme="minorHAnsi"/>
        </w:rPr>
        <w:t xml:space="preserve">Roma </w:t>
      </w:r>
      <w:r w:rsidR="007B1741" w:rsidRPr="00896B1D">
        <w:rPr>
          <w:rFonts w:cstheme="minorHAnsi"/>
        </w:rPr>
        <w:t xml:space="preserve">community </w:t>
      </w:r>
      <w:r w:rsidR="00A66823" w:rsidRPr="00896B1D">
        <w:rPr>
          <w:rFonts w:cstheme="minorHAnsi"/>
        </w:rPr>
        <w:t>ha</w:t>
      </w:r>
      <w:r w:rsidR="001C4931" w:rsidRPr="00896B1D">
        <w:rPr>
          <w:rFonts w:cstheme="minorHAnsi"/>
        </w:rPr>
        <w:t>ve</w:t>
      </w:r>
      <w:r w:rsidR="00A66823" w:rsidRPr="00896B1D">
        <w:rPr>
          <w:rFonts w:cstheme="minorHAnsi"/>
        </w:rPr>
        <w:t xml:space="preserve"> the shortest unemployment time,</w:t>
      </w:r>
      <w:r w:rsidR="007B1741" w:rsidRPr="00896B1D">
        <w:rPr>
          <w:rFonts w:cstheme="minorHAnsi"/>
        </w:rPr>
        <w:t xml:space="preserve"> indicating that</w:t>
      </w:r>
      <w:r w:rsidR="00A66823" w:rsidRPr="00896B1D">
        <w:rPr>
          <w:rFonts w:cstheme="minorHAnsi"/>
        </w:rPr>
        <w:t xml:space="preserve"> they find job the fastest. </w:t>
      </w:r>
      <w:r w:rsidR="0036404C" w:rsidRPr="00896B1D">
        <w:rPr>
          <w:rFonts w:cstheme="minorHAnsi"/>
        </w:rPr>
        <w:t xml:space="preserve"> The research provided</w:t>
      </w:r>
      <w:r w:rsidR="001D5EC2" w:rsidRPr="00896B1D">
        <w:rPr>
          <w:rFonts w:cstheme="minorHAnsi"/>
        </w:rPr>
        <w:t xml:space="preserve"> evidence for </w:t>
      </w:r>
      <w:r w:rsidR="00F20D26" w:rsidRPr="00896B1D">
        <w:rPr>
          <w:rFonts w:cstheme="minorHAnsi"/>
        </w:rPr>
        <w:t>several</w:t>
      </w:r>
      <w:r w:rsidR="001D5EC2" w:rsidRPr="00896B1D">
        <w:rPr>
          <w:rFonts w:cstheme="minorHAnsi"/>
        </w:rPr>
        <w:t xml:space="preserve"> </w:t>
      </w:r>
      <w:r w:rsidR="00896B1D" w:rsidRPr="00896B1D">
        <w:rPr>
          <w:rFonts w:cstheme="minorHAnsi"/>
        </w:rPr>
        <w:t>recommendations</w:t>
      </w:r>
      <w:r w:rsidR="001D5EC2" w:rsidRPr="00896B1D">
        <w:rPr>
          <w:rFonts w:cstheme="minorHAnsi"/>
        </w:rPr>
        <w:t xml:space="preserve"> to </w:t>
      </w:r>
      <w:r w:rsidR="00896B1D" w:rsidRPr="00896B1D">
        <w:rPr>
          <w:rFonts w:cstheme="minorHAnsi"/>
        </w:rPr>
        <w:t>the government</w:t>
      </w:r>
      <w:r w:rsidR="001D5EC2" w:rsidRPr="00896B1D">
        <w:rPr>
          <w:rFonts w:cstheme="minorHAnsi"/>
        </w:rPr>
        <w:t xml:space="preserve">, including a </w:t>
      </w:r>
      <w:r w:rsidR="00896B1D" w:rsidRPr="00896B1D">
        <w:rPr>
          <w:rFonts w:cstheme="minorHAnsi"/>
        </w:rPr>
        <w:t>recommendation</w:t>
      </w:r>
      <w:r w:rsidR="001D5EC2" w:rsidRPr="00896B1D">
        <w:rPr>
          <w:rFonts w:cstheme="minorHAnsi"/>
        </w:rPr>
        <w:t xml:space="preserve"> about</w:t>
      </w:r>
      <w:r w:rsidR="00A654F0" w:rsidRPr="00896B1D">
        <w:rPr>
          <w:rFonts w:cstheme="minorHAnsi"/>
        </w:rPr>
        <w:t xml:space="preserve"> </w:t>
      </w:r>
      <w:r w:rsidR="00896B1D" w:rsidRPr="00896B1D">
        <w:rPr>
          <w:rFonts w:cstheme="minorHAnsi"/>
        </w:rPr>
        <w:t>improving</w:t>
      </w:r>
      <w:r w:rsidR="00A654F0" w:rsidRPr="00896B1D">
        <w:rPr>
          <w:rFonts w:cstheme="minorHAnsi"/>
        </w:rPr>
        <w:t xml:space="preserve"> </w:t>
      </w:r>
      <w:r w:rsidR="00896B1D" w:rsidRPr="00896B1D">
        <w:rPr>
          <w:rFonts w:cstheme="minorHAnsi"/>
        </w:rPr>
        <w:t>the</w:t>
      </w:r>
      <w:r w:rsidR="00176403">
        <w:rPr>
          <w:rFonts w:cstheme="minorHAnsi"/>
        </w:rPr>
        <w:t xml:space="preserve"> e</w:t>
      </w:r>
      <w:r w:rsidR="00A654F0" w:rsidRPr="00896B1D">
        <w:rPr>
          <w:rFonts w:cstheme="minorHAnsi"/>
        </w:rPr>
        <w:t>ducation of Roma children, which i</w:t>
      </w:r>
      <w:r w:rsidR="00896B1D" w:rsidRPr="00896B1D">
        <w:rPr>
          <w:rFonts w:cstheme="minorHAnsi"/>
        </w:rPr>
        <w:t xml:space="preserve">s currently being fulfilled by the </w:t>
      </w:r>
      <w:r w:rsidR="00A66823" w:rsidRPr="00896B1D">
        <w:rPr>
          <w:rFonts w:cstheme="minorHAnsi"/>
        </w:rPr>
        <w:t>Ministry of Education</w:t>
      </w:r>
      <w:r w:rsidR="00896B1D" w:rsidRPr="00896B1D">
        <w:rPr>
          <w:rFonts w:cstheme="minorHAnsi"/>
        </w:rPr>
        <w:t>.</w:t>
      </w:r>
      <w:bookmarkStart w:id="45" w:name="_Toc160573206"/>
    </w:p>
    <w:p w14:paraId="5A085EB0" w14:textId="2BC53CEF" w:rsidR="005F1341" w:rsidRPr="00280736" w:rsidRDefault="00C34DCD" w:rsidP="0033359B">
      <w:pPr>
        <w:pStyle w:val="Heading2"/>
      </w:pPr>
      <w:bookmarkStart w:id="46" w:name="_Toc190332904"/>
      <w:r w:rsidRPr="00280736">
        <w:lastRenderedPageBreak/>
        <w:t>R</w:t>
      </w:r>
      <w:r w:rsidR="005F1341" w:rsidRPr="00280736">
        <w:t>eports –</w:t>
      </w:r>
      <w:r w:rsidRPr="00280736">
        <w:t xml:space="preserve"> </w:t>
      </w:r>
      <w:r w:rsidR="004B3989" w:rsidRPr="00280736">
        <w:t>Equality</w:t>
      </w:r>
      <w:r w:rsidRPr="00280736">
        <w:t xml:space="preserve"> Bodies </w:t>
      </w:r>
      <w:r w:rsidR="001C7B58" w:rsidRPr="00280736">
        <w:t xml:space="preserve">as users of </w:t>
      </w:r>
      <w:r w:rsidR="001E14D0" w:rsidRPr="00280736">
        <w:t>equality</w:t>
      </w:r>
      <w:r w:rsidR="001C7B58" w:rsidRPr="00280736">
        <w:t xml:space="preserve"> data</w:t>
      </w:r>
      <w:bookmarkEnd w:id="45"/>
      <w:bookmarkEnd w:id="46"/>
      <w:r w:rsidR="001C7B58" w:rsidRPr="00280736">
        <w:t xml:space="preserve"> </w:t>
      </w:r>
      <w:r w:rsidR="005F1341" w:rsidRPr="00280736">
        <w:t xml:space="preserve"> </w:t>
      </w:r>
    </w:p>
    <w:p w14:paraId="44ED3749" w14:textId="17C4FDAC" w:rsidR="007F2F94" w:rsidRPr="00FD2206" w:rsidRDefault="00FC09D1" w:rsidP="00810DD4">
      <w:pPr>
        <w:pStyle w:val="Heading4"/>
        <w:shd w:val="clear" w:color="auto" w:fill="BDF9C7"/>
      </w:pPr>
      <w:r w:rsidRPr="00FD2206">
        <w:t xml:space="preserve">Office of the Greek Ombudsman </w:t>
      </w:r>
    </w:p>
    <w:p w14:paraId="0B83B2CC" w14:textId="53276B29" w:rsidR="00DD70B1" w:rsidRPr="00DD70B1" w:rsidRDefault="00DD70B1" w:rsidP="00DD70B1">
      <w:pPr>
        <w:pStyle w:val="Heading4"/>
        <w:spacing w:before="0" w:after="120"/>
        <w:rPr>
          <w:rFonts w:eastAsia="Times New Roman"/>
          <w:sz w:val="20"/>
          <w:szCs w:val="20"/>
        </w:rPr>
      </w:pPr>
      <w:r w:rsidRPr="00DD70B1">
        <w:rPr>
          <w:rFonts w:eastAsia="Times New Roman"/>
          <w:sz w:val="20"/>
          <w:szCs w:val="20"/>
        </w:rPr>
        <w:t>(</w:t>
      </w:r>
      <w:r>
        <w:rPr>
          <w:rFonts w:eastAsia="Times New Roman"/>
          <w:sz w:val="20"/>
          <w:szCs w:val="20"/>
        </w:rPr>
        <w:t>U</w:t>
      </w:r>
      <w:r w:rsidRPr="00DD70B1">
        <w:rPr>
          <w:rFonts w:eastAsia="Times New Roman"/>
          <w:sz w:val="20"/>
          <w:szCs w:val="20"/>
        </w:rPr>
        <w:t>se by international court and public bodies)</w:t>
      </w:r>
    </w:p>
    <w:p w14:paraId="4A67EF8E" w14:textId="7B446FD8" w:rsidR="0047753E" w:rsidRDefault="001C7B58" w:rsidP="00CE1825">
      <w:pPr>
        <w:spacing w:after="120" w:line="360" w:lineRule="auto"/>
      </w:pPr>
      <w:r w:rsidRPr="009B3B91">
        <w:t xml:space="preserve">Office of the Greek Ombudsman used </w:t>
      </w:r>
      <w:r w:rsidR="008441BB" w:rsidRPr="009B3B91">
        <w:t>qualitative</w:t>
      </w:r>
      <w:r w:rsidRPr="009B3B91">
        <w:t xml:space="preserve"> data to issue </w:t>
      </w:r>
      <w:r w:rsidR="008441BB" w:rsidRPr="009B3B91">
        <w:t>reports</w:t>
      </w:r>
      <w:r w:rsidRPr="009B3B91">
        <w:t xml:space="preserve"> on detention conditions for asylum seekers in Greece, with special references to the </w:t>
      </w:r>
      <w:r w:rsidR="008441BB" w:rsidRPr="009B3B91">
        <w:t>extremely</w:t>
      </w:r>
      <w:r w:rsidRPr="009B3B91">
        <w:t xml:space="preserve"> </w:t>
      </w:r>
      <w:r w:rsidR="00DB09B0" w:rsidRPr="009B3B91">
        <w:t>poor</w:t>
      </w:r>
      <w:r w:rsidRPr="009B3B91">
        <w:t xml:space="preserve"> </w:t>
      </w:r>
      <w:r w:rsidR="00AA7CDD" w:rsidRPr="009B3B91">
        <w:t>conditions</w:t>
      </w:r>
      <w:r w:rsidRPr="009B3B91">
        <w:t xml:space="preserve"> in </w:t>
      </w:r>
      <w:r w:rsidR="008441BB" w:rsidRPr="009B3B91">
        <w:t>the</w:t>
      </w:r>
      <w:r w:rsidRPr="009B3B91">
        <w:t xml:space="preserve"> now closed centre of Pagani</w:t>
      </w:r>
      <w:r w:rsidR="00757D7E" w:rsidRPr="009B3B91">
        <w:t xml:space="preserve">. </w:t>
      </w:r>
      <w:r w:rsidRPr="009B3B91">
        <w:t xml:space="preserve">The case concerned the conditions in which a minor, a migrant from Afghanistan, who had entered Greece illegally, was held in the Pagani detention centre on the island of Lesbos and subsequently released with a view to his expulsion. The Ombudsman’s reports were used by the European Court of Human Rights in the case of </w:t>
      </w:r>
      <w:hyperlink r:id="rId35" w:anchor="{%22dmdocnumber%22:[%22884032%22],%22display%22:[0]}" w:history="1">
        <w:r w:rsidRPr="009B3B91">
          <w:rPr>
            <w:rStyle w:val="Hyperlink"/>
          </w:rPr>
          <w:t>Rahimi v. Greece</w:t>
        </w:r>
      </w:hyperlink>
      <w:r w:rsidRPr="009B3B91">
        <w:t xml:space="preserve"> (application no. 8687/08) as</w:t>
      </w:r>
      <w:r w:rsidR="00536674" w:rsidRPr="009B3B91">
        <w:t xml:space="preserve"> part of the evidence to establish a</w:t>
      </w:r>
      <w:r w:rsidR="007E1953" w:rsidRPr="009B3B91">
        <w:t xml:space="preserve"> </w:t>
      </w:r>
      <w:r w:rsidRPr="009B3B91">
        <w:t xml:space="preserve">violation of Article 3 (prohibition of inhuman or degrading treatment), Article 13 (right to an effective remedy) and Article 5 § § 1 and 4 (right to liberty and security) of the European Convention on Human Rights. </w:t>
      </w:r>
      <w:r w:rsidR="00040058" w:rsidRPr="009B3B91">
        <w:t xml:space="preserve">In addition, findings of </w:t>
      </w:r>
      <w:r w:rsidR="008441BB" w:rsidRPr="009B3B91">
        <w:t>the Ombudsman’s</w:t>
      </w:r>
      <w:r w:rsidR="00040058" w:rsidRPr="009B3B91">
        <w:t xml:space="preserve"> reports were used by national and </w:t>
      </w:r>
      <w:r w:rsidR="008441BB" w:rsidRPr="009B3B91">
        <w:t>international</w:t>
      </w:r>
      <w:r w:rsidR="00040058" w:rsidRPr="009B3B91">
        <w:t xml:space="preserve"> public bodies such as the</w:t>
      </w:r>
      <w:r w:rsidR="00AE0116" w:rsidRPr="009B3B91">
        <w:t xml:space="preserve"> Greek</w:t>
      </w:r>
      <w:r w:rsidR="00040058" w:rsidRPr="009B3B91">
        <w:t xml:space="preserve"> National Commission for Human Rights </w:t>
      </w:r>
      <w:r w:rsidR="00AE0116" w:rsidRPr="009B3B91">
        <w:t xml:space="preserve">and </w:t>
      </w:r>
      <w:r w:rsidR="00040058" w:rsidRPr="009B3B91">
        <w:t xml:space="preserve">the United States’ State </w:t>
      </w:r>
      <w:r w:rsidR="00DB09B0" w:rsidRPr="009B3B91">
        <w:t>Department in</w:t>
      </w:r>
      <w:r w:rsidR="00040058" w:rsidRPr="009B3B91">
        <w:t xml:space="preserve"> its Country Reports on Human Rights Practices.</w:t>
      </w:r>
    </w:p>
    <w:p w14:paraId="01A7520E" w14:textId="34B72549" w:rsidR="0047753E" w:rsidRPr="003D5BC2" w:rsidRDefault="003C23C5" w:rsidP="00810DD4">
      <w:pPr>
        <w:pStyle w:val="Heading4"/>
        <w:shd w:val="clear" w:color="auto" w:fill="BDF9C7"/>
      </w:pPr>
      <w:r>
        <w:t xml:space="preserve">UK </w:t>
      </w:r>
      <w:r w:rsidR="0047753E" w:rsidRPr="003D5BC2">
        <w:t>Equality and Human Rights Commission</w:t>
      </w:r>
      <w:r w:rsidR="003D5BC2" w:rsidRPr="003D5BC2">
        <w:t xml:space="preserve"> </w:t>
      </w:r>
    </w:p>
    <w:p w14:paraId="2CA392C9" w14:textId="23C38886" w:rsidR="00762F69" w:rsidRDefault="00906DAC" w:rsidP="00CE1825">
      <w:pPr>
        <w:spacing w:after="120" w:line="360" w:lineRule="auto"/>
        <w:rPr>
          <w:color w:val="333333"/>
        </w:rPr>
      </w:pPr>
      <w:r w:rsidRPr="003C23C5">
        <w:t xml:space="preserve">Equality and Human Rights Commission of the United Kingdom issues a statutory report on the state of </w:t>
      </w:r>
      <w:r w:rsidRPr="003C23C5">
        <w:rPr>
          <w:color w:val="333333"/>
        </w:rPr>
        <w:t>equality and human rights at least every five years. </w:t>
      </w:r>
      <w:r w:rsidR="00CE1ABB" w:rsidRPr="003C23C5">
        <w:rPr>
          <w:color w:val="333333"/>
        </w:rPr>
        <w:t>T</w:t>
      </w:r>
      <w:r w:rsidR="003108B0" w:rsidRPr="003C23C5">
        <w:rPr>
          <w:color w:val="333333"/>
        </w:rPr>
        <w:t>his was known as “</w:t>
      </w:r>
      <w:hyperlink r:id="rId36" w:history="1">
        <w:r w:rsidR="003108B0" w:rsidRPr="003C23C5">
          <w:rPr>
            <w:rStyle w:val="Hyperlink"/>
          </w:rPr>
          <w:t>Is Britain Fairer?</w:t>
        </w:r>
      </w:hyperlink>
      <w:r w:rsidR="003108B0" w:rsidRPr="003C23C5">
        <w:rPr>
          <w:color w:val="333333"/>
        </w:rPr>
        <w:t xml:space="preserve">” in the past and is being rebranded.  The report contains an assessment of performance using our </w:t>
      </w:r>
      <w:hyperlink r:id="rId37" w:history="1">
        <w:r w:rsidR="003108B0" w:rsidRPr="003C23C5">
          <w:rPr>
            <w:rStyle w:val="Hyperlink"/>
          </w:rPr>
          <w:t>Measurement Framework</w:t>
        </w:r>
      </w:hyperlink>
      <w:r w:rsidR="003108B0" w:rsidRPr="003C23C5">
        <w:rPr>
          <w:color w:val="333333"/>
        </w:rPr>
        <w:t xml:space="preserve">; a comprehensive set of indicators that illustrate the domains of life that are important to people in this country.  This framework was designed using multiple theoretical frameworks (equality and equity, human rights, human development, capabilities, legal frameworks and so on) from which we developed a set of indicators, collaboratively with stakeholders, that could be measured consistently and accurately.  </w:t>
      </w:r>
      <w:r w:rsidR="007F0C23" w:rsidRPr="003C23C5">
        <w:rPr>
          <w:color w:val="333333"/>
        </w:rPr>
        <w:t>The report gives a</w:t>
      </w:r>
      <w:r w:rsidR="00C66CEA" w:rsidRPr="003C23C5">
        <w:rPr>
          <w:color w:val="333333"/>
        </w:rPr>
        <w:t xml:space="preserve"> comprehensive review of how Britain is performing on equality and human rights, </w:t>
      </w:r>
      <w:r w:rsidR="00FF1F86" w:rsidRPr="003C23C5">
        <w:rPr>
          <w:color w:val="333333"/>
        </w:rPr>
        <w:t>look</w:t>
      </w:r>
      <w:r w:rsidR="00AB33B3" w:rsidRPr="003C23C5">
        <w:rPr>
          <w:color w:val="333333"/>
        </w:rPr>
        <w:t xml:space="preserve">ing </w:t>
      </w:r>
      <w:r w:rsidR="00FF1F86" w:rsidRPr="003C23C5">
        <w:rPr>
          <w:color w:val="333333"/>
        </w:rPr>
        <w:t>across all areas of life, including:</w:t>
      </w:r>
      <w:r w:rsidR="00AB33B3" w:rsidRPr="003C23C5">
        <w:rPr>
          <w:color w:val="333333"/>
        </w:rPr>
        <w:t xml:space="preserve"> </w:t>
      </w:r>
      <w:r w:rsidR="00FF1F86" w:rsidRPr="003C23C5">
        <w:rPr>
          <w:color w:val="333333"/>
        </w:rPr>
        <w:t>education</w:t>
      </w:r>
      <w:r w:rsidR="00AB33B3" w:rsidRPr="003C23C5">
        <w:rPr>
          <w:color w:val="333333"/>
        </w:rPr>
        <w:t xml:space="preserve">, </w:t>
      </w:r>
      <w:r w:rsidR="00FF1F86" w:rsidRPr="003C23C5">
        <w:rPr>
          <w:color w:val="333333"/>
        </w:rPr>
        <w:t>work</w:t>
      </w:r>
      <w:r w:rsidR="00AB33B3" w:rsidRPr="003C23C5">
        <w:rPr>
          <w:color w:val="333333"/>
        </w:rPr>
        <w:t xml:space="preserve">, </w:t>
      </w:r>
      <w:r w:rsidR="00FF1F86" w:rsidRPr="003C23C5">
        <w:rPr>
          <w:color w:val="333333"/>
        </w:rPr>
        <w:t>living standards</w:t>
      </w:r>
      <w:r w:rsidR="00AB33B3" w:rsidRPr="003C23C5">
        <w:rPr>
          <w:color w:val="333333"/>
        </w:rPr>
        <w:t xml:space="preserve">, </w:t>
      </w:r>
      <w:r w:rsidR="00FF1F86" w:rsidRPr="003C23C5">
        <w:rPr>
          <w:color w:val="333333"/>
        </w:rPr>
        <w:t>health</w:t>
      </w:r>
      <w:r w:rsidR="00AB33B3" w:rsidRPr="003C23C5">
        <w:rPr>
          <w:color w:val="333333"/>
        </w:rPr>
        <w:t xml:space="preserve">, </w:t>
      </w:r>
      <w:r w:rsidR="00FF1F86" w:rsidRPr="003C23C5">
        <w:rPr>
          <w:color w:val="333333"/>
        </w:rPr>
        <w:t>justice and security</w:t>
      </w:r>
      <w:r w:rsidR="00AB33B3" w:rsidRPr="003C23C5">
        <w:rPr>
          <w:color w:val="333333"/>
        </w:rPr>
        <w:t>, and</w:t>
      </w:r>
      <w:r w:rsidR="003C23C5" w:rsidRPr="003C23C5">
        <w:rPr>
          <w:color w:val="333333"/>
        </w:rPr>
        <w:t xml:space="preserve"> </w:t>
      </w:r>
      <w:r w:rsidR="00FF1F86" w:rsidRPr="003C23C5">
        <w:rPr>
          <w:color w:val="333333"/>
        </w:rPr>
        <w:t>participation in society</w:t>
      </w:r>
      <w:r w:rsidR="003C23C5" w:rsidRPr="003C23C5">
        <w:rPr>
          <w:color w:val="333333"/>
        </w:rPr>
        <w:t xml:space="preserve">. </w:t>
      </w:r>
    </w:p>
    <w:p w14:paraId="4B980246" w14:textId="4DDBE8E9" w:rsidR="00D11882" w:rsidRPr="00762F69" w:rsidRDefault="00D11882" w:rsidP="00810DD4">
      <w:pPr>
        <w:pStyle w:val="Heading4"/>
        <w:shd w:val="clear" w:color="auto" w:fill="BDF9C7"/>
      </w:pPr>
      <w:r w:rsidRPr="00B43218">
        <w:t>Irish Human Rights and Equality Commission</w:t>
      </w:r>
    </w:p>
    <w:p w14:paraId="311EEE0E" w14:textId="2F06184F" w:rsidR="00171DF3" w:rsidRPr="00762F69" w:rsidRDefault="005C6202" w:rsidP="00CE1825">
      <w:pPr>
        <w:spacing w:after="120" w:line="360" w:lineRule="auto"/>
        <w:rPr>
          <w:b/>
          <w:lang w:val="en-US"/>
        </w:rPr>
      </w:pPr>
      <w:r>
        <w:rPr>
          <w:lang w:val="en-US"/>
        </w:rPr>
        <w:t xml:space="preserve">The </w:t>
      </w:r>
      <w:r w:rsidR="004F64E8" w:rsidRPr="004F64E8">
        <w:rPr>
          <w:lang w:val="en-US"/>
        </w:rPr>
        <w:t>Irish Human Rights and Equality Commission</w:t>
      </w:r>
      <w:r w:rsidR="004F64E8">
        <w:rPr>
          <w:lang w:val="en-US"/>
        </w:rPr>
        <w:t xml:space="preserve"> (</w:t>
      </w:r>
      <w:r w:rsidR="004F64E8" w:rsidRPr="00D11882">
        <w:rPr>
          <w:lang w:val="en-US"/>
        </w:rPr>
        <w:t>IHREC</w:t>
      </w:r>
      <w:r w:rsidR="004F64E8">
        <w:rPr>
          <w:lang w:val="en-US"/>
        </w:rPr>
        <w:t>)</w:t>
      </w:r>
      <w:r w:rsidR="004F64E8" w:rsidRPr="00D11882">
        <w:rPr>
          <w:lang w:val="en-US"/>
        </w:rPr>
        <w:t xml:space="preserve"> commissioned the Economic and Social Research Institute to use publicly available disaggregated data from national surveys including Ireland’s Equality Module to produce a set of research reports on equality and discrimination including: </w:t>
      </w:r>
      <w:hyperlink r:id="rId38" w:history="1">
        <w:r w:rsidR="004F64E8" w:rsidRPr="00D11882">
          <w:rPr>
            <w:rStyle w:val="Hyperlink"/>
            <w:lang w:val="en-US"/>
          </w:rPr>
          <w:t>Experiences of Discrimination</w:t>
        </w:r>
      </w:hyperlink>
      <w:r w:rsidR="004F64E8" w:rsidRPr="00D11882">
        <w:rPr>
          <w:lang w:val="en-US"/>
        </w:rPr>
        <w:t xml:space="preserve">, </w:t>
      </w:r>
      <w:hyperlink r:id="rId39" w:history="1">
        <w:r w:rsidR="004F64E8" w:rsidRPr="00D11882">
          <w:rPr>
            <w:rStyle w:val="Hyperlink"/>
            <w:lang w:val="en-US"/>
          </w:rPr>
          <w:t>Caring and Unpaid Work</w:t>
        </w:r>
      </w:hyperlink>
      <w:r w:rsidR="004F64E8" w:rsidRPr="00D11882">
        <w:rPr>
          <w:lang w:val="en-US"/>
        </w:rPr>
        <w:t xml:space="preserve">, </w:t>
      </w:r>
      <w:hyperlink r:id="rId40" w:history="1">
        <w:r w:rsidR="004F64E8" w:rsidRPr="00D11882">
          <w:rPr>
            <w:rStyle w:val="Hyperlink"/>
            <w:lang w:val="en-US"/>
          </w:rPr>
          <w:t>Disability</w:t>
        </w:r>
      </w:hyperlink>
      <w:r w:rsidR="004F64E8" w:rsidRPr="00D11882">
        <w:rPr>
          <w:lang w:val="en-US"/>
        </w:rPr>
        <w:t xml:space="preserve">, </w:t>
      </w:r>
      <w:hyperlink r:id="rId41" w:history="1">
        <w:r w:rsidR="004F64E8" w:rsidRPr="00D11882">
          <w:rPr>
            <w:rStyle w:val="Hyperlink"/>
            <w:lang w:val="en-US"/>
          </w:rPr>
          <w:t>Housing</w:t>
        </w:r>
      </w:hyperlink>
      <w:r w:rsidR="004F64E8" w:rsidRPr="00D11882">
        <w:rPr>
          <w:lang w:val="en-US"/>
        </w:rPr>
        <w:t xml:space="preserve"> and </w:t>
      </w:r>
      <w:hyperlink r:id="rId42" w:history="1">
        <w:r w:rsidR="004F64E8" w:rsidRPr="00D11882">
          <w:rPr>
            <w:rStyle w:val="Hyperlink"/>
            <w:lang w:val="en-US"/>
          </w:rPr>
          <w:t>Attitudes</w:t>
        </w:r>
      </w:hyperlink>
      <w:r w:rsidR="004F64E8" w:rsidRPr="00D11882">
        <w:rPr>
          <w:lang w:val="en-US"/>
        </w:rPr>
        <w:t>.</w:t>
      </w:r>
      <w:r w:rsidR="00DC15EF" w:rsidRPr="00DC15EF">
        <w:t xml:space="preserve"> </w:t>
      </w:r>
      <w:r>
        <w:t>For example, t</w:t>
      </w:r>
      <w:r w:rsidR="00DC15EF" w:rsidRPr="00DC15EF">
        <w:rPr>
          <w:lang w:val="en-US"/>
        </w:rPr>
        <w:t>h</w:t>
      </w:r>
      <w:r w:rsidR="00DC15EF">
        <w:rPr>
          <w:lang w:val="en-US"/>
        </w:rPr>
        <w:t xml:space="preserve">e </w:t>
      </w:r>
      <w:r w:rsidR="00DC15EF" w:rsidRPr="00DC15EF">
        <w:rPr>
          <w:lang w:val="en-US"/>
        </w:rPr>
        <w:t>report</w:t>
      </w:r>
      <w:r w:rsidR="00DC15EF">
        <w:rPr>
          <w:lang w:val="en-US"/>
        </w:rPr>
        <w:t xml:space="preserve"> “Caring and Unpaid Work”</w:t>
      </w:r>
      <w:r w:rsidR="00DC15EF" w:rsidRPr="00DC15EF">
        <w:rPr>
          <w:lang w:val="en-US"/>
        </w:rPr>
        <w:t xml:space="preserve"> examines Irish data collected over more than a </w:t>
      </w:r>
      <w:r w:rsidR="00DC15EF" w:rsidRPr="00DC15EF">
        <w:rPr>
          <w:lang w:val="en-US"/>
        </w:rPr>
        <w:lastRenderedPageBreak/>
        <w:t>decade to investigate involvement in unpaid work in the areas of childcare, care of older adults or those with a disability, and housework. It also looks at how people’s involvement has changed over time, and how Ireland compares to other EU Member States.</w:t>
      </w:r>
    </w:p>
    <w:p w14:paraId="0AF39379" w14:textId="59C99451" w:rsidR="00151542" w:rsidRPr="00621E71" w:rsidRDefault="00151542" w:rsidP="00810DD4">
      <w:pPr>
        <w:pStyle w:val="Heading4"/>
        <w:shd w:val="clear" w:color="auto" w:fill="BDF9C7"/>
      </w:pPr>
      <w:r w:rsidRPr="00621E71">
        <w:t>Slovak National Centre for Human Rights</w:t>
      </w:r>
    </w:p>
    <w:p w14:paraId="75FAB7F9" w14:textId="2708B405" w:rsidR="00FB2EEB" w:rsidRPr="00621E71" w:rsidRDefault="00075270" w:rsidP="00CE1825">
      <w:pPr>
        <w:spacing w:after="120" w:line="360" w:lineRule="auto"/>
      </w:pPr>
      <w:r w:rsidRPr="00621E71">
        <w:t xml:space="preserve">The Slovak National Centre for Human Rights issued a 2020 </w:t>
      </w:r>
      <w:r w:rsidR="00985E1F" w:rsidRPr="00621E71">
        <w:t>report “</w:t>
      </w:r>
      <w:r w:rsidR="00BA6094" w:rsidRPr="00621E71">
        <w:t>The right to education. Evaluation of human rights indicators for 2020“</w:t>
      </w:r>
      <w:r w:rsidRPr="00621E71">
        <w:t xml:space="preserve">, which was used </w:t>
      </w:r>
      <w:r w:rsidR="00BA6094" w:rsidRPr="00621E71">
        <w:t xml:space="preserve">by </w:t>
      </w:r>
      <w:r w:rsidRPr="00621E71">
        <w:t xml:space="preserve">Slovak civil society organization </w:t>
      </w:r>
      <w:r w:rsidR="00BA6094" w:rsidRPr="00621E71">
        <w:t>The Platform of Families of Children with Disabilities in their advocacy campaign for better access</w:t>
      </w:r>
      <w:r w:rsidRPr="00621E71">
        <w:t xml:space="preserve"> to primary education</w:t>
      </w:r>
      <w:r w:rsidR="00BA6094" w:rsidRPr="00621E71">
        <w:t xml:space="preserve">. </w:t>
      </w:r>
      <w:r w:rsidRPr="00621E71">
        <w:t>The report</w:t>
      </w:r>
      <w:r w:rsidR="002E5BAD" w:rsidRPr="00621E71">
        <w:t xml:space="preserve"> presented </w:t>
      </w:r>
      <w:r w:rsidR="00BA6094" w:rsidRPr="00621E71">
        <w:t>quantitative analys</w:t>
      </w:r>
      <w:r w:rsidR="002E5BAD" w:rsidRPr="00621E71">
        <w:t xml:space="preserve">is of </w:t>
      </w:r>
      <w:r w:rsidR="00BA6094" w:rsidRPr="00621E71">
        <w:t>available</w:t>
      </w:r>
      <w:r w:rsidR="002E5BAD" w:rsidRPr="00621E71">
        <w:t xml:space="preserve"> relevant</w:t>
      </w:r>
      <w:r w:rsidR="00BA6094" w:rsidRPr="00621E71">
        <w:t xml:space="preserve"> administrative and statistical data in the context of human rights obligations to guarantee right to education to all children</w:t>
      </w:r>
      <w:r w:rsidR="00985E1F" w:rsidRPr="00621E71">
        <w:t xml:space="preserve">. </w:t>
      </w:r>
    </w:p>
    <w:p w14:paraId="0BA7B854" w14:textId="3D3B506F" w:rsidR="00FD76DE" w:rsidRPr="00762F69" w:rsidRDefault="00FD76DE" w:rsidP="00810DD4">
      <w:pPr>
        <w:pStyle w:val="Heading4"/>
        <w:shd w:val="clear" w:color="auto" w:fill="BDF9C7"/>
      </w:pPr>
      <w:r w:rsidRPr="00786092">
        <w:t xml:space="preserve">Swedish Equality Ombud </w:t>
      </w:r>
    </w:p>
    <w:p w14:paraId="64B3F696" w14:textId="7E8D2412" w:rsidR="005F1193" w:rsidRPr="00621E71" w:rsidRDefault="00F76385" w:rsidP="00CE1825">
      <w:pPr>
        <w:spacing w:after="120" w:line="360" w:lineRule="auto"/>
      </w:pPr>
      <w:r>
        <w:t xml:space="preserve">The </w:t>
      </w:r>
      <w:r w:rsidRPr="00F76385">
        <w:t xml:space="preserve">Swedish Equality Ombud </w:t>
      </w:r>
      <w:r>
        <w:t xml:space="preserve">developed a report </w:t>
      </w:r>
      <w:r w:rsidR="00252F82">
        <w:t xml:space="preserve">to </w:t>
      </w:r>
      <w:r w:rsidR="002E246C">
        <w:t>improve knowledge and understanding of how employers in the construction industry with 100 or more employees are dealing with the legal requirement t</w:t>
      </w:r>
      <w:r w:rsidR="008A415A">
        <w:t xml:space="preserve">o </w:t>
      </w:r>
      <w:r w:rsidR="002E246C">
        <w:t xml:space="preserve">have guidelines and procedures for preventing harassment, sexual harassment and reprisals. The </w:t>
      </w:r>
      <w:r w:rsidR="009E097B">
        <w:t xml:space="preserve">report </w:t>
      </w:r>
      <w:r w:rsidR="002E246C">
        <w:t>examine</w:t>
      </w:r>
      <w:r w:rsidR="009E097B">
        <w:t>d</w:t>
      </w:r>
      <w:r w:rsidR="002E246C">
        <w:t xml:space="preserve"> potential reasons why employers </w:t>
      </w:r>
      <w:r w:rsidR="00041FDB">
        <w:t>are</w:t>
      </w:r>
      <w:r w:rsidR="002E246C">
        <w:t xml:space="preserve"> not complying with</w:t>
      </w:r>
      <w:r w:rsidR="00210BE6">
        <w:t xml:space="preserve"> the requirement</w:t>
      </w:r>
      <w:r w:rsidR="00507BD7">
        <w:t xml:space="preserve"> as well as perceptions of employers’ organisations and trade unions in the construction industry</w:t>
      </w:r>
      <w:r w:rsidR="00423768">
        <w:t xml:space="preserve"> about the </w:t>
      </w:r>
      <w:r w:rsidR="00E54364">
        <w:t>sector’</w:t>
      </w:r>
      <w:r w:rsidR="00423768">
        <w:t xml:space="preserve">s </w:t>
      </w:r>
      <w:r w:rsidR="00507BD7">
        <w:t>compliance</w:t>
      </w:r>
      <w:r w:rsidR="00423768">
        <w:t xml:space="preserve">. </w:t>
      </w:r>
      <w:r w:rsidR="002E246C">
        <w:t xml:space="preserve"> </w:t>
      </w:r>
      <w:r w:rsidR="0049797C">
        <w:t xml:space="preserve">The results of the reports were presented and discussed </w:t>
      </w:r>
      <w:r w:rsidR="00B01624">
        <w:t>at webinars with target groups</w:t>
      </w:r>
      <w:r w:rsidR="00F65FA4">
        <w:t xml:space="preserve"> and were used by Swedish</w:t>
      </w:r>
      <w:r w:rsidR="00F43C05">
        <w:t xml:space="preserve"> </w:t>
      </w:r>
      <w:r w:rsidR="00450B33" w:rsidRPr="00450B33">
        <w:t>local anti-discrimination agencies</w:t>
      </w:r>
      <w:r w:rsidR="00F65FA4">
        <w:t xml:space="preserve"> (civil society </w:t>
      </w:r>
      <w:r w:rsidR="003613CA">
        <w:t>organizations</w:t>
      </w:r>
      <w:r w:rsidR="00F65FA4">
        <w:t>)</w:t>
      </w:r>
      <w:r w:rsidR="003613CA">
        <w:t xml:space="preserve"> </w:t>
      </w:r>
      <w:r w:rsidR="00450B33" w:rsidRPr="00450B33">
        <w:t xml:space="preserve">in their efforts to combat discrimination.  </w:t>
      </w:r>
    </w:p>
    <w:p w14:paraId="6F83DE48" w14:textId="77777777" w:rsidR="00460076" w:rsidRPr="00621E71" w:rsidRDefault="00460076" w:rsidP="00810DD4">
      <w:pPr>
        <w:pStyle w:val="Heading4"/>
        <w:shd w:val="clear" w:color="auto" w:fill="BDF9C7"/>
      </w:pPr>
      <w:bookmarkStart w:id="47" w:name="_Hlk123829027"/>
      <w:r w:rsidRPr="00621E71">
        <w:t xml:space="preserve">German Federal Anti-discrimination Agency </w:t>
      </w:r>
    </w:p>
    <w:bookmarkEnd w:id="47"/>
    <w:p w14:paraId="4FF28EE3" w14:textId="77777777" w:rsidR="00827ABF" w:rsidRDefault="002E5BAD" w:rsidP="00CE1825">
      <w:pPr>
        <w:spacing w:after="120" w:line="360" w:lineRule="auto"/>
      </w:pPr>
      <w:r w:rsidRPr="00621E71">
        <w:t>Results of research reports commissioned by</w:t>
      </w:r>
      <w:r w:rsidRPr="00621E71">
        <w:rPr>
          <w:b/>
          <w:bCs/>
        </w:rPr>
        <w:t xml:space="preserve"> </w:t>
      </w:r>
      <w:r w:rsidRPr="00621E71">
        <w:t>German Federal Anti-discrimination Agency</w:t>
      </w:r>
      <w:r w:rsidRPr="00621E71">
        <w:rPr>
          <w:b/>
          <w:bCs/>
        </w:rPr>
        <w:t xml:space="preserve"> </w:t>
      </w:r>
      <w:r w:rsidRPr="00621E71">
        <w:t>(FADA)</w:t>
      </w:r>
      <w:r w:rsidR="00D24110">
        <w:t xml:space="preserve"> </w:t>
      </w:r>
      <w:r w:rsidRPr="00621E71">
        <w:t>were used</w:t>
      </w:r>
      <w:r w:rsidR="005D2AD7">
        <w:t xml:space="preserve"> by the court</w:t>
      </w:r>
      <w:r w:rsidR="00CE5C43">
        <w:t xml:space="preserve">s to reach findings of discrimination. </w:t>
      </w:r>
      <w:r w:rsidRPr="00621E71">
        <w:t xml:space="preserve"> In a decision on the risks of discrimination for persons with disabilities in access to intensive care resources (triage) , the </w:t>
      </w:r>
      <w:r w:rsidR="00460076" w:rsidRPr="00621E71">
        <w:t>Federal Constitutional Court</w:t>
      </w:r>
      <w:r w:rsidRPr="00621E71">
        <w:t xml:space="preserve"> of </w:t>
      </w:r>
      <w:r w:rsidR="00410741" w:rsidRPr="00621E71">
        <w:t>Germany</w:t>
      </w:r>
      <w:r w:rsidRPr="00621E71">
        <w:t xml:space="preserve"> referenced the FADA-commissioned study </w:t>
      </w:r>
      <w:r w:rsidR="00460076" w:rsidRPr="00621E71">
        <w:t>“Risks of discrimination and protection against discrimination in the health care sector</w:t>
      </w:r>
      <w:r w:rsidRPr="00621E71">
        <w:t>.</w:t>
      </w:r>
      <w:r w:rsidR="00460076" w:rsidRPr="00621E71">
        <w:t>”</w:t>
      </w:r>
      <w:r w:rsidRPr="00621E71">
        <w:t xml:space="preserve"> In specific, the decision pointed to the study’s </w:t>
      </w:r>
      <w:r w:rsidR="00410741" w:rsidRPr="00621E71">
        <w:t>overview</w:t>
      </w:r>
      <w:r w:rsidRPr="00621E71">
        <w:t xml:space="preserve"> of </w:t>
      </w:r>
      <w:r w:rsidR="00603384" w:rsidRPr="00621E71">
        <w:t>e</w:t>
      </w:r>
      <w:r w:rsidR="00460076" w:rsidRPr="00621E71">
        <w:t>xisting research</w:t>
      </w:r>
      <w:r w:rsidRPr="00621E71">
        <w:t xml:space="preserve">, showing that </w:t>
      </w:r>
      <w:r w:rsidR="00460076" w:rsidRPr="00621E71">
        <w:t>persons with disabilities do not have equal opportunities to access health care services and that it is not ensured that they receive a discrimination-free diagnosis and treatment.</w:t>
      </w:r>
      <w:r w:rsidRPr="00621E71">
        <w:t xml:space="preserve"> Another example of a use of FADA study is in a d</w:t>
      </w:r>
      <w:r w:rsidR="00460076" w:rsidRPr="00621E71">
        <w:t xml:space="preserve">ecision by the Federal </w:t>
      </w:r>
      <w:r w:rsidR="00410741" w:rsidRPr="00621E71">
        <w:t>Labour</w:t>
      </w:r>
      <w:r w:rsidR="00460076" w:rsidRPr="00621E71">
        <w:t xml:space="preserve"> Court on HIV infection as reason for job dismissal</w:t>
      </w:r>
      <w:r w:rsidRPr="00621E71">
        <w:t>. The court relied on the study</w:t>
      </w:r>
      <w:r w:rsidR="00460076" w:rsidRPr="00621E71">
        <w:t xml:space="preserve"> “Protection against Discrimination on Grounds of Chronic Diseases</w:t>
      </w:r>
      <w:r w:rsidRPr="00621E71">
        <w:t>,</w:t>
      </w:r>
      <w:r w:rsidR="00460076" w:rsidRPr="00621E71">
        <w:t>”</w:t>
      </w:r>
      <w:r w:rsidRPr="00621E71">
        <w:t xml:space="preserve"> which pointed </w:t>
      </w:r>
      <w:r w:rsidR="00460076" w:rsidRPr="00621E71">
        <w:t>to risks of stigmatization and discrimination of persons suffering from HIV/AIDS in different areas, such as the health care sector or the private insurance sector</w:t>
      </w:r>
      <w:r w:rsidR="00110A25">
        <w:t>.</w:t>
      </w:r>
      <w:bookmarkStart w:id="48" w:name="_Toc160573207"/>
    </w:p>
    <w:p w14:paraId="10869311" w14:textId="77777777" w:rsidR="00097884" w:rsidRDefault="00097884" w:rsidP="005F77AD">
      <w:pPr>
        <w:pStyle w:val="Heading2"/>
        <w:sectPr w:rsidR="00097884">
          <w:headerReference w:type="default" r:id="rId43"/>
          <w:pgSz w:w="11906" w:h="16838"/>
          <w:pgMar w:top="1440" w:right="1440" w:bottom="1440" w:left="1440" w:header="708" w:footer="708" w:gutter="0"/>
          <w:cols w:space="708"/>
          <w:docGrid w:linePitch="360"/>
        </w:sectPr>
      </w:pPr>
    </w:p>
    <w:p w14:paraId="60ADB1A6" w14:textId="1219FEFE" w:rsidR="004727DC" w:rsidRPr="00316B6F" w:rsidRDefault="001D6160" w:rsidP="005F77AD">
      <w:pPr>
        <w:pStyle w:val="Heading2"/>
      </w:pPr>
      <w:bookmarkStart w:id="49" w:name="_Toc190332905"/>
      <w:r w:rsidRPr="00280736">
        <w:lastRenderedPageBreak/>
        <w:t xml:space="preserve">Recommendations </w:t>
      </w:r>
      <w:r w:rsidR="007E5888" w:rsidRPr="00280736">
        <w:t>(policy and legal advice)</w:t>
      </w:r>
      <w:bookmarkEnd w:id="48"/>
      <w:bookmarkEnd w:id="49"/>
    </w:p>
    <w:p w14:paraId="17C2F618" w14:textId="5DA90454" w:rsidR="004727DC" w:rsidRPr="00CA75C8" w:rsidRDefault="00142AB5" w:rsidP="00C538A8">
      <w:pPr>
        <w:pStyle w:val="Heading4"/>
        <w:shd w:val="clear" w:color="auto" w:fill="FAD8A0"/>
      </w:pPr>
      <w:bookmarkStart w:id="50" w:name="_Hlk124674080"/>
      <w:r w:rsidRPr="00CA75C8">
        <w:t xml:space="preserve">Spanish </w:t>
      </w:r>
      <w:r w:rsidR="00C46C4E">
        <w:t>C</w:t>
      </w:r>
      <w:r w:rsidRPr="00CA75C8">
        <w:t xml:space="preserve">ouncil for the </w:t>
      </w:r>
      <w:r w:rsidR="00C46C4E">
        <w:t>E</w:t>
      </w:r>
      <w:r w:rsidRPr="00CA75C8">
        <w:t xml:space="preserve">limination of </w:t>
      </w:r>
      <w:r w:rsidR="00C46C4E">
        <w:t>R</w:t>
      </w:r>
      <w:r w:rsidRPr="00CA75C8">
        <w:t xml:space="preserve">acial </w:t>
      </w:r>
      <w:r w:rsidR="00713757" w:rsidRPr="00CA75C8">
        <w:t>and</w:t>
      </w:r>
      <w:r w:rsidRPr="00CA75C8">
        <w:t xml:space="preserve"> </w:t>
      </w:r>
      <w:r w:rsidR="00C46C4E">
        <w:t>E</w:t>
      </w:r>
      <w:r w:rsidRPr="00CA75C8">
        <w:t xml:space="preserve">thnic </w:t>
      </w:r>
      <w:r w:rsidR="00C46C4E">
        <w:t>D</w:t>
      </w:r>
      <w:r w:rsidRPr="00CA75C8">
        <w:t xml:space="preserve">iscrimination </w:t>
      </w:r>
      <w:bookmarkEnd w:id="50"/>
    </w:p>
    <w:p w14:paraId="0D7B0FE3" w14:textId="1FEF61CA" w:rsidR="00CC381E" w:rsidRPr="00CA75C8" w:rsidRDefault="00DC5B3C" w:rsidP="00CE1825">
      <w:pPr>
        <w:spacing w:after="120" w:line="360" w:lineRule="auto"/>
      </w:pPr>
      <w:r w:rsidRPr="00F20D26">
        <w:t xml:space="preserve">The Spanish council for the elimination of racial </w:t>
      </w:r>
      <w:r w:rsidR="00713757" w:rsidRPr="00F20D26">
        <w:t>and</w:t>
      </w:r>
      <w:r w:rsidRPr="00F20D26">
        <w:t xml:space="preserve"> ethnic discrimination</w:t>
      </w:r>
      <w:r w:rsidR="00CD7709">
        <w:t xml:space="preserve"> u</w:t>
      </w:r>
      <w:r w:rsidR="00B57AD9">
        <w:t>sed</w:t>
      </w:r>
      <w:r w:rsidR="00CD7709">
        <w:t xml:space="preserve"> equality data from</w:t>
      </w:r>
      <w:r w:rsidR="00CB00D0">
        <w:t xml:space="preserve"> its study</w:t>
      </w:r>
      <w:r w:rsidR="00142AB5" w:rsidRPr="00CA75C8">
        <w:t xml:space="preserve"> </w:t>
      </w:r>
      <w:hyperlink r:id="rId44" w:history="1">
        <w:r w:rsidR="00142AB5" w:rsidRPr="00CA75C8">
          <w:rPr>
            <w:rStyle w:val="Hyperlink"/>
          </w:rPr>
          <w:t>Potential victims’ perception of discrimination based on racial or ethnic origin</w:t>
        </w:r>
      </w:hyperlink>
      <w:r w:rsidR="003D7083">
        <w:t xml:space="preserve">, reports developed by the Spanish </w:t>
      </w:r>
      <w:r w:rsidR="002C20B5">
        <w:t>Ministry of Equality as well as studies by the European Fundamental Rights Agency</w:t>
      </w:r>
      <w:r w:rsidR="003C6C27">
        <w:t>, Equinet and the European Commission</w:t>
      </w:r>
      <w:r w:rsidR="00037B8A">
        <w:t xml:space="preserve"> to systematically engage with Spanish policy and law makers </w:t>
      </w:r>
      <w:r w:rsidR="00536040">
        <w:t>on solutions how to address ethnic and racial discrimination</w:t>
      </w:r>
      <w:r w:rsidR="008B65E5" w:rsidRPr="00CA75C8">
        <w:t xml:space="preserve">. </w:t>
      </w:r>
      <w:r w:rsidR="0091316A">
        <w:t xml:space="preserve">The </w:t>
      </w:r>
      <w:r w:rsidR="00707871" w:rsidRPr="00CA75C8">
        <w:t>Council</w:t>
      </w:r>
      <w:r w:rsidR="00012110">
        <w:t xml:space="preserve"> leveraged </w:t>
      </w:r>
      <w:r w:rsidR="0091316A">
        <w:t>findings from these sources</w:t>
      </w:r>
      <w:r w:rsidR="00707871" w:rsidRPr="00CA75C8">
        <w:t xml:space="preserve"> </w:t>
      </w:r>
      <w:r w:rsidR="00610019">
        <w:t xml:space="preserve">to issue </w:t>
      </w:r>
      <w:r w:rsidR="00142AB5" w:rsidRPr="00CA75C8">
        <w:t xml:space="preserve">several recommendations </w:t>
      </w:r>
      <w:r w:rsidR="00C24425" w:rsidRPr="00CA75C8">
        <w:t xml:space="preserve">spanning a diverse range of </w:t>
      </w:r>
      <w:r w:rsidR="005E5481" w:rsidRPr="00CA75C8">
        <w:t xml:space="preserve">issues such as </w:t>
      </w:r>
      <w:r w:rsidR="00142AB5" w:rsidRPr="00CA75C8">
        <w:t xml:space="preserve">hate crime, hate speech, </w:t>
      </w:r>
      <w:r w:rsidR="00410741" w:rsidRPr="00CA75C8">
        <w:t>underreporting</w:t>
      </w:r>
      <w:r w:rsidR="00142AB5" w:rsidRPr="00CA75C8">
        <w:t xml:space="preserve">, </w:t>
      </w:r>
      <w:r w:rsidR="00AA7CDD" w:rsidRPr="00CA75C8">
        <w:t>education,</w:t>
      </w:r>
      <w:r w:rsidR="00142AB5" w:rsidRPr="00CA75C8">
        <w:t xml:space="preserve"> or discrimination in the field of housing and </w:t>
      </w:r>
      <w:r w:rsidR="00B906A2" w:rsidRPr="00CA75C8">
        <w:t>informal</w:t>
      </w:r>
      <w:r w:rsidR="00142AB5" w:rsidRPr="00CA75C8">
        <w:t xml:space="preserve"> settlements.</w:t>
      </w:r>
    </w:p>
    <w:p w14:paraId="0C4FE6AD" w14:textId="77777777" w:rsidR="003F2528" w:rsidRPr="006724AB" w:rsidRDefault="003F2528" w:rsidP="00C538A8">
      <w:pPr>
        <w:pStyle w:val="Heading4"/>
        <w:shd w:val="clear" w:color="auto" w:fill="FAD8A0"/>
      </w:pPr>
      <w:r w:rsidRPr="00207814">
        <w:t xml:space="preserve">Office </w:t>
      </w:r>
      <w:r w:rsidRPr="00207814">
        <w:rPr>
          <w:lang w:val="en-US"/>
        </w:rPr>
        <w:t>o</w:t>
      </w:r>
      <w:r w:rsidRPr="00207814">
        <w:t xml:space="preserve">f </w:t>
      </w:r>
      <w:r w:rsidRPr="00207814">
        <w:rPr>
          <w:lang w:val="en-US"/>
        </w:rPr>
        <w:t>t</w:t>
      </w:r>
      <w:r w:rsidRPr="00207814">
        <w:t xml:space="preserve">he Commissioner </w:t>
      </w:r>
      <w:r w:rsidRPr="00207814">
        <w:rPr>
          <w:lang w:val="en-US"/>
        </w:rPr>
        <w:t>f</w:t>
      </w:r>
      <w:r w:rsidRPr="00207814">
        <w:t xml:space="preserve">or Human Rights </w:t>
      </w:r>
      <w:r w:rsidRPr="00207814">
        <w:rPr>
          <w:lang w:val="en-US"/>
        </w:rPr>
        <w:t>o</w:t>
      </w:r>
      <w:r w:rsidRPr="00207814">
        <w:t xml:space="preserve">f </w:t>
      </w:r>
      <w:r w:rsidRPr="00207814">
        <w:rPr>
          <w:lang w:val="en-US"/>
        </w:rPr>
        <w:t>t</w:t>
      </w:r>
      <w:r w:rsidRPr="00207814">
        <w:t xml:space="preserve">he Republic </w:t>
      </w:r>
      <w:r w:rsidRPr="00207814">
        <w:rPr>
          <w:lang w:val="en-US"/>
        </w:rPr>
        <w:t>o</w:t>
      </w:r>
      <w:r w:rsidRPr="00207814">
        <w:t>f Poland</w:t>
      </w:r>
    </w:p>
    <w:p w14:paraId="3C151280" w14:textId="5132781B" w:rsidR="00B43218" w:rsidRPr="00F45302" w:rsidRDefault="003F2528" w:rsidP="00CE1825">
      <w:pPr>
        <w:spacing w:after="120" w:line="360" w:lineRule="auto"/>
        <w:rPr>
          <w:lang w:val="pl-PL"/>
        </w:rPr>
      </w:pPr>
      <w:r w:rsidRPr="006F7B71">
        <w:t xml:space="preserve">Polish Ombudsman serves as an independent monitoring body for the implementation of the </w:t>
      </w:r>
      <w:r w:rsidR="0052528D">
        <w:t xml:space="preserve">UN </w:t>
      </w:r>
      <w:r w:rsidRPr="006F7B71">
        <w:t>Convention</w:t>
      </w:r>
      <w:r w:rsidR="0052528D">
        <w:t xml:space="preserve"> on the Rights of Persons with Disabilities</w:t>
      </w:r>
      <w:r w:rsidRPr="006F7B71">
        <w:t xml:space="preserve">. </w:t>
      </w:r>
      <w:r w:rsidR="00C44D86">
        <w:t>Drawing upon diverse equality data, t</w:t>
      </w:r>
      <w:r w:rsidRPr="006F7B71">
        <w:t xml:space="preserve">he Commissioner made 84 recommendations to the Committee, necessary to ensure that people with disabilities can fully enjoy all their human rights. The </w:t>
      </w:r>
      <w:hyperlink r:id="rId45" w:history="1">
        <w:r w:rsidRPr="006F7B71">
          <w:rPr>
            <w:rStyle w:val="Hyperlink"/>
          </w:rPr>
          <w:t>Committee's recommendations</w:t>
        </w:r>
      </w:hyperlink>
      <w:r w:rsidRPr="006F7B71">
        <w:t xml:space="preserve"> to Poland coincide with those of the Commissioner. </w:t>
      </w:r>
    </w:p>
    <w:p w14:paraId="44B54CBC" w14:textId="4B1C30BB" w:rsidR="00B62005" w:rsidRPr="00F45302" w:rsidRDefault="00B43218" w:rsidP="00C538A8">
      <w:pPr>
        <w:pStyle w:val="Heading4"/>
        <w:shd w:val="clear" w:color="auto" w:fill="FAD8A0"/>
      </w:pPr>
      <w:r w:rsidRPr="00B43218">
        <w:t>Irish Human Rights and Equality Commission</w:t>
      </w:r>
    </w:p>
    <w:p w14:paraId="29D79186" w14:textId="676674A4" w:rsidR="004838BB" w:rsidRPr="00F45302" w:rsidRDefault="00B43218" w:rsidP="00CE1825">
      <w:pPr>
        <w:spacing w:after="120" w:line="360" w:lineRule="auto"/>
        <w:rPr>
          <w:lang w:val="en-US"/>
        </w:rPr>
      </w:pPr>
      <w:r>
        <w:t xml:space="preserve">The </w:t>
      </w:r>
      <w:r w:rsidRPr="00B43218">
        <w:t>Irish Human Rights and Equality Commission</w:t>
      </w:r>
      <w:r>
        <w:t xml:space="preserve"> (I</w:t>
      </w:r>
      <w:r w:rsidR="00F47801">
        <w:t xml:space="preserve">HREC) </w:t>
      </w:r>
      <w:r w:rsidR="003C01B0">
        <w:t>provided an extensive commentary</w:t>
      </w:r>
      <w:r w:rsidR="00D00911">
        <w:t xml:space="preserve"> on</w:t>
      </w:r>
      <w:r w:rsidR="003C01B0">
        <w:t xml:space="preserve"> </w:t>
      </w:r>
      <w:r w:rsidR="003C01B0" w:rsidRPr="00B62005">
        <w:rPr>
          <w:lang w:val="en-US"/>
        </w:rPr>
        <w:t>equality data involving reference to EU equality data resources and policy</w:t>
      </w:r>
      <w:r w:rsidR="00BB2558">
        <w:rPr>
          <w:lang w:val="en-US"/>
        </w:rPr>
        <w:t xml:space="preserve"> in order to provide </w:t>
      </w:r>
      <w:r w:rsidR="004B02D1">
        <w:rPr>
          <w:lang w:val="en-US"/>
        </w:rPr>
        <w:t>recommendations</w:t>
      </w:r>
      <w:r w:rsidR="00BB2558">
        <w:rPr>
          <w:lang w:val="en-US"/>
        </w:rPr>
        <w:t xml:space="preserve"> for strengthening</w:t>
      </w:r>
      <w:r w:rsidR="00BB2558" w:rsidRPr="00AB6440">
        <w:rPr>
          <w:lang w:val="en-US"/>
        </w:rPr>
        <w:t xml:space="preserve"> the</w:t>
      </w:r>
      <w:r w:rsidR="00B62005" w:rsidRPr="00AB6440">
        <w:rPr>
          <w:lang w:val="en-US"/>
        </w:rPr>
        <w:t xml:space="preserve"> National Policy Framework</w:t>
      </w:r>
      <w:r w:rsidR="00BB2558" w:rsidRPr="00AB6440">
        <w:rPr>
          <w:lang w:val="en-US"/>
        </w:rPr>
        <w:t xml:space="preserve"> on anti-</w:t>
      </w:r>
      <w:r w:rsidR="00BB2558" w:rsidRPr="00A64CAE">
        <w:rPr>
          <w:bCs/>
          <w:lang w:val="en-US"/>
        </w:rPr>
        <w:t>racism.</w:t>
      </w:r>
      <w:r w:rsidR="00BB2558">
        <w:rPr>
          <w:b/>
          <w:lang w:val="en-US"/>
        </w:rPr>
        <w:t xml:space="preserve">  </w:t>
      </w:r>
      <w:r w:rsidR="00B62005" w:rsidRPr="00B62005">
        <w:rPr>
          <w:lang w:val="en-US"/>
        </w:rPr>
        <w:t xml:space="preserve">IHREC progressed the domestic implementation of the EU Anti-Racism Action plan through its </w:t>
      </w:r>
      <w:hyperlink r:id="rId46" w:history="1">
        <w:r w:rsidR="00B62005" w:rsidRPr="00B62005">
          <w:rPr>
            <w:rStyle w:val="Hyperlink"/>
            <w:lang w:val="en-US"/>
          </w:rPr>
          <w:t>submission to the Independent Anti-Racism Committee on the development of the National Action Plan Against Racism</w:t>
        </w:r>
      </w:hyperlink>
      <w:r w:rsidR="00BB2558">
        <w:rPr>
          <w:lang w:val="en-US"/>
        </w:rPr>
        <w:t xml:space="preserve">.  </w:t>
      </w:r>
      <w:r w:rsidR="001E09B8">
        <w:rPr>
          <w:lang w:val="en-US"/>
        </w:rPr>
        <w:t>IHREC also</w:t>
      </w:r>
      <w:r w:rsidR="001D3CA0" w:rsidRPr="001D3CA0">
        <w:rPr>
          <w:lang w:val="en-US"/>
        </w:rPr>
        <w:t xml:space="preserve"> use</w:t>
      </w:r>
      <w:r w:rsidR="001E09B8">
        <w:rPr>
          <w:lang w:val="en-US"/>
        </w:rPr>
        <w:t>s</w:t>
      </w:r>
      <w:r w:rsidR="001D3CA0" w:rsidRPr="001D3CA0">
        <w:rPr>
          <w:lang w:val="en-US"/>
        </w:rPr>
        <w:t xml:space="preserve"> equality data to present evidence on inequality and discrimination </w:t>
      </w:r>
      <w:r w:rsidR="001E09B8">
        <w:rPr>
          <w:lang w:val="en-US"/>
        </w:rPr>
        <w:t>to</w:t>
      </w:r>
      <w:r w:rsidR="001D3CA0" w:rsidRPr="001D3CA0">
        <w:rPr>
          <w:lang w:val="en-US"/>
        </w:rPr>
        <w:t xml:space="preserve"> call for </w:t>
      </w:r>
      <w:r w:rsidR="006821FE">
        <w:rPr>
          <w:lang w:val="en-US"/>
        </w:rPr>
        <w:t xml:space="preserve">legislative reforms, for example, through </w:t>
      </w:r>
      <w:r w:rsidR="001D3CA0" w:rsidRPr="001D3CA0">
        <w:rPr>
          <w:lang w:val="en-US"/>
        </w:rPr>
        <w:t xml:space="preserve">a submission to the </w:t>
      </w:r>
      <w:hyperlink r:id="rId47" w:history="1">
        <w:r w:rsidR="001D3CA0" w:rsidRPr="001D3CA0">
          <w:rPr>
            <w:rStyle w:val="Hyperlink"/>
            <w:lang w:val="en-US"/>
          </w:rPr>
          <w:t>Independent Review of the Health (Regulation of the Termination of Pregnancy) Act</w:t>
        </w:r>
      </w:hyperlink>
      <w:r w:rsidR="00C063D1">
        <w:rPr>
          <w:lang w:val="en-US"/>
        </w:rPr>
        <w:t>.</w:t>
      </w:r>
    </w:p>
    <w:p w14:paraId="08D5CDB3" w14:textId="2AD276CF" w:rsidR="004838BB" w:rsidRPr="00F45302" w:rsidRDefault="004838BB" w:rsidP="00C538A8">
      <w:pPr>
        <w:pStyle w:val="Heading4"/>
        <w:shd w:val="clear" w:color="auto" w:fill="FAD8A0"/>
      </w:pPr>
      <w:r w:rsidRPr="00393560">
        <w:t>Advocate of the Principle of Equality</w:t>
      </w:r>
      <w:r w:rsidR="00361013">
        <w:t xml:space="preserve"> of Slovenia</w:t>
      </w:r>
    </w:p>
    <w:p w14:paraId="5F2C6A90" w14:textId="6C28F4E7" w:rsidR="00142AB5" w:rsidRPr="00CA75C8" w:rsidRDefault="005720B2" w:rsidP="00CE1825">
      <w:pPr>
        <w:spacing w:after="120" w:line="360" w:lineRule="auto"/>
      </w:pPr>
      <w:r w:rsidRPr="00CA75C8">
        <w:t xml:space="preserve">The Advocate of the Principle of Equality issued a </w:t>
      </w:r>
      <w:hyperlink r:id="rId48" w:history="1">
        <w:r w:rsidRPr="00FB5E28">
          <w:rPr>
            <w:rStyle w:val="Hyperlink"/>
          </w:rPr>
          <w:t>recommendation</w:t>
        </w:r>
      </w:hyperlink>
      <w:r w:rsidRPr="00CA75C8">
        <w:t xml:space="preserve"> to the Ministry of Labour, Family, Social Affairs and Equal Opportunities regarding the improvement of the situation of homeless people. Homeless people are often discriminated against and subject to various forms of violence because of their social status. </w:t>
      </w:r>
      <w:r w:rsidR="00140605" w:rsidRPr="00CA75C8">
        <w:t>On</w:t>
      </w:r>
      <w:r w:rsidRPr="00CA75C8">
        <w:t xml:space="preserve"> the World Homeless Day, the Advocate recommended that the ministry should take measures, including the adoption of the Resolution on the National Social </w:t>
      </w:r>
      <w:r w:rsidRPr="00CA75C8">
        <w:lastRenderedPageBreak/>
        <w:t xml:space="preserve">Welfare Programme 2021–2030, to improve their situation and prevent homelessness. </w:t>
      </w:r>
      <w:r w:rsidR="00140605" w:rsidRPr="00CA75C8">
        <w:t>To</w:t>
      </w:r>
      <w:r w:rsidRPr="00CA75C8">
        <w:t xml:space="preserve"> back up the recommendations, equality data were used. For example, </w:t>
      </w:r>
      <w:r w:rsidR="00F77BCA">
        <w:t xml:space="preserve">the </w:t>
      </w:r>
      <w:r w:rsidR="00F77BCA" w:rsidRPr="00CA75C8">
        <w:t>Advocate</w:t>
      </w:r>
      <w:r w:rsidRPr="00CA75C8">
        <w:t xml:space="preserve"> used quantitative and qualitative data obtained through queries to competent ministries, local municipalities and</w:t>
      </w:r>
      <w:r w:rsidR="00BD6F4F">
        <w:t xml:space="preserve"> civil </w:t>
      </w:r>
      <w:r w:rsidR="00FB5E28">
        <w:t xml:space="preserve">society. </w:t>
      </w:r>
      <w:r w:rsidR="00C17CD4" w:rsidRPr="00CA75C8">
        <w:t xml:space="preserve"> </w:t>
      </w:r>
    </w:p>
    <w:p w14:paraId="69C99A2C" w14:textId="77777777" w:rsidR="00ED1E84" w:rsidRPr="00CA75C8" w:rsidRDefault="00ED1E84" w:rsidP="00C538A8">
      <w:pPr>
        <w:pStyle w:val="Heading4"/>
        <w:shd w:val="clear" w:color="auto" w:fill="FAD8A0"/>
      </w:pPr>
      <w:r w:rsidRPr="00CA75C8">
        <w:t>Czech Defender of Rights</w:t>
      </w:r>
    </w:p>
    <w:p w14:paraId="1BEF44BB" w14:textId="314BD8BC" w:rsidR="004C2A32" w:rsidRPr="00CA75C8" w:rsidRDefault="00055E58" w:rsidP="00CE1825">
      <w:pPr>
        <w:spacing w:after="120" w:line="360" w:lineRule="auto"/>
      </w:pPr>
      <w:r>
        <w:t xml:space="preserve">The </w:t>
      </w:r>
      <w:r w:rsidR="006A7A0E" w:rsidRPr="006A7A0E">
        <w:t>Czech Defender of Rights</w:t>
      </w:r>
      <w:r w:rsidR="006B79B8">
        <w:t xml:space="preserve"> regularly </w:t>
      </w:r>
      <w:r w:rsidR="00203650">
        <w:t>and systematically relies on equality data</w:t>
      </w:r>
      <w:r w:rsidR="003869FE">
        <w:t xml:space="preserve"> for its recommendations to policy and law makers. </w:t>
      </w:r>
      <w:r w:rsidR="00871E1D">
        <w:t>For example, such data</w:t>
      </w:r>
      <w:r w:rsidR="00883412">
        <w:t xml:space="preserve"> </w:t>
      </w:r>
      <w:r w:rsidR="00AF19FE">
        <w:t>were central to  recommendations with regard to u</w:t>
      </w:r>
      <w:r w:rsidR="0020330C" w:rsidRPr="00CA75C8">
        <w:t>nequal employment conditions based on ethnicity</w:t>
      </w:r>
      <w:r w:rsidR="00AF19FE">
        <w:t xml:space="preserve"> and </w:t>
      </w:r>
      <w:r w:rsidR="0020330C" w:rsidRPr="00CA75C8">
        <w:t>nationality</w:t>
      </w:r>
      <w:r w:rsidR="00AF19FE">
        <w:t xml:space="preserve">, </w:t>
      </w:r>
      <w:r w:rsidR="0020330C" w:rsidRPr="00CA75C8">
        <w:t xml:space="preserve"> </w:t>
      </w:r>
      <w:r w:rsidR="001D21CC">
        <w:t>r</w:t>
      </w:r>
      <w:r w:rsidR="0020330C" w:rsidRPr="00CA75C8">
        <w:t>efusal to get banking services based on age</w:t>
      </w:r>
      <w:r w:rsidR="001D21CC">
        <w:t xml:space="preserve"> and</w:t>
      </w:r>
      <w:r w:rsidR="0020330C" w:rsidRPr="00CA75C8">
        <w:t xml:space="preserve"> </w:t>
      </w:r>
      <w:r w:rsidR="001D21CC">
        <w:t>u</w:t>
      </w:r>
      <w:r w:rsidR="0020330C" w:rsidRPr="00CA75C8">
        <w:t xml:space="preserve">nequal treatment of people with </w:t>
      </w:r>
      <w:r w:rsidR="001D21CC">
        <w:t>impairments</w:t>
      </w:r>
      <w:r w:rsidR="008E2DE4">
        <w:t xml:space="preserve"> and specifically, </w:t>
      </w:r>
      <w:r w:rsidR="0020330C" w:rsidRPr="00CA75C8">
        <w:t xml:space="preserve">people with mental </w:t>
      </w:r>
      <w:r w:rsidR="008E2DE4">
        <w:t xml:space="preserve">impairments and </w:t>
      </w:r>
      <w:r w:rsidR="0020330C" w:rsidRPr="00CA75C8">
        <w:t>people with autism spectre disorder</w:t>
      </w:r>
      <w:r w:rsidR="008E2DE4">
        <w:t xml:space="preserve"> </w:t>
      </w:r>
      <w:r w:rsidR="0020330C" w:rsidRPr="00CA75C8">
        <w:t xml:space="preserve">in </w:t>
      </w:r>
      <w:r w:rsidR="00140605" w:rsidRPr="00CA75C8">
        <w:t>healthcare.</w:t>
      </w:r>
    </w:p>
    <w:p w14:paraId="53F56C3F" w14:textId="02D63B57" w:rsidR="004C2A32" w:rsidRPr="00F45302" w:rsidRDefault="00C553D7" w:rsidP="00C538A8">
      <w:pPr>
        <w:pStyle w:val="Heading4"/>
        <w:shd w:val="clear" w:color="auto" w:fill="FAD8A0"/>
      </w:pPr>
      <w:r w:rsidRPr="00CA75C8">
        <w:t>Serbian Commissioner for Protection against Discrimination</w:t>
      </w:r>
    </w:p>
    <w:p w14:paraId="1DB9CF72" w14:textId="45E46A37" w:rsidR="00715712" w:rsidRDefault="00C553D7" w:rsidP="00CE1825">
      <w:pPr>
        <w:spacing w:after="120" w:line="360" w:lineRule="auto"/>
      </w:pPr>
      <w:r w:rsidRPr="00CA75C8">
        <w:t xml:space="preserve">The Commissioner for Protection of Equality issued a </w:t>
      </w:r>
      <w:r w:rsidR="00005EB1">
        <w:t>r</w:t>
      </w:r>
      <w:r w:rsidRPr="00CA75C8">
        <w:t xml:space="preserve">ecommendation to </w:t>
      </w:r>
      <w:r w:rsidR="00005EB1">
        <w:t xml:space="preserve">the </w:t>
      </w:r>
      <w:r w:rsidRPr="00CA75C8">
        <w:t>Serbian Academy of Sciences and Arts</w:t>
      </w:r>
      <w:r w:rsidR="00B11ACC">
        <w:t xml:space="preserve"> for the implementation of </w:t>
      </w:r>
      <w:r w:rsidRPr="00CA75C8">
        <w:t>all necessary measures to achieve gender equality on the next election for new members.</w:t>
      </w:r>
      <w:r w:rsidR="000F3073">
        <w:t xml:space="preserve"> The recommendation was issued following a problematic election o</w:t>
      </w:r>
      <w:r w:rsidR="00196A76">
        <w:t>f new members of the Academy</w:t>
      </w:r>
      <w:r w:rsidR="006435A0">
        <w:t xml:space="preserve"> which resulted in no female candidates </w:t>
      </w:r>
      <w:r w:rsidR="00B220FC">
        <w:t xml:space="preserve">being accepted to the Academy. </w:t>
      </w:r>
      <w:r w:rsidRPr="00CA75C8">
        <w:t xml:space="preserve"> </w:t>
      </w:r>
      <w:r w:rsidR="00966EF7">
        <w:t xml:space="preserve">The recommendation used data from </w:t>
      </w:r>
      <w:r w:rsidR="00AE21E6">
        <w:t>a survey by the National Statistics Office</w:t>
      </w:r>
      <w:r w:rsidR="007706D8">
        <w:t xml:space="preserve"> </w:t>
      </w:r>
      <w:r w:rsidRPr="00CA75C8">
        <w:t>"Men and Women in the Republic of Serbia</w:t>
      </w:r>
      <w:r w:rsidR="007706D8">
        <w:t>.</w:t>
      </w:r>
      <w:r w:rsidRPr="00CA75C8">
        <w:t>"</w:t>
      </w:r>
      <w:r w:rsidR="007706D8">
        <w:t xml:space="preserve">  </w:t>
      </w:r>
      <w:r w:rsidR="002825C3">
        <w:t>An</w:t>
      </w:r>
      <w:r w:rsidR="00E55C18">
        <w:t>other recommendation</w:t>
      </w:r>
      <w:r w:rsidR="00BC5237">
        <w:t xml:space="preserve"> in relation to</w:t>
      </w:r>
      <w:r w:rsidR="002B4925">
        <w:t xml:space="preserve"> lack of access to quality education for all children</w:t>
      </w:r>
      <w:r w:rsidR="00A109E9">
        <w:t xml:space="preserve"> relied on data from </w:t>
      </w:r>
      <w:r w:rsidR="00A109E9" w:rsidRPr="00CA75C8">
        <w:t xml:space="preserve">the Commissioner's </w:t>
      </w:r>
      <w:r w:rsidR="00075FA2">
        <w:t>r</w:t>
      </w:r>
      <w:r w:rsidR="00A109E9" w:rsidRPr="00CA75C8">
        <w:t>egular annual report</w:t>
      </w:r>
      <w:r w:rsidR="00075FA2">
        <w:t xml:space="preserve"> and </w:t>
      </w:r>
      <w:r w:rsidR="00A109E9" w:rsidRPr="00CA75C8">
        <w:t>UNICEF's Report "COVID-19 response: Considerations for Children and Adults with Disabilities</w:t>
      </w:r>
      <w:r w:rsidR="002B4925">
        <w:t>.</w:t>
      </w:r>
      <w:r w:rsidR="00075FA2">
        <w:t>”</w:t>
      </w:r>
      <w:r w:rsidR="00B212B4">
        <w:t xml:space="preserve"> </w:t>
      </w:r>
      <w:r w:rsidR="0024771F">
        <w:t xml:space="preserve">The recommendation addressed </w:t>
      </w:r>
      <w:r w:rsidRPr="00CA75C8">
        <w:t>the Ministry of education, science and technological development urging t</w:t>
      </w:r>
      <w:r w:rsidR="00CB1125">
        <w:t>hem</w:t>
      </w:r>
      <w:r w:rsidRPr="00CA75C8">
        <w:t xml:space="preserve"> consider</w:t>
      </w:r>
      <w:r w:rsidR="00CB1125">
        <w:t>,</w:t>
      </w:r>
      <w:r w:rsidRPr="00CA75C8">
        <w:t xml:space="preserve"> in cooperation with the National public health institute</w:t>
      </w:r>
      <w:r w:rsidR="00CB1125">
        <w:t>,</w:t>
      </w:r>
      <w:r w:rsidRPr="00CA75C8">
        <w:t xml:space="preserve"> the possibilities for holding in person school lectures </w:t>
      </w:r>
      <w:r w:rsidR="00694271" w:rsidRPr="00CA75C8">
        <w:t>to</w:t>
      </w:r>
      <w:r w:rsidRPr="00CA75C8">
        <w:t xml:space="preserve"> ensure quality education for children,</w:t>
      </w:r>
      <w:r w:rsidR="00F47C68">
        <w:t xml:space="preserve"> who have </w:t>
      </w:r>
      <w:r w:rsidR="00F47C68" w:rsidRPr="00CA75C8">
        <w:t>limited access to internet and digital tools</w:t>
      </w:r>
      <w:r w:rsidR="008A7FC2">
        <w:t xml:space="preserve"> due to living in vulnerable situations, including </w:t>
      </w:r>
      <w:r w:rsidRPr="00CA75C8">
        <w:t>children with disabilities, children from informal settlements,</w:t>
      </w:r>
      <w:r w:rsidR="00715712">
        <w:t xml:space="preserve"> and</w:t>
      </w:r>
      <w:r w:rsidRPr="00CA75C8">
        <w:t xml:space="preserve"> children living in the state of poverty</w:t>
      </w:r>
      <w:r w:rsidR="00715712">
        <w:t xml:space="preserve">. </w:t>
      </w:r>
    </w:p>
    <w:p w14:paraId="70EA32DC" w14:textId="654289CF" w:rsidR="000F3450" w:rsidRPr="00F45302" w:rsidRDefault="000F3450" w:rsidP="00C538A8">
      <w:pPr>
        <w:pStyle w:val="Heading4"/>
        <w:shd w:val="clear" w:color="auto" w:fill="FAD8A0"/>
      </w:pPr>
      <w:r w:rsidRPr="00CA75C8">
        <w:t xml:space="preserve">Lithuanian Office of the Equal Opportunities Ombudsperson </w:t>
      </w:r>
    </w:p>
    <w:p w14:paraId="663FCBE7" w14:textId="77777777" w:rsidR="00A86A4F" w:rsidRDefault="00C602B4" w:rsidP="00CE1825">
      <w:pPr>
        <w:spacing w:after="120" w:line="360" w:lineRule="auto"/>
        <w:rPr>
          <w:lang w:val="en-US"/>
        </w:rPr>
      </w:pPr>
      <w:r w:rsidRPr="00C602B4">
        <w:t xml:space="preserve">Lithuanian Office of the Equal Opportunities Ombudsperson </w:t>
      </w:r>
      <w:r w:rsidR="000F3450" w:rsidRPr="00CA75C8">
        <w:t xml:space="preserve">produced </w:t>
      </w:r>
      <w:r>
        <w:t xml:space="preserve">legislative </w:t>
      </w:r>
      <w:r w:rsidR="000F3450" w:rsidRPr="00CA75C8">
        <w:t>recommendations concerning gender-based violence and used external and own produced data to emphasize the need to include gender aspect</w:t>
      </w:r>
      <w:r w:rsidR="00760FA9">
        <w:t>s</w:t>
      </w:r>
      <w:r w:rsidR="000F3450" w:rsidRPr="00CA75C8">
        <w:t xml:space="preserve"> into the law on protection of victims of domestic violence</w:t>
      </w:r>
      <w:r w:rsidR="002B59FF" w:rsidRPr="00CA75C8">
        <w:t>.</w:t>
      </w:r>
      <w:r w:rsidR="000C4755">
        <w:t xml:space="preserve"> </w:t>
      </w:r>
      <w:r w:rsidR="007C4DBA">
        <w:t>Specifically, t</w:t>
      </w:r>
      <w:r w:rsidR="000C4755">
        <w:t xml:space="preserve">he office of the Ombudsperson </w:t>
      </w:r>
      <w:r w:rsidR="00BB4CE7" w:rsidRPr="00BB4CE7">
        <w:rPr>
          <w:lang w:val="en-US"/>
        </w:rPr>
        <w:t xml:space="preserve">used data from international organizations </w:t>
      </w:r>
      <w:r w:rsidR="008C3D90">
        <w:rPr>
          <w:lang w:val="en-US"/>
        </w:rPr>
        <w:t xml:space="preserve">such as the World Health Organization to show </w:t>
      </w:r>
      <w:r w:rsidR="00BB4CE7" w:rsidRPr="00BB4CE7">
        <w:rPr>
          <w:lang w:val="en-US"/>
        </w:rPr>
        <w:t>that the majority of victims of domestic violence are women</w:t>
      </w:r>
      <w:r w:rsidR="00B129B2">
        <w:rPr>
          <w:lang w:val="en-US"/>
        </w:rPr>
        <w:t xml:space="preserve"> (one out of three women)</w:t>
      </w:r>
      <w:r w:rsidR="00241A55">
        <w:rPr>
          <w:lang w:val="en-US"/>
        </w:rPr>
        <w:t xml:space="preserve"> who d</w:t>
      </w:r>
      <w:r w:rsidR="00BB4CE7" w:rsidRPr="00BB4CE7">
        <w:rPr>
          <w:lang w:val="en-US"/>
        </w:rPr>
        <w:t xml:space="preserve">uring their lifetime </w:t>
      </w:r>
      <w:r w:rsidR="00156202">
        <w:rPr>
          <w:lang w:val="en-US"/>
        </w:rPr>
        <w:t>are</w:t>
      </w:r>
      <w:r w:rsidR="00BB4CE7" w:rsidRPr="00BB4CE7">
        <w:rPr>
          <w:lang w:val="en-US"/>
        </w:rPr>
        <w:t xml:space="preserve"> subjected to physical and</w:t>
      </w:r>
      <w:r w:rsidR="000647F1">
        <w:rPr>
          <w:lang w:val="en-US"/>
        </w:rPr>
        <w:t>/or</w:t>
      </w:r>
      <w:r w:rsidR="00BB4CE7" w:rsidRPr="00BB4CE7">
        <w:rPr>
          <w:lang w:val="en-US"/>
        </w:rPr>
        <w:t xml:space="preserve"> sexual violence </w:t>
      </w:r>
      <w:r w:rsidR="000647F1">
        <w:rPr>
          <w:lang w:val="en-US"/>
        </w:rPr>
        <w:t>by</w:t>
      </w:r>
      <w:r w:rsidR="00BB4CE7" w:rsidRPr="00BB4CE7">
        <w:rPr>
          <w:lang w:val="en-US"/>
        </w:rPr>
        <w:t xml:space="preserve"> their partner. </w:t>
      </w:r>
      <w:r w:rsidR="00C022C9">
        <w:rPr>
          <w:lang w:val="en-US"/>
        </w:rPr>
        <w:t xml:space="preserve">They also used </w:t>
      </w:r>
      <w:r w:rsidR="00BB4CE7" w:rsidRPr="00BB4CE7">
        <w:rPr>
          <w:lang w:val="en-US"/>
        </w:rPr>
        <w:t xml:space="preserve">Lithuanian Police data, accessible through national statistics database, that </w:t>
      </w:r>
      <w:r w:rsidR="00A82CFF">
        <w:rPr>
          <w:lang w:val="en-US"/>
        </w:rPr>
        <w:t xml:space="preserve">an </w:t>
      </w:r>
    </w:p>
    <w:p w14:paraId="3B1517C4" w14:textId="387E4E0F" w:rsidR="000F3450" w:rsidRPr="00F45302" w:rsidRDefault="00A82CFF" w:rsidP="00CE1825">
      <w:pPr>
        <w:spacing w:after="120" w:line="360" w:lineRule="auto"/>
        <w:rPr>
          <w:lang w:val="en-US"/>
        </w:rPr>
      </w:pPr>
      <w:r>
        <w:rPr>
          <w:lang w:val="en-US"/>
        </w:rPr>
        <w:lastRenderedPageBreak/>
        <w:t>overwhelming</w:t>
      </w:r>
      <w:r w:rsidR="00BB4CE7" w:rsidRPr="00BB4CE7">
        <w:rPr>
          <w:lang w:val="en-US"/>
        </w:rPr>
        <w:t xml:space="preserve"> majority</w:t>
      </w:r>
      <w:r>
        <w:rPr>
          <w:lang w:val="en-US"/>
        </w:rPr>
        <w:t xml:space="preserve"> (around 90 percent)</w:t>
      </w:r>
      <w:r w:rsidR="00BB4CE7" w:rsidRPr="00BB4CE7">
        <w:rPr>
          <w:lang w:val="en-US"/>
        </w:rPr>
        <w:t xml:space="preserve"> of suspected</w:t>
      </w:r>
      <w:r>
        <w:rPr>
          <w:lang w:val="en-US"/>
        </w:rPr>
        <w:t xml:space="preserve"> or</w:t>
      </w:r>
      <w:r w:rsidR="00BB4CE7" w:rsidRPr="00BB4CE7">
        <w:rPr>
          <w:lang w:val="en-US"/>
        </w:rPr>
        <w:t xml:space="preserve"> accused abusers are men, and the majority of victims (around 80 percent) are women. </w:t>
      </w:r>
    </w:p>
    <w:p w14:paraId="65C52603" w14:textId="09FECD72" w:rsidR="000650E5" w:rsidRPr="00CA75C8" w:rsidRDefault="000650E5" w:rsidP="00C538A8">
      <w:pPr>
        <w:pStyle w:val="Heading4"/>
        <w:shd w:val="clear" w:color="auto" w:fill="FAD8A0"/>
      </w:pPr>
      <w:r w:rsidRPr="00CA75C8">
        <w:t>German Federal Anti-discrimination Agency</w:t>
      </w:r>
    </w:p>
    <w:p w14:paraId="526745E1" w14:textId="15FCE3E5" w:rsidR="002D0E31" w:rsidRPr="00CA75C8" w:rsidRDefault="00F33871" w:rsidP="00CE1825">
      <w:pPr>
        <w:spacing w:after="120" w:line="360" w:lineRule="auto"/>
      </w:pPr>
      <w:r w:rsidRPr="00CA75C8">
        <w:t xml:space="preserve"> </w:t>
      </w:r>
      <w:r w:rsidR="001E3488">
        <w:t xml:space="preserve">The </w:t>
      </w:r>
      <w:r w:rsidR="001E3488" w:rsidRPr="001E3488">
        <w:t xml:space="preserve">German Federal Anti-discrimination Agency </w:t>
      </w:r>
      <w:r w:rsidR="001E3488">
        <w:t>regularly</w:t>
      </w:r>
      <w:r w:rsidRPr="00CA75C8">
        <w:t xml:space="preserve"> us</w:t>
      </w:r>
      <w:r w:rsidR="001E3488">
        <w:t>es</w:t>
      </w:r>
      <w:r w:rsidRPr="00CA75C8">
        <w:t xml:space="preserve"> equality data </w:t>
      </w:r>
      <w:r w:rsidR="005F3A08" w:rsidRPr="00CA75C8">
        <w:t>as a basis for</w:t>
      </w:r>
      <w:r w:rsidRPr="00CA75C8">
        <w:t xml:space="preserve"> recommendations for legislative or policy measures, especially in its joint reports to the national parliament (Bundestag) that are submitted every four years. For instance, in its fourth report from 2021, FADA refers to the dramatic increase in the number of complaints that it has received in the previous years to argue for the necessity to strengthen the counselling structures and to set up anti-discrimination bodies in the regions (Laender). In its third report from 2017, FADA recommended to supplement the scope of the General Equal Treatment Act by a prohibition of discrimination </w:t>
      </w:r>
      <w:r w:rsidR="002B59FF" w:rsidRPr="00CA75C8">
        <w:t>regarding</w:t>
      </w:r>
      <w:r w:rsidRPr="00CA75C8">
        <w:t xml:space="preserve"> action by the state. This recommendation was based on the findings from a survey on discrimination experiences in Germany as well as complaints data that both show that many people experience discrimination by public authorities, the police or in the public education sector.</w:t>
      </w:r>
    </w:p>
    <w:p w14:paraId="4EF90C30" w14:textId="0F1C4E42" w:rsidR="002D0E31" w:rsidRPr="00F45302" w:rsidRDefault="00EC64B1" w:rsidP="00C538A8">
      <w:pPr>
        <w:pStyle w:val="Heading4"/>
        <w:shd w:val="clear" w:color="auto" w:fill="FAD8A0"/>
      </w:pPr>
      <w:r w:rsidRPr="00EC64B1">
        <w:t>Commission for the Rights of Persons with Disabilit</w:t>
      </w:r>
      <w:r>
        <w:t>ies of Malta</w:t>
      </w:r>
    </w:p>
    <w:p w14:paraId="1D42207B" w14:textId="77777777" w:rsidR="00B1771C" w:rsidRDefault="002D0E31" w:rsidP="00CE1825">
      <w:pPr>
        <w:spacing w:after="120" w:line="360" w:lineRule="auto"/>
        <w:sectPr w:rsidR="00B1771C">
          <w:headerReference w:type="default" r:id="rId49"/>
          <w:pgSz w:w="11906" w:h="16838"/>
          <w:pgMar w:top="1440" w:right="1440" w:bottom="1440" w:left="1440" w:header="708" w:footer="708" w:gutter="0"/>
          <w:cols w:space="708"/>
          <w:docGrid w:linePitch="360"/>
        </w:sectPr>
      </w:pPr>
      <w:r w:rsidRPr="00CA75C8">
        <w:t>The</w:t>
      </w:r>
      <w:r w:rsidR="003E3F48">
        <w:t xml:space="preserve"> Maltese </w:t>
      </w:r>
      <w:r w:rsidR="003E3F48" w:rsidRPr="003E3F48">
        <w:t>Commission for the Rights of Persons with Disabilities</w:t>
      </w:r>
      <w:r w:rsidR="003E3F48">
        <w:t xml:space="preserve"> (</w:t>
      </w:r>
      <w:r w:rsidRPr="00CA75C8">
        <w:t>NCPE</w:t>
      </w:r>
      <w:r w:rsidR="003E3F48">
        <w:t>)</w:t>
      </w:r>
      <w:r w:rsidRPr="00CA75C8">
        <w:t xml:space="preserve">, when relevant and available, </w:t>
      </w:r>
      <w:r w:rsidR="002B59FF" w:rsidRPr="00CA75C8">
        <w:t>refers</w:t>
      </w:r>
      <w:r w:rsidRPr="00CA75C8">
        <w:t xml:space="preserve"> to equality data when providing recommendations to public authorities. Recent references include: (1) employment rates of women and men (in the context of the NCPE's proposal to Malta's Annual Budget); (2) Digital gap between women and men (in the context of the NCPE's input to the National Strategy for Lifelong Learning); and (3) Research on the gendered impact of Covid-19 (in the context of the NCPE's proposals to Malta's Annual Budget, and the NCPE's input to Malta's Post Pandemic Strategy</w:t>
      </w:r>
      <w:r w:rsidR="00344BE0">
        <w:t>)</w:t>
      </w:r>
      <w:r w:rsidRPr="00CA75C8">
        <w:t>.</w:t>
      </w:r>
      <w:r w:rsidR="00D811AF">
        <w:t xml:space="preserve"> For the development of these recommendations, the Commission relies on surveys or studies which it conducted or commissioned.</w:t>
      </w:r>
      <w:bookmarkStart w:id="51" w:name="_Toc160573208"/>
    </w:p>
    <w:p w14:paraId="493665FB" w14:textId="3E8F5F27" w:rsidR="00961805" w:rsidRPr="003227A3" w:rsidRDefault="0012605E" w:rsidP="00CE1825">
      <w:pPr>
        <w:spacing w:after="120" w:line="360" w:lineRule="auto"/>
        <w:rPr>
          <w:sz w:val="40"/>
          <w:szCs w:val="40"/>
        </w:rPr>
      </w:pPr>
      <w:bookmarkStart w:id="52" w:name="_Toc190332906"/>
      <w:r w:rsidRPr="005F77AD">
        <w:rPr>
          <w:rStyle w:val="Heading2Char"/>
        </w:rPr>
        <w:lastRenderedPageBreak/>
        <w:t>Prevention and p</w:t>
      </w:r>
      <w:r w:rsidR="00313673" w:rsidRPr="005F77AD">
        <w:rPr>
          <w:rStyle w:val="Heading2Char"/>
        </w:rPr>
        <w:t>romotion of equality</w:t>
      </w:r>
      <w:bookmarkEnd w:id="51"/>
      <w:bookmarkEnd w:id="52"/>
    </w:p>
    <w:p w14:paraId="1DD0584F" w14:textId="0E49D168" w:rsidR="00BC06BC" w:rsidRPr="00BC06BC" w:rsidRDefault="00361013" w:rsidP="00C538A8">
      <w:pPr>
        <w:pStyle w:val="Heading4"/>
        <w:shd w:val="clear" w:color="auto" w:fill="FEC6C6"/>
      </w:pPr>
      <w:r>
        <w:t xml:space="preserve">UK </w:t>
      </w:r>
      <w:r w:rsidR="00BC06BC" w:rsidRPr="00BC06BC">
        <w:t>Equality and Human Rights Commission</w:t>
      </w:r>
    </w:p>
    <w:p w14:paraId="79EB98FE" w14:textId="29EAA92D" w:rsidR="00961805" w:rsidRDefault="0066777A" w:rsidP="00CE1825">
      <w:pPr>
        <w:spacing w:after="120" w:line="360" w:lineRule="auto"/>
      </w:pPr>
      <w:r>
        <w:t>The Equality and Human Rights Commission of the UK</w:t>
      </w:r>
      <w:r w:rsidR="000B18AF">
        <w:t xml:space="preserve"> </w:t>
      </w:r>
      <w:r w:rsidR="00380F51">
        <w:t xml:space="preserve">monitors and supervises </w:t>
      </w:r>
      <w:r w:rsidR="008C1E76">
        <w:t>the</w:t>
      </w:r>
      <w:r w:rsidR="00380F51">
        <w:t xml:space="preserve"> mandatory </w:t>
      </w:r>
      <w:r w:rsidR="001B21CC">
        <w:t>collection</w:t>
      </w:r>
      <w:r w:rsidR="00380F51">
        <w:t xml:space="preserve"> of equality data by public </w:t>
      </w:r>
      <w:r w:rsidR="008C1E76">
        <w:t>authorities</w:t>
      </w:r>
      <w:r w:rsidR="00380F51">
        <w:t xml:space="preserve"> </w:t>
      </w:r>
      <w:r w:rsidR="004053CA">
        <w:t>to</w:t>
      </w:r>
      <w:r w:rsidR="00B53B05">
        <w:t xml:space="preserve"> show compliance with</w:t>
      </w:r>
      <w:r w:rsidR="008036E2">
        <w:t xml:space="preserve"> the statutory</w:t>
      </w:r>
      <w:r w:rsidR="00707C6E">
        <w:t xml:space="preserve"> </w:t>
      </w:r>
      <w:hyperlink r:id="rId50" w:history="1">
        <w:r w:rsidR="002D3127" w:rsidRPr="00261E1D">
          <w:rPr>
            <w:rStyle w:val="Hyperlink"/>
          </w:rPr>
          <w:t>Public Sector Equality Duty</w:t>
        </w:r>
      </w:hyperlink>
      <w:r w:rsidR="002D3127" w:rsidRPr="00261E1D">
        <w:t xml:space="preserve"> </w:t>
      </w:r>
      <w:r w:rsidR="002D3127">
        <w:t xml:space="preserve"> (PSED)</w:t>
      </w:r>
      <w:r w:rsidR="008036E2">
        <w:t xml:space="preserve">. </w:t>
      </w:r>
      <w:r w:rsidR="00815C62">
        <w:t>T</w:t>
      </w:r>
      <w:r w:rsidR="008C1E76">
        <w:t>his</w:t>
      </w:r>
      <w:r w:rsidR="00815C62">
        <w:t xml:space="preserve"> duty is a</w:t>
      </w:r>
      <w:r w:rsidR="000D5B6A">
        <w:t>n</w:t>
      </w:r>
      <w:r w:rsidR="00815C62">
        <w:t xml:space="preserve"> important tool for preventing discrimination </w:t>
      </w:r>
      <w:r w:rsidR="00126E25">
        <w:t xml:space="preserve">as </w:t>
      </w:r>
      <w:r w:rsidR="00DF10F4">
        <w:t>it places</w:t>
      </w:r>
      <w:r w:rsidR="00126E25">
        <w:t xml:space="preserve"> an </w:t>
      </w:r>
      <w:r w:rsidR="00126E25" w:rsidRPr="007E1E31">
        <w:t>obligation on public authorities</w:t>
      </w:r>
      <w:r w:rsidR="00D97961">
        <w:t xml:space="preserve"> to</w:t>
      </w:r>
      <w:r w:rsidR="00126E25" w:rsidRPr="007E1E31">
        <w:t xml:space="preserve"> </w:t>
      </w:r>
      <w:r w:rsidR="00982810">
        <w:t>embed</w:t>
      </w:r>
      <w:r w:rsidR="007E35E5" w:rsidRPr="004D4986">
        <w:t xml:space="preserve"> </w:t>
      </w:r>
      <w:r w:rsidR="002C43EC" w:rsidRPr="002C43EC">
        <w:t>equality considerations into the design of policies and the delivery of services, including internal policies, and for these issues to be kept under review.</w:t>
      </w:r>
      <w:r w:rsidR="00515622">
        <w:t xml:space="preserve"> </w:t>
      </w:r>
      <w:r w:rsidR="00214659">
        <w:t>Public</w:t>
      </w:r>
      <w:r w:rsidR="00515622">
        <w:t xml:space="preserve"> organizations </w:t>
      </w:r>
      <w:r w:rsidR="00C8549B">
        <w:t xml:space="preserve">publish specific equality </w:t>
      </w:r>
      <w:r w:rsidR="00214659">
        <w:t>objectives</w:t>
      </w:r>
      <w:r w:rsidR="00C8549B">
        <w:t xml:space="preserve"> and </w:t>
      </w:r>
      <w:r w:rsidR="00515622">
        <w:t xml:space="preserve">gather data </w:t>
      </w:r>
      <w:r w:rsidR="00433303">
        <w:t>covering</w:t>
      </w:r>
      <w:r w:rsidR="00433303" w:rsidRPr="00433303">
        <w:t xml:space="preserve"> age, disability, gender reassignment, pregnancy and maternity, race, religion or belief, sex and sexual orientation</w:t>
      </w:r>
      <w:r w:rsidR="006A7198">
        <w:t xml:space="preserve">, and </w:t>
      </w:r>
      <w:r w:rsidR="00433303" w:rsidRPr="00433303">
        <w:t>marriage or civil partnership status</w:t>
      </w:r>
      <w:r w:rsidR="006A7198">
        <w:t xml:space="preserve"> </w:t>
      </w:r>
      <w:r w:rsidR="00B743D2">
        <w:t>to</w:t>
      </w:r>
      <w:r w:rsidR="006A7198">
        <w:t xml:space="preserve"> prove compliance with</w:t>
      </w:r>
      <w:r w:rsidR="001B21CC">
        <w:t xml:space="preserve"> the </w:t>
      </w:r>
      <w:r w:rsidR="00707C6E" w:rsidRPr="008243D9">
        <w:t>duty requirements</w:t>
      </w:r>
      <w:r w:rsidR="00A60606">
        <w:t xml:space="preserve">.  </w:t>
      </w:r>
      <w:hyperlink r:id="rId51" w:history="1">
        <w:r w:rsidR="00141100">
          <w:rPr>
            <w:rStyle w:val="Hyperlink"/>
          </w:rPr>
          <w:t>Gender pay gap reporting</w:t>
        </w:r>
      </w:hyperlink>
      <w:r w:rsidR="00B743D2">
        <w:t xml:space="preserve"> is another </w:t>
      </w:r>
      <w:r w:rsidR="00FD369A">
        <w:t>key preventive instrument</w:t>
      </w:r>
      <w:r w:rsidR="005B39D5">
        <w:t>,</w:t>
      </w:r>
      <w:r w:rsidR="008C672F">
        <w:t xml:space="preserve"> which the Commission supervises</w:t>
      </w:r>
      <w:r w:rsidR="0057169A">
        <w:t>. It monitors</w:t>
      </w:r>
      <w:r w:rsidR="008C7A33">
        <w:t xml:space="preserve"> the annual publication of</w:t>
      </w:r>
      <w:r w:rsidR="008C7A33" w:rsidRPr="00C64E43">
        <w:t xml:space="preserve"> gender pay gap data</w:t>
      </w:r>
      <w:r w:rsidR="00574688">
        <w:t xml:space="preserve"> </w:t>
      </w:r>
      <w:r w:rsidR="008C7A33">
        <w:t>by</w:t>
      </w:r>
      <w:r w:rsidR="001D78D7">
        <w:t xml:space="preserve"> certain categories of</w:t>
      </w:r>
      <w:r w:rsidR="00574688">
        <w:t xml:space="preserve"> e</w:t>
      </w:r>
      <w:r w:rsidR="00F05250">
        <w:t xml:space="preserve">mployers </w:t>
      </w:r>
      <w:r w:rsidR="00C90D51" w:rsidRPr="00C90D51">
        <w:t>in the private or voluntary sectors</w:t>
      </w:r>
      <w:r w:rsidR="006101A6">
        <w:t xml:space="preserve">, which in turn supports the development of </w:t>
      </w:r>
      <w:r w:rsidR="006101A6" w:rsidRPr="00436F32">
        <w:t>effective gender pay gap (GPG) action plans</w:t>
      </w:r>
      <w:r w:rsidR="006101A6">
        <w:t xml:space="preserve"> by these employers</w:t>
      </w:r>
      <w:r w:rsidR="002D3127">
        <w:t xml:space="preserve">. </w:t>
      </w:r>
      <w:r w:rsidR="006101A6">
        <w:t xml:space="preserve"> </w:t>
      </w:r>
      <w:r w:rsidR="00C90D51" w:rsidRPr="00C90D51">
        <w:t xml:space="preserve"> </w:t>
      </w:r>
    </w:p>
    <w:p w14:paraId="7AD46214" w14:textId="243412AB" w:rsidR="006724AB" w:rsidRPr="00BF1678" w:rsidRDefault="006724AB" w:rsidP="00C538A8">
      <w:pPr>
        <w:pStyle w:val="Heading4"/>
        <w:shd w:val="clear" w:color="auto" w:fill="FEC6C6"/>
      </w:pPr>
      <w:r w:rsidRPr="00BF1678">
        <w:t>Office of the Commissioner for Human Rights of the Republic of Poland</w:t>
      </w:r>
    </w:p>
    <w:p w14:paraId="760C987C" w14:textId="19C04F15" w:rsidR="00ED18C1" w:rsidRPr="00280736" w:rsidRDefault="00871BB3" w:rsidP="00CE1825">
      <w:pPr>
        <w:spacing w:after="120" w:line="360" w:lineRule="auto"/>
        <w:rPr>
          <w:lang w:val="pl-PL"/>
        </w:rPr>
      </w:pPr>
      <w:r>
        <w:rPr>
          <w:lang w:val="en-US"/>
        </w:rPr>
        <w:t>The Polish</w:t>
      </w:r>
      <w:r w:rsidRPr="00871BB3">
        <w:t xml:space="preserve"> Commissioner for Human Rights </w:t>
      </w:r>
      <w:r w:rsidR="008C39BD">
        <w:t>raised awareness on the right</w:t>
      </w:r>
      <w:r w:rsidR="001F6824">
        <w:t>s</w:t>
      </w:r>
      <w:r w:rsidR="008C39BD">
        <w:t xml:space="preserve"> of </w:t>
      </w:r>
      <w:r w:rsidR="001F6824">
        <w:t xml:space="preserve">the </w:t>
      </w:r>
      <w:r w:rsidR="008C39BD" w:rsidRPr="00DD499C">
        <w:t>LGBTQ</w:t>
      </w:r>
      <w:r w:rsidR="008C39BD">
        <w:t xml:space="preserve"> community </w:t>
      </w:r>
      <w:r w:rsidR="00C854CE">
        <w:t xml:space="preserve">by promoting </w:t>
      </w:r>
      <w:r w:rsidR="00DD499C" w:rsidRPr="00DD499C">
        <w:t>an interactive and constantly updated map of Poland</w:t>
      </w:r>
      <w:r w:rsidR="00C854CE">
        <w:t xml:space="preserve"> entitled “</w:t>
      </w:r>
      <w:hyperlink r:id="rId52" w:history="1">
        <w:r w:rsidR="00C854CE" w:rsidRPr="00044004">
          <w:rPr>
            <w:rStyle w:val="Hyperlink"/>
          </w:rPr>
          <w:t>The Atlas of Hate</w:t>
        </w:r>
      </w:hyperlink>
      <w:r w:rsidR="00C854CE">
        <w:t>”</w:t>
      </w:r>
      <w:r w:rsidR="00DD499C" w:rsidRPr="00DD499C">
        <w:t>, prepared by LGBTQ activists,</w:t>
      </w:r>
      <w:r w:rsidR="00412893">
        <w:t xml:space="preserve"> </w:t>
      </w:r>
      <w:r w:rsidR="00A9718B">
        <w:t>which indicated which</w:t>
      </w:r>
      <w:r w:rsidR="00412893">
        <w:t xml:space="preserve"> </w:t>
      </w:r>
      <w:r w:rsidR="00F44291">
        <w:t>local authorities (</w:t>
      </w:r>
      <w:r w:rsidR="00DD499C" w:rsidRPr="00DD499C">
        <w:t>municipalities, counties, and voivodeships</w:t>
      </w:r>
      <w:r w:rsidR="00F44291">
        <w:t xml:space="preserve">) </w:t>
      </w:r>
      <w:r w:rsidR="00DD499C" w:rsidRPr="00DD499C">
        <w:t>ha</w:t>
      </w:r>
      <w:r w:rsidR="006C4490">
        <w:t>d</w:t>
      </w:r>
      <w:r w:rsidR="00DD499C" w:rsidRPr="00DD499C">
        <w:t xml:space="preserve"> adopted,</w:t>
      </w:r>
      <w:r w:rsidR="001A1439">
        <w:t xml:space="preserve"> were working to adopt </w:t>
      </w:r>
      <w:r w:rsidR="00DD499C" w:rsidRPr="00DD499C">
        <w:t>or ha</w:t>
      </w:r>
      <w:r w:rsidR="001A1439">
        <w:t>d</w:t>
      </w:r>
      <w:r w:rsidR="00DD499C" w:rsidRPr="00DD499C">
        <w:t xml:space="preserve"> already rejected the</w:t>
      </w:r>
      <w:r w:rsidR="001A1439">
        <w:t xml:space="preserve"> so-called</w:t>
      </w:r>
      <w:r w:rsidR="00DD499C" w:rsidRPr="00DD499C">
        <w:t xml:space="preserve"> “Anti-LGBT Declaration</w:t>
      </w:r>
      <w:r w:rsidR="0006304F">
        <w:t>.</w:t>
      </w:r>
      <w:r w:rsidR="00DD499C" w:rsidRPr="00DD499C">
        <w:t xml:space="preserve">” </w:t>
      </w:r>
      <w:r w:rsidR="004A26D3">
        <w:t xml:space="preserve">The </w:t>
      </w:r>
      <w:r w:rsidR="004A26D3" w:rsidRPr="00DD499C">
        <w:t xml:space="preserve">data collected by </w:t>
      </w:r>
      <w:r w:rsidR="009E3F25">
        <w:t xml:space="preserve">the </w:t>
      </w:r>
      <w:r w:rsidR="004A26D3" w:rsidRPr="00DD499C">
        <w:t>Atlas of Hate</w:t>
      </w:r>
      <w:r w:rsidR="004A26D3">
        <w:t xml:space="preserve"> was greatly helpful for </w:t>
      </w:r>
      <w:r w:rsidR="009E3F25">
        <w:t xml:space="preserve">the </w:t>
      </w:r>
      <w:r w:rsidR="00DD499C" w:rsidRPr="00DD499C">
        <w:t>work of the Commissioner’s Office to combat the</w:t>
      </w:r>
      <w:r w:rsidR="00CE10DF">
        <w:t xml:space="preserve"> adoption of</w:t>
      </w:r>
      <w:r w:rsidR="00DD499C" w:rsidRPr="00DD499C">
        <w:t xml:space="preserve"> </w:t>
      </w:r>
      <w:r w:rsidR="00CE10DF">
        <w:t xml:space="preserve">discriminatory </w:t>
      </w:r>
      <w:r w:rsidR="00DD499C" w:rsidRPr="00DD499C">
        <w:t>“anti-LGBT” resolution</w:t>
      </w:r>
      <w:r w:rsidR="00CE10DF">
        <w:t>s by local authorities</w:t>
      </w:r>
      <w:r w:rsidR="00080B9E">
        <w:t xml:space="preserve">.  Specifically, this data were used in </w:t>
      </w:r>
      <w:r w:rsidR="00DD499C" w:rsidRPr="00DD499C">
        <w:t>statements</w:t>
      </w:r>
      <w:r w:rsidR="00BF1678">
        <w:t xml:space="preserve"> by the Ombudsman</w:t>
      </w:r>
      <w:r w:rsidR="00DD499C" w:rsidRPr="00DD499C">
        <w:t xml:space="preserve"> to 36 local authorities which still have not changed their positions on this issue. </w:t>
      </w:r>
    </w:p>
    <w:p w14:paraId="54C8EA16" w14:textId="0D87DB01" w:rsidR="00872CBC" w:rsidRPr="009B3B91" w:rsidRDefault="00872CBC" w:rsidP="00C538A8">
      <w:pPr>
        <w:pStyle w:val="Heading4"/>
        <w:shd w:val="clear" w:color="auto" w:fill="FEC6C6"/>
      </w:pPr>
      <w:r w:rsidRPr="009B3B91">
        <w:t>Advocate of the Principle of Equality</w:t>
      </w:r>
      <w:r w:rsidR="00ED3192">
        <w:t xml:space="preserve"> of</w:t>
      </w:r>
      <w:r w:rsidR="00355BEE">
        <w:t xml:space="preserve"> Slovenia</w:t>
      </w:r>
    </w:p>
    <w:p w14:paraId="79DE76A6" w14:textId="3DFF0640" w:rsidR="00872CBC" w:rsidRPr="009B3B91" w:rsidRDefault="00872CBC" w:rsidP="00CE1825">
      <w:pPr>
        <w:spacing w:after="120" w:line="360" w:lineRule="auto"/>
      </w:pPr>
      <w:r w:rsidRPr="009B3B91">
        <w:t>The Advocate of the Principle of Equality</w:t>
      </w:r>
      <w:r w:rsidR="006511CD">
        <w:t xml:space="preserve"> uses</w:t>
      </w:r>
      <w:r w:rsidR="006511CD" w:rsidRPr="009B3B91">
        <w:t xml:space="preserve"> self-produced and </w:t>
      </w:r>
      <w:r w:rsidR="009A06E1">
        <w:t>externally sourced</w:t>
      </w:r>
      <w:r w:rsidR="006444BE">
        <w:t xml:space="preserve"> </w:t>
      </w:r>
      <w:r w:rsidR="006511CD" w:rsidRPr="009B3B91">
        <w:t>data</w:t>
      </w:r>
      <w:r w:rsidRPr="009B3B91">
        <w:t xml:space="preserve"> in its posts on social media and occasionally in its press releases and web page articles. </w:t>
      </w:r>
      <w:r w:rsidR="009A06E1">
        <w:t>More concretely,</w:t>
      </w:r>
      <w:r w:rsidR="0042458A">
        <w:t xml:space="preserve"> </w:t>
      </w:r>
      <w:r w:rsidR="0042458A" w:rsidRPr="009B3B91">
        <w:t>the Advocate referenced the results of its "Survey on discrimination in Slovenia in 2020"</w:t>
      </w:r>
      <w:r w:rsidR="009A06E1">
        <w:t xml:space="preserve"> </w:t>
      </w:r>
      <w:r w:rsidR="0042458A">
        <w:t>i</w:t>
      </w:r>
      <w:r w:rsidRPr="009B3B91">
        <w:t>n</w:t>
      </w:r>
      <w:r w:rsidR="007668A0">
        <w:t xml:space="preserve"> general awareness raising </w:t>
      </w:r>
      <w:r w:rsidR="00074F2F">
        <w:t>on</w:t>
      </w:r>
      <w:r w:rsidR="00F61E6D">
        <w:t xml:space="preserve"> Facebook in relation to</w:t>
      </w:r>
      <w:r w:rsidR="00074F2F">
        <w:t xml:space="preserve"> perceptions and experiences of </w:t>
      </w:r>
      <w:r w:rsidRPr="009B3B91">
        <w:t>discrimination in</w:t>
      </w:r>
      <w:r w:rsidR="00074F2F">
        <w:t xml:space="preserve"> Slovenian society</w:t>
      </w:r>
      <w:r w:rsidR="00BF1CCC">
        <w:t xml:space="preserve">. </w:t>
      </w:r>
      <w:r w:rsidR="007059F0">
        <w:t>Other</w:t>
      </w:r>
      <w:r w:rsidR="00DC7FA3">
        <w:t xml:space="preserve"> example</w:t>
      </w:r>
      <w:r w:rsidR="007059F0">
        <w:t>s</w:t>
      </w:r>
      <w:r w:rsidR="003E19AC">
        <w:t xml:space="preserve"> of</w:t>
      </w:r>
      <w:r w:rsidR="00DC7FA3">
        <w:t xml:space="preserve"> </w:t>
      </w:r>
      <w:r w:rsidR="007059F0" w:rsidRPr="009B3B91">
        <w:t xml:space="preserve">using equality data to promote equality </w:t>
      </w:r>
      <w:r w:rsidR="007059F0">
        <w:t xml:space="preserve">on social media </w:t>
      </w:r>
      <w:r w:rsidR="00B75632">
        <w:t>involve</w:t>
      </w:r>
      <w:r w:rsidR="003F7606">
        <w:t xml:space="preserve"> using findings </w:t>
      </w:r>
      <w:r w:rsidR="00B75632">
        <w:t>from the Fundamental Rights Agency</w:t>
      </w:r>
      <w:r w:rsidR="00342FB4">
        <w:t xml:space="preserve">’s (FRA) </w:t>
      </w:r>
      <w:r w:rsidR="00B75632" w:rsidRPr="009B3B91">
        <w:t xml:space="preserve">report “A long way to go for LGBTI equality” </w:t>
      </w:r>
      <w:r w:rsidR="00DB6435">
        <w:t xml:space="preserve">to raise awareness on </w:t>
      </w:r>
      <w:r w:rsidR="003C64AD">
        <w:t xml:space="preserve">the </w:t>
      </w:r>
      <w:r w:rsidR="00640D7A" w:rsidRPr="009B3B91">
        <w:t>international</w:t>
      </w:r>
      <w:r w:rsidRPr="009B3B91">
        <w:t xml:space="preserve"> day against Homophobia, Biphobia, </w:t>
      </w:r>
      <w:proofErr w:type="spellStart"/>
      <w:r w:rsidRPr="009B3B91">
        <w:t>Intersexism</w:t>
      </w:r>
      <w:proofErr w:type="spellEnd"/>
      <w:r w:rsidR="00884FC0">
        <w:t>,</w:t>
      </w:r>
      <w:r w:rsidRPr="009B3B91">
        <w:t xml:space="preserve"> and Transphobia</w:t>
      </w:r>
      <w:r w:rsidR="00BB7406">
        <w:t xml:space="preserve">, as well as </w:t>
      </w:r>
      <w:r w:rsidRPr="009B3B91">
        <w:t>from EIGE’s report “Gender inequalities in care and pay in the EU”</w:t>
      </w:r>
      <w:r w:rsidR="00BB7406">
        <w:t xml:space="preserve"> to </w:t>
      </w:r>
      <w:r w:rsidR="00BB7406">
        <w:lastRenderedPageBreak/>
        <w:t xml:space="preserve">establish that </w:t>
      </w:r>
      <w:r w:rsidRPr="009B3B91">
        <w:t xml:space="preserve">there is a direct link between the unequal division of unpaid care in households and gender inequalities in the labour market. </w:t>
      </w:r>
    </w:p>
    <w:p w14:paraId="2E4F0248" w14:textId="3EE4503C" w:rsidR="00B6755B" w:rsidRPr="00361013" w:rsidRDefault="00B6755B" w:rsidP="00C538A8">
      <w:pPr>
        <w:pStyle w:val="Heading4"/>
        <w:shd w:val="clear" w:color="auto" w:fill="FEC6C6"/>
      </w:pPr>
      <w:r w:rsidRPr="00361013">
        <w:t>Commission for Rights of Persons with Disabilities</w:t>
      </w:r>
      <w:r w:rsidR="003523DF" w:rsidRPr="00361013">
        <w:t xml:space="preserve"> of Malta</w:t>
      </w:r>
      <w:r w:rsidRPr="00361013">
        <w:t xml:space="preserve"> (CRPD)</w:t>
      </w:r>
    </w:p>
    <w:p w14:paraId="3B6CF613" w14:textId="1D11C797" w:rsidR="00493B28" w:rsidRDefault="007376FC" w:rsidP="00CE1825">
      <w:pPr>
        <w:spacing w:after="120" w:line="360" w:lineRule="auto"/>
        <w:rPr>
          <w:rFonts w:cstheme="minorHAnsi"/>
        </w:rPr>
      </w:pPr>
      <w:r>
        <w:rPr>
          <w:rFonts w:cstheme="minorHAnsi"/>
        </w:rPr>
        <w:t xml:space="preserve">The Maltese </w:t>
      </w:r>
      <w:r w:rsidRPr="007376FC">
        <w:rPr>
          <w:rFonts w:cstheme="minorHAnsi"/>
        </w:rPr>
        <w:t>Commission for Rights of Persons with Disabilities</w:t>
      </w:r>
      <w:r>
        <w:rPr>
          <w:rFonts w:cstheme="minorHAnsi"/>
        </w:rPr>
        <w:t xml:space="preserve"> (CRPD)</w:t>
      </w:r>
      <w:r w:rsidR="005154F9">
        <w:rPr>
          <w:rFonts w:cstheme="minorHAnsi"/>
        </w:rPr>
        <w:t xml:space="preserve"> uses equality data a</w:t>
      </w:r>
      <w:r w:rsidR="00ED3192">
        <w:rPr>
          <w:rFonts w:cstheme="minorHAnsi"/>
        </w:rPr>
        <w:t>t</w:t>
      </w:r>
      <w:r w:rsidR="005154F9">
        <w:rPr>
          <w:rFonts w:cstheme="minorHAnsi"/>
        </w:rPr>
        <w:t xml:space="preserve"> the core </w:t>
      </w:r>
      <w:r w:rsidR="00ED3192">
        <w:rPr>
          <w:rFonts w:cstheme="minorHAnsi"/>
        </w:rPr>
        <w:t xml:space="preserve">of several </w:t>
      </w:r>
      <w:r w:rsidR="00B819C7" w:rsidRPr="00D94C5C">
        <w:rPr>
          <w:rFonts w:cstheme="minorHAnsi"/>
        </w:rPr>
        <w:t>awareness raising campaigns throughout the year. Most often</w:t>
      </w:r>
      <w:r w:rsidR="00A27613">
        <w:rPr>
          <w:rFonts w:cstheme="minorHAnsi"/>
        </w:rPr>
        <w:t xml:space="preserve"> the findings and way forward</w:t>
      </w:r>
      <w:r w:rsidR="006A7B25">
        <w:rPr>
          <w:rFonts w:cstheme="minorHAnsi"/>
        </w:rPr>
        <w:t xml:space="preserve"> of</w:t>
      </w:r>
      <w:r w:rsidR="00814D8D">
        <w:rPr>
          <w:rFonts w:cstheme="minorHAnsi"/>
        </w:rPr>
        <w:t xml:space="preserve"> CRPD’s</w:t>
      </w:r>
      <w:r w:rsidR="00B819C7" w:rsidRPr="00D94C5C">
        <w:rPr>
          <w:rFonts w:cstheme="minorHAnsi"/>
        </w:rPr>
        <w:t xml:space="preserve"> studies are presented to stakeholders and the general public by means of </w:t>
      </w:r>
      <w:r w:rsidR="006A7B25">
        <w:rPr>
          <w:rFonts w:cstheme="minorHAnsi"/>
        </w:rPr>
        <w:t xml:space="preserve">a </w:t>
      </w:r>
      <w:r w:rsidR="00B819C7" w:rsidRPr="00D94C5C">
        <w:rPr>
          <w:rFonts w:cstheme="minorHAnsi"/>
        </w:rPr>
        <w:t>conference</w:t>
      </w:r>
      <w:r w:rsidR="006A7B25">
        <w:rPr>
          <w:rFonts w:cstheme="minorHAnsi"/>
        </w:rPr>
        <w:t xml:space="preserve">. </w:t>
      </w:r>
      <w:r w:rsidR="00B819C7" w:rsidRPr="00D94C5C">
        <w:rPr>
          <w:rFonts w:cstheme="minorHAnsi"/>
        </w:rPr>
        <w:t xml:space="preserve"> Other ways to raise awareness about discrimination and how to curtail it include video clips and infographics which are shared via social media platforms.</w:t>
      </w:r>
    </w:p>
    <w:p w14:paraId="32CCADD0" w14:textId="69497107" w:rsidR="00B6755B" w:rsidRPr="00D94C5C" w:rsidRDefault="00493B28" w:rsidP="00C538A8">
      <w:pPr>
        <w:pStyle w:val="Heading4"/>
        <w:shd w:val="clear" w:color="auto" w:fill="FEC6C6"/>
      </w:pPr>
      <w:r w:rsidRPr="00D94C5C">
        <w:t>Croatian Ombudswoman for Persons with Disabilities</w:t>
      </w:r>
      <w:r w:rsidR="006843A3" w:rsidRPr="00D94C5C">
        <w:t xml:space="preserve"> </w:t>
      </w:r>
    </w:p>
    <w:p w14:paraId="2BF112C9" w14:textId="07142DA7" w:rsidR="001732B2" w:rsidRDefault="009D5D4B" w:rsidP="00CE1825">
      <w:pPr>
        <w:spacing w:after="120" w:line="360" w:lineRule="auto"/>
        <w:rPr>
          <w:rFonts w:cstheme="minorHAnsi"/>
        </w:rPr>
      </w:pPr>
      <w:r>
        <w:rPr>
          <w:rFonts w:cstheme="minorHAnsi"/>
        </w:rPr>
        <w:t xml:space="preserve">The </w:t>
      </w:r>
      <w:r w:rsidR="0093174B" w:rsidRPr="0093174B">
        <w:rPr>
          <w:rFonts w:cstheme="minorHAnsi"/>
        </w:rPr>
        <w:t>Croatian Ombudswoman for Persons with Disabilities</w:t>
      </w:r>
      <w:r w:rsidR="00714B2A">
        <w:rPr>
          <w:rFonts w:cstheme="minorHAnsi"/>
        </w:rPr>
        <w:t xml:space="preserve"> presents </w:t>
      </w:r>
      <w:r w:rsidR="001A1FC3">
        <w:rPr>
          <w:rFonts w:cstheme="minorHAnsi"/>
        </w:rPr>
        <w:t xml:space="preserve">data from </w:t>
      </w:r>
      <w:r w:rsidR="00714B2A">
        <w:rPr>
          <w:rFonts w:cstheme="minorHAnsi"/>
        </w:rPr>
        <w:t xml:space="preserve">their </w:t>
      </w:r>
      <w:r w:rsidR="0099328E" w:rsidRPr="00D94C5C">
        <w:rPr>
          <w:rFonts w:cstheme="minorHAnsi"/>
        </w:rPr>
        <w:t>research</w:t>
      </w:r>
      <w:r w:rsidR="006843A3" w:rsidRPr="00D94C5C">
        <w:rPr>
          <w:rFonts w:cstheme="minorHAnsi"/>
        </w:rPr>
        <w:t xml:space="preserve"> and analysis in</w:t>
      </w:r>
      <w:r w:rsidR="00714B2A">
        <w:rPr>
          <w:rFonts w:cstheme="minorHAnsi"/>
        </w:rPr>
        <w:t xml:space="preserve"> their</w:t>
      </w:r>
      <w:r w:rsidR="006843A3" w:rsidRPr="00D94C5C">
        <w:rPr>
          <w:rFonts w:cstheme="minorHAnsi"/>
        </w:rPr>
        <w:t xml:space="preserve"> annual reports </w:t>
      </w:r>
      <w:r w:rsidR="00714B2A">
        <w:rPr>
          <w:rFonts w:cstheme="minorHAnsi"/>
        </w:rPr>
        <w:t xml:space="preserve">which </w:t>
      </w:r>
      <w:r w:rsidR="00D011DC">
        <w:rPr>
          <w:rFonts w:cstheme="minorHAnsi"/>
        </w:rPr>
        <w:t>are</w:t>
      </w:r>
      <w:r w:rsidR="006843A3" w:rsidRPr="00D94C5C">
        <w:rPr>
          <w:rFonts w:cstheme="minorHAnsi"/>
        </w:rPr>
        <w:t xml:space="preserve"> available to the general public</w:t>
      </w:r>
      <w:r w:rsidR="008A1C19">
        <w:rPr>
          <w:rFonts w:cstheme="minorHAnsi"/>
        </w:rPr>
        <w:t xml:space="preserve">. </w:t>
      </w:r>
      <w:r w:rsidR="00013824">
        <w:rPr>
          <w:rFonts w:cstheme="minorHAnsi"/>
        </w:rPr>
        <w:t xml:space="preserve"> </w:t>
      </w:r>
      <w:r w:rsidR="006843A3" w:rsidRPr="00D94C5C">
        <w:rPr>
          <w:rFonts w:cstheme="minorHAnsi"/>
        </w:rPr>
        <w:t xml:space="preserve">In addition, in order to promote and raise awareness of the rights and equality of persons with disabilities, </w:t>
      </w:r>
      <w:r w:rsidR="008A1C19">
        <w:rPr>
          <w:rFonts w:cstheme="minorHAnsi"/>
        </w:rPr>
        <w:t xml:space="preserve">the office of the Ombudswoman </w:t>
      </w:r>
      <w:r w:rsidR="006843A3" w:rsidRPr="00D94C5C">
        <w:rPr>
          <w:rFonts w:cstheme="minorHAnsi"/>
        </w:rPr>
        <w:t>also conduct</w:t>
      </w:r>
      <w:r w:rsidR="006C697F">
        <w:rPr>
          <w:rFonts w:cstheme="minorHAnsi"/>
        </w:rPr>
        <w:t>s</w:t>
      </w:r>
      <w:r w:rsidR="006843A3" w:rsidRPr="00D94C5C">
        <w:rPr>
          <w:rFonts w:cstheme="minorHAnsi"/>
        </w:rPr>
        <w:t xml:space="preserve"> campaigns</w:t>
      </w:r>
      <w:r w:rsidR="006C697F">
        <w:rPr>
          <w:rFonts w:cstheme="minorHAnsi"/>
        </w:rPr>
        <w:t xml:space="preserve"> through interactive films such</w:t>
      </w:r>
      <w:r w:rsidR="00B35EF7">
        <w:rPr>
          <w:rFonts w:cstheme="minorHAnsi"/>
        </w:rPr>
        <w:t xml:space="preserve"> </w:t>
      </w:r>
      <w:r w:rsidR="00A8043F">
        <w:rPr>
          <w:rFonts w:cstheme="minorHAnsi"/>
        </w:rPr>
        <w:t>“</w:t>
      </w:r>
      <w:hyperlink r:id="rId53" w:history="1">
        <w:r w:rsidR="00B35EF7" w:rsidRPr="00E9762F">
          <w:rPr>
            <w:rStyle w:val="Hyperlink"/>
            <w:rFonts w:cstheme="minorHAnsi"/>
          </w:rPr>
          <w:t>Accessibility as a Human Right</w:t>
        </w:r>
      </w:hyperlink>
      <w:r w:rsidR="001732B2">
        <w:rPr>
          <w:rFonts w:cstheme="minorHAnsi"/>
        </w:rPr>
        <w:t xml:space="preserve">” and </w:t>
      </w:r>
      <w:r w:rsidR="001732B2" w:rsidRPr="00D94C5C">
        <w:rPr>
          <w:rFonts w:cstheme="minorHAnsi"/>
        </w:rPr>
        <w:t>"</w:t>
      </w:r>
      <w:hyperlink r:id="rId54" w:history="1">
        <w:r w:rsidR="001732B2" w:rsidRPr="0024250B">
          <w:rPr>
            <w:rStyle w:val="Hyperlink"/>
            <w:rFonts w:cstheme="minorHAnsi"/>
          </w:rPr>
          <w:t>Positive employment practices for people with disabilities</w:t>
        </w:r>
      </w:hyperlink>
      <w:r w:rsidR="001732B2" w:rsidRPr="00D94C5C">
        <w:rPr>
          <w:rFonts w:cstheme="minorHAnsi"/>
        </w:rPr>
        <w:t>" (Croatian only)</w:t>
      </w:r>
      <w:r w:rsidR="001732B2">
        <w:rPr>
          <w:rFonts w:cstheme="minorHAnsi"/>
        </w:rPr>
        <w:t xml:space="preserve">. </w:t>
      </w:r>
    </w:p>
    <w:p w14:paraId="204DD400" w14:textId="7EBC2862" w:rsidR="00AB5752" w:rsidRPr="00280736" w:rsidRDefault="00AB5752" w:rsidP="00C538A8">
      <w:pPr>
        <w:pStyle w:val="Heading4"/>
        <w:shd w:val="clear" w:color="auto" w:fill="FEC6C6"/>
      </w:pPr>
      <w:r w:rsidRPr="00D94C5C">
        <w:t>Serbian Commissioner for Protection against Discrimination</w:t>
      </w:r>
      <w:r w:rsidR="00E6533A" w:rsidRPr="00D94C5C">
        <w:t xml:space="preserve"> </w:t>
      </w:r>
    </w:p>
    <w:p w14:paraId="4B0E60AB" w14:textId="556758FF" w:rsidR="00BB762A" w:rsidRPr="00280736" w:rsidRDefault="00AB5752" w:rsidP="00CE1825">
      <w:pPr>
        <w:spacing w:after="120" w:line="360" w:lineRule="auto"/>
        <w:rPr>
          <w:rFonts w:cstheme="minorHAnsi"/>
        </w:rPr>
      </w:pPr>
      <w:r w:rsidRPr="00D94C5C">
        <w:rPr>
          <w:rFonts w:cstheme="minorHAnsi"/>
        </w:rPr>
        <w:t xml:space="preserve">The Commissioner </w:t>
      </w:r>
      <w:r w:rsidR="00D944C9">
        <w:rPr>
          <w:rFonts w:cstheme="minorHAnsi"/>
        </w:rPr>
        <w:t xml:space="preserve">used </w:t>
      </w:r>
      <w:r w:rsidRPr="00D94C5C">
        <w:rPr>
          <w:rFonts w:cstheme="minorHAnsi"/>
        </w:rPr>
        <w:t xml:space="preserve">data from Research "Gender </w:t>
      </w:r>
      <w:r w:rsidR="00D944C9">
        <w:rPr>
          <w:rFonts w:cstheme="minorHAnsi"/>
        </w:rPr>
        <w:t>e</w:t>
      </w:r>
      <w:r w:rsidRPr="00D94C5C">
        <w:rPr>
          <w:rFonts w:cstheme="minorHAnsi"/>
        </w:rPr>
        <w:t>quality and work-life balance"</w:t>
      </w:r>
      <w:r w:rsidR="007624DE">
        <w:rPr>
          <w:rFonts w:cstheme="minorHAnsi"/>
        </w:rPr>
        <w:t xml:space="preserve"> to issue a public statement about the </w:t>
      </w:r>
      <w:r w:rsidRPr="00D94C5C">
        <w:rPr>
          <w:rFonts w:cstheme="minorHAnsi"/>
        </w:rPr>
        <w:t xml:space="preserve">position of women on the </w:t>
      </w:r>
      <w:r w:rsidR="00FF64CE" w:rsidRPr="00D94C5C">
        <w:rPr>
          <w:rFonts w:cstheme="minorHAnsi"/>
        </w:rPr>
        <w:t>labour</w:t>
      </w:r>
      <w:r w:rsidRPr="00D94C5C">
        <w:rPr>
          <w:rFonts w:cstheme="minorHAnsi"/>
        </w:rPr>
        <w:t xml:space="preserve"> market and society altogether.</w:t>
      </w:r>
      <w:r w:rsidR="00F42B37">
        <w:rPr>
          <w:rFonts w:cstheme="minorHAnsi"/>
        </w:rPr>
        <w:t xml:space="preserve"> Another example</w:t>
      </w:r>
      <w:r w:rsidR="00183CDB">
        <w:rPr>
          <w:rFonts w:cstheme="minorHAnsi"/>
        </w:rPr>
        <w:t xml:space="preserve"> involves presenting </w:t>
      </w:r>
      <w:r w:rsidRPr="00D94C5C">
        <w:rPr>
          <w:rFonts w:cstheme="minorHAnsi"/>
        </w:rPr>
        <w:t xml:space="preserve">data from </w:t>
      </w:r>
      <w:r w:rsidR="00D721E0">
        <w:rPr>
          <w:rFonts w:cstheme="minorHAnsi"/>
        </w:rPr>
        <w:t>the Commissioner’s</w:t>
      </w:r>
      <w:r w:rsidRPr="00D94C5C">
        <w:rPr>
          <w:rFonts w:cstheme="minorHAnsi"/>
        </w:rPr>
        <w:t xml:space="preserve"> Survey on </w:t>
      </w:r>
      <w:r w:rsidR="00183CDB">
        <w:rPr>
          <w:rFonts w:cstheme="minorHAnsi"/>
        </w:rPr>
        <w:t xml:space="preserve">the </w:t>
      </w:r>
      <w:r w:rsidR="000B11A1">
        <w:rPr>
          <w:rFonts w:cstheme="minorHAnsi"/>
        </w:rPr>
        <w:t>representation</w:t>
      </w:r>
      <w:r w:rsidRPr="00D94C5C">
        <w:rPr>
          <w:rFonts w:cstheme="minorHAnsi"/>
        </w:rPr>
        <w:t xml:space="preserve"> of women </w:t>
      </w:r>
      <w:r w:rsidR="000B11A1">
        <w:rPr>
          <w:rFonts w:cstheme="minorHAnsi"/>
        </w:rPr>
        <w:t>in</w:t>
      </w:r>
      <w:r w:rsidRPr="00D94C5C">
        <w:rPr>
          <w:rFonts w:cstheme="minorHAnsi"/>
        </w:rPr>
        <w:t xml:space="preserve"> decision making positions </w:t>
      </w:r>
      <w:r w:rsidR="000B11A1">
        <w:rPr>
          <w:rFonts w:cstheme="minorHAnsi"/>
        </w:rPr>
        <w:t>at</w:t>
      </w:r>
      <w:r w:rsidRPr="00D94C5C">
        <w:rPr>
          <w:rFonts w:cstheme="minorHAnsi"/>
        </w:rPr>
        <w:t xml:space="preserve"> the local level</w:t>
      </w:r>
      <w:r w:rsidR="00D721E0">
        <w:rPr>
          <w:rFonts w:cstheme="minorHAnsi"/>
        </w:rPr>
        <w:t xml:space="preserve"> at</w:t>
      </w:r>
      <w:r w:rsidRPr="00D94C5C">
        <w:rPr>
          <w:rFonts w:cstheme="minorHAnsi"/>
        </w:rPr>
        <w:t xml:space="preserve"> a </w:t>
      </w:r>
      <w:r w:rsidR="00757D7E" w:rsidRPr="00D94C5C">
        <w:rPr>
          <w:rFonts w:cstheme="minorHAnsi"/>
        </w:rPr>
        <w:t>high-level</w:t>
      </w:r>
      <w:r w:rsidRPr="00D94C5C">
        <w:rPr>
          <w:rFonts w:cstheme="minorHAnsi"/>
        </w:rPr>
        <w:t xml:space="preserve"> conference organized on the occasion of International Women's Day</w:t>
      </w:r>
      <w:r w:rsidR="00D721E0">
        <w:rPr>
          <w:rFonts w:cstheme="minorHAnsi"/>
        </w:rPr>
        <w:t xml:space="preserve">. </w:t>
      </w:r>
    </w:p>
    <w:p w14:paraId="2B1B3341" w14:textId="77777777" w:rsidR="00BB762A" w:rsidRPr="00D94C5C" w:rsidRDefault="00BB762A" w:rsidP="00C538A8">
      <w:pPr>
        <w:pStyle w:val="Heading4"/>
        <w:shd w:val="clear" w:color="auto" w:fill="FEC6C6"/>
      </w:pPr>
      <w:r w:rsidRPr="00D94C5C">
        <w:t>Lithuanian Office of the Equal Opportunities Ombudsperson</w:t>
      </w:r>
    </w:p>
    <w:p w14:paraId="5B112F9B" w14:textId="5317FC67" w:rsidR="00BB762A" w:rsidRPr="00D94C5C" w:rsidRDefault="00B51048" w:rsidP="00CE1825">
      <w:pPr>
        <w:spacing w:after="120" w:line="360" w:lineRule="auto"/>
        <w:rPr>
          <w:rFonts w:cstheme="minorHAnsi"/>
        </w:rPr>
      </w:pPr>
      <w:r>
        <w:rPr>
          <w:rFonts w:cstheme="minorHAnsi"/>
        </w:rPr>
        <w:t xml:space="preserve">The </w:t>
      </w:r>
      <w:r w:rsidRPr="00B51048">
        <w:rPr>
          <w:rFonts w:cstheme="minorHAnsi"/>
        </w:rPr>
        <w:t>Lithuanian Office of the Equal Opportunities Ombudsperson</w:t>
      </w:r>
      <w:r>
        <w:rPr>
          <w:rFonts w:cstheme="minorHAnsi"/>
        </w:rPr>
        <w:t xml:space="preserve"> regularly uses equality data</w:t>
      </w:r>
      <w:r w:rsidR="006D52E1">
        <w:rPr>
          <w:rFonts w:cstheme="minorHAnsi"/>
        </w:rPr>
        <w:t xml:space="preserve"> from its own research or from external sources</w:t>
      </w:r>
      <w:r>
        <w:rPr>
          <w:rFonts w:cstheme="minorHAnsi"/>
        </w:rPr>
        <w:t xml:space="preserve"> in its</w:t>
      </w:r>
      <w:r w:rsidR="00D652C0">
        <w:rPr>
          <w:rFonts w:cstheme="minorHAnsi"/>
        </w:rPr>
        <w:t xml:space="preserve"> awareness raising campaigns. For example, i</w:t>
      </w:r>
      <w:r w:rsidR="002D297C" w:rsidRPr="00D94C5C">
        <w:rPr>
          <w:rFonts w:cstheme="minorHAnsi"/>
        </w:rPr>
        <w:t>n 2021</w:t>
      </w:r>
      <w:r w:rsidR="00D652C0">
        <w:rPr>
          <w:rFonts w:cstheme="minorHAnsi"/>
        </w:rPr>
        <w:t xml:space="preserve">, the Ombudsperson’s Office </w:t>
      </w:r>
      <w:r w:rsidR="002D297C" w:rsidRPr="00D94C5C">
        <w:rPr>
          <w:rFonts w:cstheme="minorHAnsi"/>
        </w:rPr>
        <w:t xml:space="preserve">carried out </w:t>
      </w:r>
      <w:r w:rsidR="00FF64CE" w:rsidRPr="00D94C5C">
        <w:rPr>
          <w:rFonts w:cstheme="minorHAnsi"/>
        </w:rPr>
        <w:t>five</w:t>
      </w:r>
      <w:r w:rsidR="002D297C" w:rsidRPr="00D94C5C">
        <w:rPr>
          <w:rFonts w:cstheme="minorHAnsi"/>
        </w:rPr>
        <w:t xml:space="preserve"> campaigns in </w:t>
      </w:r>
      <w:r w:rsidR="00C41304">
        <w:rPr>
          <w:rFonts w:cstheme="minorHAnsi"/>
        </w:rPr>
        <w:t xml:space="preserve">relation to </w:t>
      </w:r>
      <w:r w:rsidR="002D297C" w:rsidRPr="00D94C5C">
        <w:rPr>
          <w:rFonts w:cstheme="minorHAnsi"/>
        </w:rPr>
        <w:t xml:space="preserve">hate speech, work-life </w:t>
      </w:r>
      <w:r w:rsidR="003048EB" w:rsidRPr="00D94C5C">
        <w:rPr>
          <w:rFonts w:cstheme="minorHAnsi"/>
        </w:rPr>
        <w:t>balance,</w:t>
      </w:r>
      <w:r w:rsidR="002D297C" w:rsidRPr="00D94C5C">
        <w:rPr>
          <w:rFonts w:cstheme="minorHAnsi"/>
        </w:rPr>
        <w:t xml:space="preserve"> and gender-based violence. </w:t>
      </w:r>
      <w:r w:rsidR="004B0937">
        <w:rPr>
          <w:rFonts w:cstheme="minorHAnsi"/>
        </w:rPr>
        <w:t xml:space="preserve">Specifically, for </w:t>
      </w:r>
      <w:r w:rsidR="002D297C" w:rsidRPr="00D94C5C">
        <w:rPr>
          <w:rFonts w:cstheme="minorHAnsi"/>
        </w:rPr>
        <w:t xml:space="preserve">one </w:t>
      </w:r>
      <w:r w:rsidR="004B0937">
        <w:rPr>
          <w:rFonts w:cstheme="minorHAnsi"/>
        </w:rPr>
        <w:t xml:space="preserve">of the </w:t>
      </w:r>
      <w:r w:rsidR="002D297C" w:rsidRPr="00D94C5C">
        <w:rPr>
          <w:rFonts w:cstheme="minorHAnsi"/>
        </w:rPr>
        <w:t>hate speech campaign</w:t>
      </w:r>
      <w:r w:rsidR="004B0937">
        <w:rPr>
          <w:rFonts w:cstheme="minorHAnsi"/>
        </w:rPr>
        <w:t xml:space="preserve">s, </w:t>
      </w:r>
      <w:r w:rsidR="00E6501A">
        <w:rPr>
          <w:rFonts w:cstheme="minorHAnsi"/>
        </w:rPr>
        <w:t xml:space="preserve">they </w:t>
      </w:r>
      <w:r w:rsidR="002D297C" w:rsidRPr="00D94C5C">
        <w:rPr>
          <w:rFonts w:cstheme="minorHAnsi"/>
        </w:rPr>
        <w:t xml:space="preserve">used equality data from several focus groups, quantitative </w:t>
      </w:r>
      <w:r w:rsidR="00D768A6" w:rsidRPr="00D94C5C">
        <w:rPr>
          <w:rFonts w:cstheme="minorHAnsi"/>
        </w:rPr>
        <w:t>survey,</w:t>
      </w:r>
      <w:r w:rsidR="002D297C" w:rsidRPr="00D94C5C">
        <w:rPr>
          <w:rFonts w:cstheme="minorHAnsi"/>
        </w:rPr>
        <w:t xml:space="preserve"> and independent review.</w:t>
      </w:r>
    </w:p>
    <w:p w14:paraId="215363B5" w14:textId="76C6B076" w:rsidR="00BA1F4B" w:rsidRPr="00D94C5C" w:rsidRDefault="00BA1F4B" w:rsidP="00C538A8">
      <w:pPr>
        <w:pStyle w:val="Heading4"/>
        <w:shd w:val="clear" w:color="auto" w:fill="FEC6C6"/>
      </w:pPr>
      <w:r w:rsidRPr="00D94C5C">
        <w:t>Slovak National Centre for Human Rights</w:t>
      </w:r>
    </w:p>
    <w:p w14:paraId="53A4B647" w14:textId="3A3F63F3" w:rsidR="00BA1F4B" w:rsidRPr="00D94C5C" w:rsidRDefault="00BA1F4B" w:rsidP="00CE1825">
      <w:pPr>
        <w:spacing w:after="120" w:line="360" w:lineRule="auto"/>
        <w:rPr>
          <w:rFonts w:cstheme="minorHAnsi"/>
        </w:rPr>
      </w:pPr>
      <w:r w:rsidRPr="00D94C5C">
        <w:rPr>
          <w:rFonts w:cstheme="minorHAnsi"/>
        </w:rPr>
        <w:t xml:space="preserve">The SNCHR </w:t>
      </w:r>
      <w:r w:rsidR="00D4796C">
        <w:rPr>
          <w:rFonts w:cstheme="minorHAnsi"/>
        </w:rPr>
        <w:t>seeks</w:t>
      </w:r>
      <w:r w:rsidRPr="00D94C5C">
        <w:rPr>
          <w:rFonts w:cstheme="minorHAnsi"/>
        </w:rPr>
        <w:t xml:space="preserve"> to raise </w:t>
      </w:r>
      <w:r w:rsidR="00D768A6" w:rsidRPr="00D94C5C">
        <w:rPr>
          <w:rFonts w:cstheme="minorHAnsi"/>
        </w:rPr>
        <w:t>awareness</w:t>
      </w:r>
      <w:r w:rsidRPr="00D94C5C">
        <w:rPr>
          <w:rFonts w:cstheme="minorHAnsi"/>
        </w:rPr>
        <w:t xml:space="preserve"> through various kinds of activities</w:t>
      </w:r>
      <w:r w:rsidR="00F566EE">
        <w:rPr>
          <w:rFonts w:cstheme="minorHAnsi"/>
        </w:rPr>
        <w:t xml:space="preserve"> such as </w:t>
      </w:r>
      <w:r w:rsidR="006B2CE9">
        <w:rPr>
          <w:rFonts w:cstheme="minorHAnsi"/>
        </w:rPr>
        <w:t xml:space="preserve">engagement at educational institutions </w:t>
      </w:r>
      <w:r w:rsidRPr="00D94C5C">
        <w:rPr>
          <w:rFonts w:cstheme="minorHAnsi"/>
        </w:rPr>
        <w:t>(lectures at elementary and secondary schools), social media campaigns, public events,</w:t>
      </w:r>
      <w:r w:rsidR="004E5CAE">
        <w:rPr>
          <w:rFonts w:cstheme="minorHAnsi"/>
        </w:rPr>
        <w:t xml:space="preserve"> and</w:t>
      </w:r>
      <w:r w:rsidRPr="00D94C5C">
        <w:rPr>
          <w:rFonts w:cstheme="minorHAnsi"/>
        </w:rPr>
        <w:t xml:space="preserve"> expert meetings. Equality data are selected </w:t>
      </w:r>
      <w:r w:rsidR="00AA30BD">
        <w:rPr>
          <w:rFonts w:cstheme="minorHAnsi"/>
        </w:rPr>
        <w:t xml:space="preserve">based on </w:t>
      </w:r>
      <w:r w:rsidRPr="00D94C5C">
        <w:rPr>
          <w:rFonts w:cstheme="minorHAnsi"/>
        </w:rPr>
        <w:t xml:space="preserve">the target audience, </w:t>
      </w:r>
      <w:r w:rsidR="009D7D83">
        <w:rPr>
          <w:rFonts w:cstheme="minorHAnsi"/>
        </w:rPr>
        <w:t xml:space="preserve">for example, the SNCHR </w:t>
      </w:r>
      <w:r w:rsidR="004A2CD4">
        <w:rPr>
          <w:rFonts w:cstheme="minorHAnsi"/>
        </w:rPr>
        <w:t>focuses in their lectures on</w:t>
      </w:r>
      <w:r w:rsidRPr="00D94C5C">
        <w:rPr>
          <w:rFonts w:cstheme="minorHAnsi"/>
        </w:rPr>
        <w:t xml:space="preserve"> specific cases</w:t>
      </w:r>
      <w:r w:rsidR="004A2CD4">
        <w:rPr>
          <w:rFonts w:cstheme="minorHAnsi"/>
        </w:rPr>
        <w:t xml:space="preserve">, such as </w:t>
      </w:r>
      <w:r w:rsidRPr="00D94C5C">
        <w:rPr>
          <w:rFonts w:cstheme="minorHAnsi"/>
        </w:rPr>
        <w:t xml:space="preserve">publicly known cases </w:t>
      </w:r>
      <w:r w:rsidRPr="00D94C5C">
        <w:rPr>
          <w:rFonts w:cstheme="minorHAnsi"/>
        </w:rPr>
        <w:lastRenderedPageBreak/>
        <w:t>regarding extremism or sexual harassment</w:t>
      </w:r>
      <w:r w:rsidR="00AC43A9">
        <w:rPr>
          <w:rFonts w:cstheme="minorHAnsi"/>
        </w:rPr>
        <w:t xml:space="preserve">, </w:t>
      </w:r>
      <w:r w:rsidRPr="00D94C5C">
        <w:rPr>
          <w:rFonts w:cstheme="minorHAnsi"/>
        </w:rPr>
        <w:t xml:space="preserve">as well as </w:t>
      </w:r>
      <w:r w:rsidR="00B00970">
        <w:rPr>
          <w:rFonts w:cstheme="minorHAnsi"/>
        </w:rPr>
        <w:t>on</w:t>
      </w:r>
      <w:r w:rsidRPr="00D94C5C">
        <w:rPr>
          <w:rFonts w:cstheme="minorHAnsi"/>
        </w:rPr>
        <w:t xml:space="preserve"> selected statistics</w:t>
      </w:r>
      <w:r w:rsidR="00AC43A9">
        <w:rPr>
          <w:rFonts w:cstheme="minorHAnsi"/>
        </w:rPr>
        <w:t xml:space="preserve"> such as </w:t>
      </w:r>
      <w:r w:rsidRPr="00D94C5C">
        <w:rPr>
          <w:rFonts w:cstheme="minorHAnsi"/>
        </w:rPr>
        <w:t>gender equality</w:t>
      </w:r>
      <w:r w:rsidR="00AC43A9">
        <w:rPr>
          <w:rFonts w:cstheme="minorHAnsi"/>
        </w:rPr>
        <w:t xml:space="preserve"> data. </w:t>
      </w:r>
      <w:r w:rsidRPr="00D94C5C">
        <w:rPr>
          <w:rFonts w:cstheme="minorHAnsi"/>
        </w:rPr>
        <w:t>In</w:t>
      </w:r>
      <w:r w:rsidR="00053207">
        <w:rPr>
          <w:rFonts w:cstheme="minorHAnsi"/>
        </w:rPr>
        <w:t xml:space="preserve"> addition, </w:t>
      </w:r>
      <w:r w:rsidR="00A54D9A">
        <w:rPr>
          <w:rFonts w:cstheme="minorHAnsi"/>
        </w:rPr>
        <w:t xml:space="preserve">the </w:t>
      </w:r>
      <w:r w:rsidR="00A54D9A" w:rsidRPr="00A54D9A">
        <w:rPr>
          <w:rFonts w:cstheme="minorHAnsi"/>
        </w:rPr>
        <w:t xml:space="preserve">Slovak National Centre </w:t>
      </w:r>
      <w:r w:rsidRPr="00D94C5C">
        <w:rPr>
          <w:rFonts w:cstheme="minorHAnsi"/>
        </w:rPr>
        <w:t>often use</w:t>
      </w:r>
      <w:r w:rsidR="00A54D9A">
        <w:rPr>
          <w:rFonts w:cstheme="minorHAnsi"/>
        </w:rPr>
        <w:t>s</w:t>
      </w:r>
      <w:r w:rsidRPr="00D94C5C">
        <w:rPr>
          <w:rFonts w:cstheme="minorHAnsi"/>
        </w:rPr>
        <w:t xml:space="preserve"> findings </w:t>
      </w:r>
      <w:r w:rsidR="005647A5">
        <w:rPr>
          <w:rFonts w:cstheme="minorHAnsi"/>
        </w:rPr>
        <w:t>from</w:t>
      </w:r>
      <w:r w:rsidRPr="00D94C5C">
        <w:rPr>
          <w:rFonts w:cstheme="minorHAnsi"/>
        </w:rPr>
        <w:t xml:space="preserve"> </w:t>
      </w:r>
      <w:r w:rsidR="00A54D9A">
        <w:rPr>
          <w:rFonts w:cstheme="minorHAnsi"/>
        </w:rPr>
        <w:t>their</w:t>
      </w:r>
      <w:r w:rsidRPr="00D94C5C">
        <w:rPr>
          <w:rFonts w:cstheme="minorHAnsi"/>
        </w:rPr>
        <w:t xml:space="preserve"> research and monitoring activities</w:t>
      </w:r>
      <w:r w:rsidR="00DE2095">
        <w:rPr>
          <w:rFonts w:cstheme="minorHAnsi"/>
        </w:rPr>
        <w:t xml:space="preserve">, communicated in visually accessible formats such as </w:t>
      </w:r>
      <w:r w:rsidR="00DE2095" w:rsidRPr="00D94C5C">
        <w:rPr>
          <w:rFonts w:cstheme="minorHAnsi"/>
        </w:rPr>
        <w:t xml:space="preserve">factsheets </w:t>
      </w:r>
      <w:r w:rsidR="00DE2095">
        <w:rPr>
          <w:rFonts w:cstheme="minorHAnsi"/>
        </w:rPr>
        <w:t xml:space="preserve">and </w:t>
      </w:r>
      <w:r w:rsidR="00DE2095" w:rsidRPr="00D94C5C">
        <w:rPr>
          <w:rFonts w:cstheme="minorHAnsi"/>
        </w:rPr>
        <w:t>infographics</w:t>
      </w:r>
      <w:r w:rsidR="00DE2095">
        <w:rPr>
          <w:rFonts w:cstheme="minorHAnsi"/>
        </w:rPr>
        <w:t xml:space="preserve">, </w:t>
      </w:r>
      <w:r w:rsidR="00F12EDE">
        <w:rPr>
          <w:rFonts w:cstheme="minorHAnsi"/>
        </w:rPr>
        <w:t xml:space="preserve">for </w:t>
      </w:r>
      <w:r w:rsidR="002C557E">
        <w:rPr>
          <w:rFonts w:cstheme="minorHAnsi"/>
        </w:rPr>
        <w:t>s</w:t>
      </w:r>
      <w:r w:rsidR="00600738">
        <w:rPr>
          <w:rFonts w:cstheme="minorHAnsi"/>
        </w:rPr>
        <w:t>ustained</w:t>
      </w:r>
      <w:r w:rsidR="002C557E">
        <w:rPr>
          <w:rFonts w:cstheme="minorHAnsi"/>
        </w:rPr>
        <w:t xml:space="preserve"> </w:t>
      </w:r>
      <w:r w:rsidR="00F12EDE">
        <w:rPr>
          <w:rFonts w:cstheme="minorHAnsi"/>
        </w:rPr>
        <w:t>promotion on social media</w:t>
      </w:r>
      <w:r w:rsidR="0078726C">
        <w:rPr>
          <w:rFonts w:cstheme="minorHAnsi"/>
        </w:rPr>
        <w:t xml:space="preserve"> </w:t>
      </w:r>
      <w:r w:rsidR="002C557E">
        <w:rPr>
          <w:rFonts w:cstheme="minorHAnsi"/>
        </w:rPr>
        <w:t xml:space="preserve">over a longer </w:t>
      </w:r>
      <w:r w:rsidR="004374C9">
        <w:rPr>
          <w:rFonts w:cstheme="minorHAnsi"/>
        </w:rPr>
        <w:t>period.</w:t>
      </w:r>
      <w:r w:rsidR="00B664FD">
        <w:rPr>
          <w:rFonts w:cstheme="minorHAnsi"/>
        </w:rPr>
        <w:t xml:space="preserve"> </w:t>
      </w:r>
      <w:r w:rsidR="009D3DBF">
        <w:rPr>
          <w:rFonts w:cstheme="minorHAnsi"/>
        </w:rPr>
        <w:t xml:space="preserve">Raising awareness </w:t>
      </w:r>
      <w:r w:rsidR="00926343">
        <w:rPr>
          <w:rFonts w:cstheme="minorHAnsi"/>
        </w:rPr>
        <w:t>using</w:t>
      </w:r>
      <w:r w:rsidR="009D3DBF">
        <w:rPr>
          <w:rFonts w:cstheme="minorHAnsi"/>
        </w:rPr>
        <w:t xml:space="preserve"> equality data on social media could </w:t>
      </w:r>
      <w:r w:rsidR="00E161C1">
        <w:rPr>
          <w:rFonts w:cstheme="minorHAnsi"/>
        </w:rPr>
        <w:t>support the organization of a follow up in person</w:t>
      </w:r>
      <w:r w:rsidR="00CA2235">
        <w:rPr>
          <w:rFonts w:cstheme="minorHAnsi"/>
        </w:rPr>
        <w:t xml:space="preserve"> event such </w:t>
      </w:r>
      <w:r w:rsidR="006D3B82">
        <w:rPr>
          <w:rFonts w:cstheme="minorHAnsi"/>
        </w:rPr>
        <w:t>as a</w:t>
      </w:r>
      <w:r w:rsidR="00CA2235">
        <w:rPr>
          <w:rFonts w:cstheme="minorHAnsi"/>
        </w:rPr>
        <w:t xml:space="preserve"> </w:t>
      </w:r>
      <w:r w:rsidRPr="00D94C5C">
        <w:rPr>
          <w:rFonts w:cstheme="minorHAnsi"/>
        </w:rPr>
        <w:t xml:space="preserve">round table or </w:t>
      </w:r>
      <w:r w:rsidR="003E5978">
        <w:rPr>
          <w:rFonts w:cstheme="minorHAnsi"/>
        </w:rPr>
        <w:t xml:space="preserve">an </w:t>
      </w:r>
      <w:r w:rsidRPr="00D94C5C">
        <w:rPr>
          <w:rFonts w:cstheme="minorHAnsi"/>
        </w:rPr>
        <w:t>online podcast</w:t>
      </w:r>
      <w:r w:rsidR="003E5978">
        <w:rPr>
          <w:rFonts w:cstheme="minorHAnsi"/>
        </w:rPr>
        <w:t xml:space="preserve"> or </w:t>
      </w:r>
      <w:r w:rsidRPr="00D94C5C">
        <w:rPr>
          <w:rFonts w:cstheme="minorHAnsi"/>
        </w:rPr>
        <w:t>discussi</w:t>
      </w:r>
      <w:r w:rsidR="006D3B82">
        <w:rPr>
          <w:rFonts w:cstheme="minorHAnsi"/>
        </w:rPr>
        <w:t>on</w:t>
      </w:r>
      <w:r w:rsidRPr="00D94C5C">
        <w:rPr>
          <w:rFonts w:cstheme="minorHAnsi"/>
        </w:rPr>
        <w:t>.</w:t>
      </w:r>
      <w:r w:rsidR="001D38F1">
        <w:rPr>
          <w:rFonts w:cstheme="minorHAnsi"/>
        </w:rPr>
        <w:t xml:space="preserve"> </w:t>
      </w:r>
      <w:r w:rsidR="001D38F1" w:rsidRPr="00D94C5C">
        <w:rPr>
          <w:rFonts w:cstheme="minorHAnsi"/>
        </w:rPr>
        <w:t>In 2021,</w:t>
      </w:r>
      <w:r w:rsidR="001D38F1">
        <w:rPr>
          <w:rFonts w:cstheme="minorHAnsi"/>
        </w:rPr>
        <w:t xml:space="preserve"> the SNCHR</w:t>
      </w:r>
      <w:r w:rsidR="001D38F1" w:rsidRPr="00D94C5C">
        <w:rPr>
          <w:rFonts w:cstheme="minorHAnsi"/>
        </w:rPr>
        <w:t xml:space="preserve"> applied this</w:t>
      </w:r>
      <w:r w:rsidR="00B57893">
        <w:rPr>
          <w:rFonts w:cstheme="minorHAnsi"/>
        </w:rPr>
        <w:t xml:space="preserve"> combined</w:t>
      </w:r>
      <w:r w:rsidR="001D38F1" w:rsidRPr="00D94C5C">
        <w:rPr>
          <w:rFonts w:cstheme="minorHAnsi"/>
        </w:rPr>
        <w:t xml:space="preserve"> approach to promoti</w:t>
      </w:r>
      <w:r w:rsidR="00B57893">
        <w:rPr>
          <w:rFonts w:cstheme="minorHAnsi"/>
        </w:rPr>
        <w:t>ng</w:t>
      </w:r>
      <w:r w:rsidR="001D38F1" w:rsidRPr="00D94C5C">
        <w:rPr>
          <w:rFonts w:cstheme="minorHAnsi"/>
        </w:rPr>
        <w:t xml:space="preserve"> findings from</w:t>
      </w:r>
      <w:r w:rsidR="00D20706">
        <w:rPr>
          <w:rFonts w:cstheme="minorHAnsi"/>
        </w:rPr>
        <w:t xml:space="preserve"> </w:t>
      </w:r>
      <w:r w:rsidR="00F26EF9">
        <w:rPr>
          <w:rFonts w:cstheme="minorHAnsi"/>
        </w:rPr>
        <w:t xml:space="preserve">their </w:t>
      </w:r>
      <w:r w:rsidR="00D20706">
        <w:rPr>
          <w:rFonts w:cstheme="minorHAnsi"/>
        </w:rPr>
        <w:t>work on t</w:t>
      </w:r>
      <w:r w:rsidR="001D38F1" w:rsidRPr="00D94C5C">
        <w:rPr>
          <w:rFonts w:cstheme="minorHAnsi"/>
        </w:rPr>
        <w:t>he monitoring of discrimination and abuse of older persons</w:t>
      </w:r>
      <w:r w:rsidR="0057357C">
        <w:rPr>
          <w:rFonts w:cstheme="minorHAnsi"/>
        </w:rPr>
        <w:t xml:space="preserve">, as well as from </w:t>
      </w:r>
      <w:r w:rsidR="001D38F1" w:rsidRPr="00D94C5C">
        <w:rPr>
          <w:rFonts w:cstheme="minorHAnsi"/>
        </w:rPr>
        <w:t>qualitative research o</w:t>
      </w:r>
      <w:r w:rsidR="0057357C">
        <w:rPr>
          <w:rFonts w:cstheme="minorHAnsi"/>
        </w:rPr>
        <w:t>n</w:t>
      </w:r>
      <w:r w:rsidR="001D38F1" w:rsidRPr="00D94C5C">
        <w:rPr>
          <w:rFonts w:cstheme="minorHAnsi"/>
        </w:rPr>
        <w:t xml:space="preserve"> access to housing. </w:t>
      </w:r>
      <w:r w:rsidR="0057357C">
        <w:rPr>
          <w:rFonts w:cstheme="minorHAnsi"/>
        </w:rPr>
        <w:t>Similarly, in</w:t>
      </w:r>
      <w:r w:rsidRPr="00D94C5C">
        <w:rPr>
          <w:rFonts w:cstheme="minorHAnsi"/>
        </w:rPr>
        <w:t xml:space="preserve"> 2022, </w:t>
      </w:r>
      <w:r w:rsidR="006F5A12">
        <w:rPr>
          <w:rFonts w:cstheme="minorHAnsi"/>
        </w:rPr>
        <w:t xml:space="preserve">the </w:t>
      </w:r>
      <w:r w:rsidR="006F5A12" w:rsidRPr="00A54D9A">
        <w:rPr>
          <w:rFonts w:cstheme="minorHAnsi"/>
        </w:rPr>
        <w:t xml:space="preserve">Slovak National Centre </w:t>
      </w:r>
      <w:r w:rsidR="00312EE8">
        <w:rPr>
          <w:rFonts w:cstheme="minorHAnsi"/>
        </w:rPr>
        <w:t xml:space="preserve">raised awareness on social media using equality data </w:t>
      </w:r>
      <w:r w:rsidRPr="00D94C5C">
        <w:rPr>
          <w:rFonts w:cstheme="minorHAnsi"/>
        </w:rPr>
        <w:t xml:space="preserve">from two </w:t>
      </w:r>
      <w:r w:rsidR="00021A1B">
        <w:rPr>
          <w:rFonts w:cstheme="minorHAnsi"/>
        </w:rPr>
        <w:t xml:space="preserve">reports based on </w:t>
      </w:r>
      <w:r w:rsidRPr="00D94C5C">
        <w:rPr>
          <w:rFonts w:cstheme="minorHAnsi"/>
        </w:rPr>
        <w:t>media monitoring</w:t>
      </w:r>
      <w:r w:rsidR="00021A1B">
        <w:rPr>
          <w:rFonts w:cstheme="minorHAnsi"/>
        </w:rPr>
        <w:t>, na</w:t>
      </w:r>
      <w:r w:rsidR="004B4239">
        <w:rPr>
          <w:rFonts w:cstheme="minorHAnsi"/>
        </w:rPr>
        <w:t xml:space="preserve">mely </w:t>
      </w:r>
      <w:r w:rsidRPr="00D94C5C">
        <w:rPr>
          <w:rFonts w:cstheme="minorHAnsi"/>
        </w:rPr>
        <w:t xml:space="preserve">„How do media report on sexual </w:t>
      </w:r>
      <w:r w:rsidR="003A0C3B" w:rsidRPr="00D94C5C">
        <w:rPr>
          <w:rFonts w:cstheme="minorHAnsi"/>
        </w:rPr>
        <w:t>harassment” and</w:t>
      </w:r>
      <w:r w:rsidRPr="00D94C5C">
        <w:rPr>
          <w:rFonts w:cstheme="minorHAnsi"/>
        </w:rPr>
        <w:t xml:space="preserve"> „How do media report on domestic </w:t>
      </w:r>
      <w:r w:rsidR="003048EB" w:rsidRPr="00D94C5C">
        <w:rPr>
          <w:rFonts w:cstheme="minorHAnsi"/>
        </w:rPr>
        <w:t>violence</w:t>
      </w:r>
      <w:r w:rsidR="004B4239">
        <w:rPr>
          <w:rFonts w:cstheme="minorHAnsi"/>
        </w:rPr>
        <w:t>.</w:t>
      </w:r>
      <w:r w:rsidR="003048EB" w:rsidRPr="00D94C5C">
        <w:rPr>
          <w:rFonts w:cstheme="minorHAnsi"/>
        </w:rPr>
        <w:t>“</w:t>
      </w:r>
      <w:r w:rsidR="004B4239">
        <w:rPr>
          <w:rFonts w:cstheme="minorHAnsi"/>
        </w:rPr>
        <w:t xml:space="preserve"> </w:t>
      </w:r>
    </w:p>
    <w:p w14:paraId="1FB6D2E5" w14:textId="77777777" w:rsidR="00DC1101" w:rsidRPr="00D94C5C" w:rsidRDefault="00DC1101" w:rsidP="00C538A8">
      <w:pPr>
        <w:pStyle w:val="Heading4"/>
        <w:shd w:val="clear" w:color="auto" w:fill="FEC6C6"/>
      </w:pPr>
      <w:r w:rsidRPr="00D94C5C">
        <w:t xml:space="preserve">German Federal Anti-discrimination Agency </w:t>
      </w:r>
    </w:p>
    <w:p w14:paraId="071A5E03" w14:textId="70197DFC" w:rsidR="00DA341E" w:rsidRPr="00D94C5C" w:rsidRDefault="00B52408" w:rsidP="00CE1825">
      <w:pPr>
        <w:spacing w:after="120" w:line="360" w:lineRule="auto"/>
        <w:rPr>
          <w:rFonts w:cstheme="minorHAnsi"/>
        </w:rPr>
      </w:pPr>
      <w:r w:rsidRPr="00D94C5C">
        <w:rPr>
          <w:rFonts w:cstheme="minorHAnsi"/>
        </w:rPr>
        <w:t xml:space="preserve">FADA uses equality data in its awareness raising campaigns. For instance, between 2012 and 2017 FADA organized thematic years. Each year has been dedicated to one of the grounds protected in the General Equal Treatment Act. FADA has used research findings in its public relations work </w:t>
      </w:r>
      <w:r w:rsidR="003A0C3B" w:rsidRPr="00D94C5C">
        <w:rPr>
          <w:rFonts w:cstheme="minorHAnsi"/>
        </w:rPr>
        <w:t>to</w:t>
      </w:r>
      <w:r w:rsidRPr="00D94C5C">
        <w:rPr>
          <w:rFonts w:cstheme="minorHAnsi"/>
        </w:rPr>
        <w:t xml:space="preserve"> make visible discrimination based on the different grounds and to identify protection gaps.</w:t>
      </w:r>
    </w:p>
    <w:p w14:paraId="021E3184" w14:textId="27FC194B" w:rsidR="00F16682" w:rsidRPr="00D94C5C" w:rsidRDefault="00F16682" w:rsidP="00C538A8">
      <w:pPr>
        <w:pStyle w:val="Heading4"/>
        <w:shd w:val="clear" w:color="auto" w:fill="FEC6C6"/>
      </w:pPr>
      <w:r w:rsidRPr="00D94C5C">
        <w:t xml:space="preserve">Malta </w:t>
      </w:r>
      <w:r w:rsidR="002942EE" w:rsidRPr="002942EE">
        <w:t>National Commission for the Promotion of Equality</w:t>
      </w:r>
    </w:p>
    <w:p w14:paraId="33B76A1E" w14:textId="77777777" w:rsidR="000C3F93" w:rsidRDefault="00C2132A" w:rsidP="00CE1825">
      <w:pPr>
        <w:spacing w:after="120" w:line="360" w:lineRule="auto"/>
        <w:rPr>
          <w:rFonts w:cstheme="minorHAnsi"/>
        </w:rPr>
      </w:pPr>
      <w:r w:rsidRPr="00D94C5C">
        <w:rPr>
          <w:rFonts w:cstheme="minorHAnsi"/>
        </w:rPr>
        <w:t xml:space="preserve">"The NCPE uses equality data to create social media posts, publish articles and press statements in local newspapers, publish newsletters; </w:t>
      </w:r>
      <w:r w:rsidR="003A0C3B" w:rsidRPr="00D94C5C">
        <w:rPr>
          <w:rFonts w:cstheme="minorHAnsi"/>
        </w:rPr>
        <w:t>also,</w:t>
      </w:r>
      <w:r w:rsidRPr="00D94C5C">
        <w:rPr>
          <w:rFonts w:cstheme="minorHAnsi"/>
        </w:rPr>
        <w:t xml:space="preserve"> for presentations when organizing conferences, participating in third party conferences, meeting, etc., and when participation in audio and visual media programmes. Please refer to the following for examples in this regard:  </w:t>
      </w:r>
    </w:p>
    <w:p w14:paraId="3DD199BD" w14:textId="26F8CC9C" w:rsidR="00D55D84" w:rsidRPr="000C3F93" w:rsidRDefault="00C2132A" w:rsidP="000C3F93">
      <w:pPr>
        <w:pStyle w:val="ListParagraph"/>
        <w:numPr>
          <w:ilvl w:val="0"/>
          <w:numId w:val="14"/>
        </w:numPr>
        <w:spacing w:after="120" w:line="360" w:lineRule="auto"/>
        <w:rPr>
          <w:rFonts w:cstheme="minorHAnsi"/>
        </w:rPr>
      </w:pPr>
      <w:r w:rsidRPr="000C3F93">
        <w:rPr>
          <w:rFonts w:cstheme="minorHAnsi"/>
        </w:rPr>
        <w:t>Statistical data on the gender pay and pension gaps: In 2021, the NCPE organised an online conference to mark the Equal Pay Day</w:t>
      </w:r>
      <w:r w:rsidR="00363FF2" w:rsidRPr="000C3F93">
        <w:rPr>
          <w:rFonts w:cstheme="minorHAnsi"/>
        </w:rPr>
        <w:t xml:space="preserve">. </w:t>
      </w:r>
    </w:p>
    <w:p w14:paraId="1B40B390" w14:textId="45A35B77" w:rsidR="000C3F93" w:rsidRPr="000C3F93" w:rsidRDefault="00C2132A" w:rsidP="000C3F93">
      <w:pPr>
        <w:pStyle w:val="ListParagraph"/>
        <w:numPr>
          <w:ilvl w:val="0"/>
          <w:numId w:val="14"/>
        </w:numPr>
        <w:spacing w:after="120" w:line="360" w:lineRule="auto"/>
        <w:rPr>
          <w:rFonts w:cstheme="minorHAnsi"/>
        </w:rPr>
      </w:pPr>
      <w:r w:rsidRPr="000C3F93">
        <w:rPr>
          <w:rFonts w:cstheme="minorHAnsi"/>
        </w:rPr>
        <w:t xml:space="preserve">Data on discrimination in sport such as gender and decision-making in sport (EIGE); and data on specific grounds of discrimination extracted from reports and studies. In January 2022, the NCPE published a newsletter on ‘Equality in Sport’, posted on the NCPE’s social media platforms, uploaded on the NCPE’s </w:t>
      </w:r>
      <w:r w:rsidR="009A6098" w:rsidRPr="000C3F93">
        <w:rPr>
          <w:rFonts w:cstheme="minorHAnsi"/>
        </w:rPr>
        <w:t>website,</w:t>
      </w:r>
      <w:r w:rsidRPr="000C3F93">
        <w:rPr>
          <w:rFonts w:cstheme="minorHAnsi"/>
        </w:rPr>
        <w:t xml:space="preserve"> and disseminated to different stakeholders</w:t>
      </w:r>
      <w:r w:rsidR="00CF082F" w:rsidRPr="000C3F93">
        <w:rPr>
          <w:rFonts w:cstheme="minorHAnsi"/>
        </w:rPr>
        <w:t xml:space="preserve">. </w:t>
      </w:r>
    </w:p>
    <w:p w14:paraId="41A8F17F" w14:textId="1C3558FB" w:rsidR="00313673" w:rsidRPr="009B3B91" w:rsidRDefault="00C2132A" w:rsidP="000C3F93">
      <w:pPr>
        <w:pStyle w:val="ListParagraph"/>
        <w:numPr>
          <w:ilvl w:val="0"/>
          <w:numId w:val="14"/>
        </w:numPr>
        <w:spacing w:after="120" w:line="360" w:lineRule="auto"/>
      </w:pPr>
      <w:r w:rsidRPr="000C3F93">
        <w:rPr>
          <w:rFonts w:cstheme="minorHAnsi"/>
        </w:rPr>
        <w:t>Data on women as scientific researchers, and data on women graduates in STEM in Malta. On the International Day of Women and Girls in Science 2022, the NCPE shared quotes and statistics on its social media platforms to raise awareness on gender imbalance in science. Moreover, the NCPE published an article in a local newspaper sharing the experiences of two female scientists, interviewed by the NCPE."</w:t>
      </w:r>
    </w:p>
    <w:p w14:paraId="40B9DF43" w14:textId="77777777" w:rsidR="00CD06D1" w:rsidRPr="009B3B91" w:rsidRDefault="00CD06D1" w:rsidP="00CE1825">
      <w:pPr>
        <w:spacing w:after="120" w:line="360" w:lineRule="auto"/>
      </w:pPr>
    </w:p>
    <w:sectPr w:rsidR="00CD06D1" w:rsidRPr="009B3B91">
      <w:headerReference w:type="default" r:id="rId5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AF3C1E" w14:textId="77777777" w:rsidR="00930C70" w:rsidRDefault="00930C70" w:rsidP="00E3137F">
      <w:pPr>
        <w:spacing w:after="0" w:line="240" w:lineRule="auto"/>
      </w:pPr>
      <w:r>
        <w:separator/>
      </w:r>
    </w:p>
  </w:endnote>
  <w:endnote w:type="continuationSeparator" w:id="0">
    <w:p w14:paraId="04660681" w14:textId="77777777" w:rsidR="00930C70" w:rsidRDefault="00930C70" w:rsidP="00E3137F">
      <w:pPr>
        <w:spacing w:after="0" w:line="240" w:lineRule="auto"/>
      </w:pPr>
      <w:r>
        <w:continuationSeparator/>
      </w:r>
    </w:p>
  </w:endnote>
  <w:endnote w:type="continuationNotice" w:id="1">
    <w:p w14:paraId="7966C2E7" w14:textId="77777777" w:rsidR="00930C70" w:rsidRDefault="00930C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INPro-Bold">
    <w:panose1 w:val="02000503030000020004"/>
    <w:charset w:val="00"/>
    <w:family w:val="modern"/>
    <w:notTrueType/>
    <w:pitch w:val="variable"/>
    <w:sig w:usb0="800002AF" w:usb1="4000206A" w:usb2="00000000" w:usb3="00000000" w:csb0="0000009F" w:csb1="00000000"/>
  </w:font>
  <w:font w:name="DINPro-Black">
    <w:panose1 w:val="02000503030000020004"/>
    <w:charset w:val="00"/>
    <w:family w:val="modern"/>
    <w:notTrueType/>
    <w:pitch w:val="variable"/>
    <w:sig w:usb0="800002AF" w:usb1="4000206A" w:usb2="00000000" w:usb3="00000000" w:csb0="0000009F" w:csb1="00000000"/>
  </w:font>
  <w:font w:name="DINPro-Light">
    <w:panose1 w:val="02000504040000020003"/>
    <w:charset w:val="00"/>
    <w:family w:val="modern"/>
    <w:notTrueType/>
    <w:pitch w:val="variable"/>
    <w:sig w:usb0="800002AF" w:usb1="4000206A"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7287B" w14:textId="77777777" w:rsidR="00F07DAE" w:rsidRDefault="00F07DAE">
    <w:pPr>
      <w:pStyle w:val="Footer"/>
      <w:jc w:val="right"/>
      <w:rPr>
        <w:color w:val="22489E"/>
      </w:rPr>
    </w:pPr>
  </w:p>
  <w:sdt>
    <w:sdtPr>
      <w:id w:val="-1597239919"/>
      <w:docPartObj>
        <w:docPartGallery w:val="Page Numbers (Bottom of Page)"/>
        <w:docPartUnique/>
      </w:docPartObj>
    </w:sdtPr>
    <w:sdtEndPr>
      <w:rPr>
        <w:noProof/>
      </w:rPr>
    </w:sdtEndPr>
    <w:sdtContent>
      <w:p w14:paraId="6538E666" w14:textId="77777777" w:rsidR="00F07DAE" w:rsidRDefault="00F07DAE" w:rsidP="005D7141">
        <w:pPr>
          <w:pStyle w:val="Footer"/>
          <w:jc w:val="right"/>
        </w:pPr>
        <w:r w:rsidRPr="006D43B2">
          <w:rPr>
            <w:rFonts w:ascii="DINPro-Bold" w:hAnsi="DINPro-Bold"/>
            <w:noProof/>
            <w:color w:val="22489E"/>
          </w:rPr>
          <mc:AlternateContent>
            <mc:Choice Requires="wps">
              <w:drawing>
                <wp:anchor distT="0" distB="0" distL="114300" distR="114300" simplePos="0" relativeHeight="251658240" behindDoc="0" locked="0" layoutInCell="1" allowOverlap="1" wp14:anchorId="0C414B6B" wp14:editId="3FF6EEC2">
                  <wp:simplePos x="0" y="0"/>
                  <wp:positionH relativeFrom="column">
                    <wp:posOffset>5790565</wp:posOffset>
                  </wp:positionH>
                  <wp:positionV relativeFrom="paragraph">
                    <wp:posOffset>9998</wp:posOffset>
                  </wp:positionV>
                  <wp:extent cx="10160" cy="900000"/>
                  <wp:effectExtent l="19050" t="19050" r="27940" b="33655"/>
                  <wp:wrapNone/>
                  <wp:docPr id="161542327" name="Straight Connector 1615423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0160" cy="900000"/>
                          </a:xfrm>
                          <a:prstGeom prst="line">
                            <a:avLst/>
                          </a:prstGeom>
                          <a:noFill/>
                          <a:ln w="38100" cap="flat" cmpd="sng" algn="ctr">
                            <a:solidFill>
                              <a:srgbClr val="22489E"/>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09DBF1" id="Straight Connector 161542327" o:spid="_x0000_s1026" alt="&quot;&quot;"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95pt,.8pt" to="456.75pt,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" strokecolor="#22489e" strokeweight="3pt">
                  <v:stroke joinstyle="miter"/>
                </v:line>
              </w:pict>
            </mc:Fallback>
          </mc:AlternateContent>
        </w:r>
        <w:r>
          <w:fldChar w:fldCharType="begin"/>
        </w:r>
        <w:r>
          <w:instrText xml:space="preserve"> PAGE   \* MERGEFORMAT </w:instrText>
        </w:r>
        <w:r>
          <w:fldChar w:fldCharType="separate"/>
        </w:r>
        <w:r>
          <w:t>iv</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D6CF8" w14:textId="77777777" w:rsidR="007C7247" w:rsidRDefault="007C724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497676"/>
      <w:docPartObj>
        <w:docPartGallery w:val="Page Numbers (Bottom of Page)"/>
        <w:docPartUnique/>
      </w:docPartObj>
    </w:sdtPr>
    <w:sdtEndPr>
      <w:rPr>
        <w:noProof/>
      </w:rPr>
    </w:sdtEndPr>
    <w:sdtContent>
      <w:p w14:paraId="79299D02" w14:textId="77777777" w:rsidR="007C7247" w:rsidRDefault="007C7247" w:rsidP="00BF1EC6">
        <w:pPr>
          <w:pStyle w:val="Footer"/>
          <w:jc w:val="right"/>
        </w:pPr>
        <w:r w:rsidRPr="006D43B2">
          <w:rPr>
            <w:rFonts w:ascii="DINPro-Bold" w:hAnsi="DINPro-Bold"/>
            <w:noProof/>
            <w:color w:val="22489E"/>
          </w:rPr>
          <mc:AlternateContent>
            <mc:Choice Requires="wps">
              <w:drawing>
                <wp:anchor distT="0" distB="0" distL="114300" distR="114300" simplePos="0" relativeHeight="251658245" behindDoc="0" locked="0" layoutInCell="1" allowOverlap="1" wp14:anchorId="53D9F956" wp14:editId="6C3F4C9A">
                  <wp:simplePos x="0" y="0"/>
                  <wp:positionH relativeFrom="column">
                    <wp:posOffset>5780405</wp:posOffset>
                  </wp:positionH>
                  <wp:positionV relativeFrom="paragraph">
                    <wp:posOffset>47625</wp:posOffset>
                  </wp:positionV>
                  <wp:extent cx="10160" cy="900000"/>
                  <wp:effectExtent l="19050" t="19050" r="27940" b="33655"/>
                  <wp:wrapNone/>
                  <wp:docPr id="1803231760" name="Straight Connector 18032317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0160" cy="900000"/>
                          </a:xfrm>
                          <a:prstGeom prst="line">
                            <a:avLst/>
                          </a:prstGeom>
                          <a:noFill/>
                          <a:ln w="38100" cap="flat" cmpd="sng" algn="ctr">
                            <a:solidFill>
                              <a:srgbClr val="22489E"/>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2A2AB2" id="Straight Connector 1803231760" o:spid="_x0000_s1026" alt="&quot;&quot;" style="position:absolute;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15pt,3.75pt" to="455.9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" strokecolor="#22489e" strokeweight="3pt">
                  <v:stroke joinstyle="miter"/>
                </v:line>
              </w:pict>
            </mc:Fallback>
          </mc:AlternateContent>
        </w:r>
        <w:r>
          <w:fldChar w:fldCharType="begin"/>
        </w:r>
        <w:r>
          <w:instrText xml:space="preserve"> PAGE   \* MERGEFORMAT </w:instrText>
        </w:r>
        <w:r>
          <w:fldChar w:fldCharType="separate"/>
        </w:r>
        <w:r>
          <w:t>ii</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E6E0C" w14:textId="77777777" w:rsidR="00F07DAE" w:rsidRDefault="00F07DAE" w:rsidP="005D7141">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1936284"/>
      <w:docPartObj>
        <w:docPartGallery w:val="Page Numbers (Bottom of Page)"/>
        <w:docPartUnique/>
      </w:docPartObj>
    </w:sdtPr>
    <w:sdtEndPr>
      <w:rPr>
        <w:noProof/>
      </w:rPr>
    </w:sdtEndPr>
    <w:sdtContent>
      <w:p w14:paraId="5452C296" w14:textId="77777777" w:rsidR="00F07DAE" w:rsidRDefault="00F07DAE" w:rsidP="005D7141">
        <w:pPr>
          <w:pStyle w:val="Footer"/>
          <w:jc w:val="right"/>
        </w:pPr>
        <w:r w:rsidRPr="006D43B2">
          <w:rPr>
            <w:rFonts w:ascii="DINPro-Bold" w:hAnsi="DINPro-Bold"/>
            <w:noProof/>
            <w:color w:val="22489E"/>
          </w:rPr>
          <mc:AlternateContent>
            <mc:Choice Requires="wps">
              <w:drawing>
                <wp:anchor distT="0" distB="0" distL="114300" distR="114300" simplePos="0" relativeHeight="251658241" behindDoc="0" locked="0" layoutInCell="1" allowOverlap="1" wp14:anchorId="7F326CBA" wp14:editId="4C821D1F">
                  <wp:simplePos x="0" y="0"/>
                  <wp:positionH relativeFrom="column">
                    <wp:posOffset>5790565</wp:posOffset>
                  </wp:positionH>
                  <wp:positionV relativeFrom="paragraph">
                    <wp:posOffset>9998</wp:posOffset>
                  </wp:positionV>
                  <wp:extent cx="10160" cy="900000"/>
                  <wp:effectExtent l="19050" t="19050" r="27940" b="33655"/>
                  <wp:wrapNone/>
                  <wp:docPr id="1229981723" name="Straight Connector 12299817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0160" cy="900000"/>
                          </a:xfrm>
                          <a:prstGeom prst="line">
                            <a:avLst/>
                          </a:prstGeom>
                          <a:noFill/>
                          <a:ln w="38100" cap="flat" cmpd="sng" algn="ctr">
                            <a:solidFill>
                              <a:srgbClr val="22489E"/>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955049" id="Straight Connector 1229981723" o:spid="_x0000_s1026" alt="&quot;&quot;" style="position:absolute;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95pt,.8pt" to="456.75pt,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" strokecolor="#22489e" strokeweight="3pt">
                  <v:stroke joinstyle="miter"/>
                </v:line>
              </w:pict>
            </mc:Fallback>
          </mc:AlternateContent>
        </w:r>
        <w:r>
          <w:fldChar w:fldCharType="begin"/>
        </w:r>
        <w:r>
          <w:instrText xml:space="preserve"> PAGE   \* MERGEFORMAT </w:instrText>
        </w:r>
        <w:r>
          <w:fldChar w:fldCharType="separate"/>
        </w:r>
        <w:r>
          <w:t>ii</w:t>
        </w:r>
        <w:r>
          <w:rPr>
            <w:noProof/>
          </w:rPr>
          <w:fldChar w:fldCharType="end"/>
        </w:r>
      </w:p>
    </w:sdtContent>
  </w:sdt>
  <w:p w14:paraId="05FFE23A" w14:textId="77777777" w:rsidR="00F07DAE" w:rsidRDefault="00F07DAE">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0109619"/>
      <w:docPartObj>
        <w:docPartGallery w:val="Page Numbers (Bottom of Page)"/>
        <w:docPartUnique/>
      </w:docPartObj>
    </w:sdtPr>
    <w:sdtEndPr>
      <w:rPr>
        <w:noProof/>
      </w:rPr>
    </w:sdtEndPr>
    <w:sdtContent>
      <w:p w14:paraId="5C031838" w14:textId="77777777" w:rsidR="00F07DAE" w:rsidRDefault="00F07DAE" w:rsidP="005D7141">
        <w:pPr>
          <w:pStyle w:val="Footer"/>
          <w:jc w:val="right"/>
        </w:pPr>
        <w:r w:rsidRPr="006D43B2">
          <w:rPr>
            <w:rFonts w:ascii="DINPro-Bold" w:hAnsi="DINPro-Bold"/>
            <w:noProof/>
            <w:color w:val="22489E"/>
          </w:rPr>
          <mc:AlternateContent>
            <mc:Choice Requires="wps">
              <w:drawing>
                <wp:anchor distT="0" distB="0" distL="114300" distR="114300" simplePos="0" relativeHeight="251658242" behindDoc="0" locked="0" layoutInCell="1" allowOverlap="1" wp14:anchorId="36A40A59" wp14:editId="4E2DDB3D">
                  <wp:simplePos x="0" y="0"/>
                  <wp:positionH relativeFrom="column">
                    <wp:posOffset>5790565</wp:posOffset>
                  </wp:positionH>
                  <wp:positionV relativeFrom="paragraph">
                    <wp:posOffset>9998</wp:posOffset>
                  </wp:positionV>
                  <wp:extent cx="10160" cy="900000"/>
                  <wp:effectExtent l="19050" t="19050" r="27940" b="33655"/>
                  <wp:wrapNone/>
                  <wp:docPr id="1822248068" name="Straight Connector 18222480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0160" cy="900000"/>
                          </a:xfrm>
                          <a:prstGeom prst="line">
                            <a:avLst/>
                          </a:prstGeom>
                          <a:noFill/>
                          <a:ln w="38100" cap="flat" cmpd="sng" algn="ctr">
                            <a:solidFill>
                              <a:srgbClr val="22489E"/>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58A97B" id="Straight Connector 1822248068" o:spid="_x0000_s1026" alt="&quot;&quot;" style="position:absolute;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95pt,.8pt" to="456.75pt,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" strokecolor="#22489e" strokeweight="3pt">
                  <v:stroke joinstyle="miter"/>
                </v:line>
              </w:pict>
            </mc:Fallback>
          </mc:AlternateContent>
        </w:r>
        <w:r>
          <w:fldChar w:fldCharType="begin"/>
        </w:r>
        <w:r>
          <w:instrText xml:space="preserve"> PAGE   \* MERGEFORMAT </w:instrText>
        </w:r>
        <w:r>
          <w:fldChar w:fldCharType="separate"/>
        </w:r>
        <w:r>
          <w:t>13</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EB8FB" w14:textId="77777777" w:rsidR="00C96E10" w:rsidRDefault="00C96E1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7375064"/>
      <w:docPartObj>
        <w:docPartGallery w:val="Page Numbers (Bottom of Page)"/>
        <w:docPartUnique/>
      </w:docPartObj>
    </w:sdtPr>
    <w:sdtEndPr>
      <w:rPr>
        <w:noProof/>
      </w:rPr>
    </w:sdtEndPr>
    <w:sdtContent>
      <w:p w14:paraId="369E387B" w14:textId="77777777" w:rsidR="00BF1EC6" w:rsidRDefault="00BF1EC6" w:rsidP="00BF1EC6">
        <w:pPr>
          <w:pStyle w:val="Footer"/>
          <w:jc w:val="right"/>
        </w:pPr>
        <w:r w:rsidRPr="006D43B2">
          <w:rPr>
            <w:rFonts w:ascii="DINPro-Bold" w:hAnsi="DINPro-Bold"/>
            <w:noProof/>
            <w:color w:val="22489E"/>
          </w:rPr>
          <mc:AlternateContent>
            <mc:Choice Requires="wps">
              <w:drawing>
                <wp:anchor distT="0" distB="0" distL="114300" distR="114300" simplePos="0" relativeHeight="251658243" behindDoc="0" locked="0" layoutInCell="1" allowOverlap="1" wp14:anchorId="6EE99BA6" wp14:editId="7E0F0D4D">
                  <wp:simplePos x="0" y="0"/>
                  <wp:positionH relativeFrom="column">
                    <wp:posOffset>5780405</wp:posOffset>
                  </wp:positionH>
                  <wp:positionV relativeFrom="paragraph">
                    <wp:posOffset>47625</wp:posOffset>
                  </wp:positionV>
                  <wp:extent cx="10160" cy="900000"/>
                  <wp:effectExtent l="19050" t="19050" r="27940" b="33655"/>
                  <wp:wrapNone/>
                  <wp:docPr id="152841371" name="Straight Connector 1528413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0160" cy="900000"/>
                          </a:xfrm>
                          <a:prstGeom prst="line">
                            <a:avLst/>
                          </a:prstGeom>
                          <a:noFill/>
                          <a:ln w="38100" cap="flat" cmpd="sng" algn="ctr">
                            <a:solidFill>
                              <a:srgbClr val="22489E"/>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837395" id="Straight Connector 152841371" o:spid="_x0000_s1026" alt="&quot;&quot;" style="position:absolute;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15pt,3.75pt" to="455.9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" strokecolor="#22489e" strokeweight="3pt">
                  <v:stroke joinstyle="miter"/>
                </v:line>
              </w:pict>
            </mc:Fallback>
          </mc:AlternateContent>
        </w:r>
        <w:r>
          <w:fldChar w:fldCharType="begin"/>
        </w:r>
        <w:r>
          <w:instrText xml:space="preserve"> PAGE   \* MERGEFORMAT </w:instrText>
        </w:r>
        <w:r>
          <w:fldChar w:fldCharType="separate"/>
        </w:r>
        <w:r>
          <w:t>ii</w:t>
        </w:r>
        <w:r>
          <w:rPr>
            <w:noProof/>
          </w:rPr>
          <w:fldChar w:fldCharType="end"/>
        </w:r>
      </w:p>
    </w:sdtContent>
  </w:sdt>
  <w:p w14:paraId="7E3D96E1" w14:textId="4EA190F4" w:rsidR="00DE5658" w:rsidRDefault="00DE5658" w:rsidP="00BF1EC6">
    <w:pPr>
      <w:pStyle w:val="Footer"/>
      <w:jc w:val="right"/>
    </w:pPr>
  </w:p>
  <w:p w14:paraId="108C7438" w14:textId="77777777" w:rsidR="00DE5658" w:rsidRDefault="00DE565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05B1B" w14:textId="77777777" w:rsidR="00C96E10" w:rsidRDefault="00C96E1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F8188" w14:textId="77777777" w:rsidR="00B1777F" w:rsidRDefault="00B1777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621427"/>
      <w:docPartObj>
        <w:docPartGallery w:val="Page Numbers (Bottom of Page)"/>
        <w:docPartUnique/>
      </w:docPartObj>
    </w:sdtPr>
    <w:sdtEndPr>
      <w:rPr>
        <w:noProof/>
      </w:rPr>
    </w:sdtEndPr>
    <w:sdtContent>
      <w:p w14:paraId="3419DE3C" w14:textId="77777777" w:rsidR="00B1777F" w:rsidRDefault="00B1777F" w:rsidP="00BF1EC6">
        <w:pPr>
          <w:pStyle w:val="Footer"/>
          <w:jc w:val="right"/>
        </w:pPr>
        <w:r w:rsidRPr="006D43B2">
          <w:rPr>
            <w:rFonts w:ascii="DINPro-Bold" w:hAnsi="DINPro-Bold"/>
            <w:noProof/>
            <w:color w:val="22489E"/>
          </w:rPr>
          <mc:AlternateContent>
            <mc:Choice Requires="wps">
              <w:drawing>
                <wp:anchor distT="0" distB="0" distL="114300" distR="114300" simplePos="0" relativeHeight="251658244" behindDoc="0" locked="0" layoutInCell="1" allowOverlap="1" wp14:anchorId="05EDA97A" wp14:editId="098B68F8">
                  <wp:simplePos x="0" y="0"/>
                  <wp:positionH relativeFrom="column">
                    <wp:posOffset>5780405</wp:posOffset>
                  </wp:positionH>
                  <wp:positionV relativeFrom="paragraph">
                    <wp:posOffset>47625</wp:posOffset>
                  </wp:positionV>
                  <wp:extent cx="10160" cy="900000"/>
                  <wp:effectExtent l="19050" t="19050" r="27940" b="33655"/>
                  <wp:wrapNone/>
                  <wp:docPr id="1452280169" name="Straight Connector 14522801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0160" cy="900000"/>
                          </a:xfrm>
                          <a:prstGeom prst="line">
                            <a:avLst/>
                          </a:prstGeom>
                          <a:noFill/>
                          <a:ln w="38100" cap="flat" cmpd="sng" algn="ctr">
                            <a:solidFill>
                              <a:srgbClr val="22489E"/>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7ED258" id="Straight Connector 1452280169" o:spid="_x0000_s1026" alt="&quot;&quot;" style="position:absolute;flip:x;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15pt,3.75pt" to="455.9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" strokecolor="#22489e" strokeweight="3pt">
                  <v:stroke joinstyle="miter"/>
                </v:line>
              </w:pict>
            </mc:Fallback>
          </mc:AlternateContent>
        </w:r>
        <w:r>
          <w:fldChar w:fldCharType="begin"/>
        </w:r>
        <w:r>
          <w:instrText xml:space="preserve"> PAGE   \* MERGEFORMAT </w:instrText>
        </w:r>
        <w:r>
          <w:fldChar w:fldCharType="separate"/>
        </w:r>
        <w:r>
          <w:t>ii</w:t>
        </w:r>
        <w:r>
          <w:rPr>
            <w:noProof/>
          </w:rPr>
          <w:fldChar w:fldCharType="end"/>
        </w:r>
      </w:p>
    </w:sdtContent>
  </w:sdt>
  <w:p w14:paraId="5F6F723F" w14:textId="77777777" w:rsidR="00B1777F" w:rsidRDefault="00B1777F" w:rsidP="00BF1EC6">
    <w:pPr>
      <w:pStyle w:val="Footer"/>
      <w:jc w:val="right"/>
    </w:pPr>
  </w:p>
  <w:p w14:paraId="517EBB8B" w14:textId="77777777" w:rsidR="00B1777F" w:rsidRDefault="00B177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F5186C" w14:textId="77777777" w:rsidR="00930C70" w:rsidRDefault="00930C70" w:rsidP="00E3137F">
      <w:pPr>
        <w:spacing w:after="0" w:line="240" w:lineRule="auto"/>
      </w:pPr>
      <w:r>
        <w:separator/>
      </w:r>
    </w:p>
  </w:footnote>
  <w:footnote w:type="continuationSeparator" w:id="0">
    <w:p w14:paraId="1B702F35" w14:textId="77777777" w:rsidR="00930C70" w:rsidRDefault="00930C70" w:rsidP="00E3137F">
      <w:pPr>
        <w:spacing w:after="0" w:line="240" w:lineRule="auto"/>
      </w:pPr>
      <w:r>
        <w:continuationSeparator/>
      </w:r>
    </w:p>
  </w:footnote>
  <w:footnote w:type="continuationNotice" w:id="1">
    <w:p w14:paraId="72A85D01" w14:textId="77777777" w:rsidR="00930C70" w:rsidRDefault="00930C70">
      <w:pPr>
        <w:spacing w:after="0" w:line="240" w:lineRule="auto"/>
      </w:pPr>
    </w:p>
  </w:footnote>
  <w:footnote w:id="2">
    <w:p w14:paraId="446E1D7D" w14:textId="77777777" w:rsidR="0058114C" w:rsidRDefault="0058114C" w:rsidP="0058114C">
      <w:pPr>
        <w:pStyle w:val="FootnoteText"/>
      </w:pPr>
      <w:r>
        <w:rPr>
          <w:rStyle w:val="FootnoteReference"/>
        </w:rPr>
        <w:footnoteRef/>
      </w:r>
      <w:r>
        <w:t xml:space="preserve"> </w:t>
      </w:r>
      <w:r w:rsidRPr="00FD7748">
        <w:rPr>
          <w:sz w:val="18"/>
          <w:szCs w:val="18"/>
        </w:rPr>
        <w:t>https://www.stat.si/statweb/news/index/4916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0099C" w14:textId="77777777" w:rsidR="00F07DAE" w:rsidRDefault="00F07DAE">
    <w:pPr>
      <w:pStyle w:val="Header"/>
      <w:tabs>
        <w:tab w:val="clear" w:pos="4513"/>
        <w:tab w:val="clear" w:pos="9026"/>
        <w:tab w:val="left" w:pos="6348"/>
      </w:tabs>
    </w:pPr>
    <w:r>
      <w:tab/>
    </w:r>
  </w:p>
  <w:p w14:paraId="1CBD8E6D" w14:textId="77777777" w:rsidR="00F07DAE" w:rsidRDefault="00F07DAE">
    <w:pPr>
      <w:pStyle w:val="Header"/>
      <w:tabs>
        <w:tab w:val="clear" w:pos="4513"/>
        <w:tab w:val="clear" w:pos="9026"/>
        <w:tab w:val="left" w:pos="6348"/>
      </w:tabs>
    </w:pP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7598A" w14:textId="2EE5B868" w:rsidR="00412BF2" w:rsidRDefault="00C538A8">
    <w:pPr>
      <w:pStyle w:val="Header"/>
    </w:pPr>
    <w:r>
      <w:rPr>
        <w:noProof/>
      </w:rPr>
      <mc:AlternateContent>
        <mc:Choice Requires="wps">
          <w:drawing>
            <wp:anchor distT="0" distB="0" distL="114300" distR="114300" simplePos="0" relativeHeight="251663370" behindDoc="0" locked="0" layoutInCell="1" allowOverlap="1" wp14:anchorId="3DE0394F" wp14:editId="1E3B3B8F">
              <wp:simplePos x="0" y="0"/>
              <wp:positionH relativeFrom="column">
                <wp:posOffset>-922020</wp:posOffset>
              </wp:positionH>
              <wp:positionV relativeFrom="paragraph">
                <wp:posOffset>-449580</wp:posOffset>
              </wp:positionV>
              <wp:extent cx="7620000" cy="609600"/>
              <wp:effectExtent l="0" t="0" r="0" b="0"/>
              <wp:wrapNone/>
              <wp:docPr id="91718419"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0000" cy="609600"/>
                      </a:xfrm>
                      <a:prstGeom prst="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113C96" id="Rectangle 14" o:spid="_x0000_s1026" alt="&quot;&quot;" style="position:absolute;margin-left:-72.6pt;margin-top:-35.4pt;width:600pt;height:48pt;z-index:2516633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" fillcolor="#c00000" stroked="f" strokeweight="1pt"/>
          </w:pict>
        </mc:Fallback>
      </mc:AlternateContent>
    </w:r>
    <w:r w:rsidR="00412BF2">
      <w:rPr>
        <w:noProof/>
      </w:rPr>
      <mc:AlternateContent>
        <mc:Choice Requires="wps">
          <w:drawing>
            <wp:anchor distT="0" distB="0" distL="114300" distR="114300" simplePos="0" relativeHeight="251658250" behindDoc="0" locked="0" layoutInCell="1" allowOverlap="1" wp14:anchorId="52E3050F" wp14:editId="61689020">
              <wp:simplePos x="0" y="0"/>
              <wp:positionH relativeFrom="column">
                <wp:posOffset>-914400</wp:posOffset>
              </wp:positionH>
              <wp:positionV relativeFrom="paragraph">
                <wp:posOffset>-449580</wp:posOffset>
              </wp:positionV>
              <wp:extent cx="7772400" cy="609600"/>
              <wp:effectExtent l="0" t="0" r="0" b="0"/>
              <wp:wrapNone/>
              <wp:docPr id="988504576"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609600"/>
                      </a:xfrm>
                      <a:prstGeom prst="rect">
                        <a:avLst/>
                      </a:prstGeom>
                      <a:solidFill>
                        <a:srgbClr val="1FC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283466" id="Rectangle 3" o:spid="_x0000_s1026" alt="&quot;&quot;" style="position:absolute;margin-left:-1in;margin-top:-35.4pt;width:612pt;height:48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" fillcolor="#1fcfff"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BB558" w14:textId="77777777" w:rsidR="00F07DAE" w:rsidRDefault="00F07DAE">
    <w:pPr>
      <w:pStyle w:val="Heade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FEAFF" w14:textId="7129722E" w:rsidR="00C96E10" w:rsidRDefault="00C96E1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7ED90" w14:textId="4C7F3DD7" w:rsidR="00C96E10" w:rsidRDefault="00C96E1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650E1" w14:textId="0D181D51" w:rsidR="00C96E10" w:rsidRDefault="00C96E1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F4379" w14:textId="35726872" w:rsidR="00064B55" w:rsidRDefault="00E944A2">
    <w:pPr>
      <w:pStyle w:val="Header"/>
    </w:pPr>
    <w:r>
      <w:rPr>
        <w:noProof/>
      </w:rPr>
      <mc:AlternateContent>
        <mc:Choice Requires="wps">
          <w:drawing>
            <wp:anchor distT="0" distB="0" distL="114300" distR="114300" simplePos="0" relativeHeight="251659274" behindDoc="0" locked="0" layoutInCell="1" allowOverlap="1" wp14:anchorId="011D9F21" wp14:editId="648C278F">
              <wp:simplePos x="0" y="0"/>
              <wp:positionH relativeFrom="column">
                <wp:posOffset>-937260</wp:posOffset>
              </wp:positionH>
              <wp:positionV relativeFrom="paragraph">
                <wp:posOffset>-441960</wp:posOffset>
              </wp:positionV>
              <wp:extent cx="7597140" cy="613410"/>
              <wp:effectExtent l="0" t="0" r="3810" b="0"/>
              <wp:wrapNone/>
              <wp:docPr id="1534797794"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7140" cy="613410"/>
                      </a:xfrm>
                      <a:prstGeom prst="rect">
                        <a:avLst/>
                      </a:prstGeom>
                      <a:solidFill>
                        <a:srgbClr val="7030A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611E50" id="Rectangle 10" o:spid="_x0000_s1026" alt="&quot;&quot;" style="position:absolute;margin-left:-73.8pt;margin-top:-34.8pt;width:598.2pt;height:48.3pt;z-index:25165927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" fillcolor="#7030a0" stroked="f" strokeweight="1pt"/>
          </w:pict>
        </mc:Fallback>
      </mc:AlternateContent>
    </w:r>
    <w:r w:rsidR="00BB1167">
      <w:rPr>
        <w:noProof/>
      </w:rPr>
      <w:drawing>
        <wp:anchor distT="0" distB="0" distL="114300" distR="114300" simplePos="0" relativeHeight="251658248" behindDoc="1" locked="0" layoutInCell="1" allowOverlap="1" wp14:anchorId="19445ECD" wp14:editId="6554AC5F">
          <wp:simplePos x="0" y="0"/>
          <wp:positionH relativeFrom="column">
            <wp:posOffset>-1032510</wp:posOffset>
          </wp:positionH>
          <wp:positionV relativeFrom="paragraph">
            <wp:posOffset>-1016635</wp:posOffset>
          </wp:positionV>
          <wp:extent cx="8163560" cy="1184910"/>
          <wp:effectExtent l="0" t="0" r="8890" b="0"/>
          <wp:wrapTight wrapText="bothSides">
            <wp:wrapPolygon edited="0">
              <wp:start x="0" y="0"/>
              <wp:lineTo x="0" y="21183"/>
              <wp:lineTo x="21573" y="21183"/>
              <wp:lineTo x="21573" y="0"/>
              <wp:lineTo x="0" y="0"/>
            </wp:wrapPolygon>
          </wp:wrapTight>
          <wp:docPr id="43889258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45510"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163560" cy="1184910"/>
                  </a:xfrm>
                  <a:prstGeom prst="rect">
                    <a:avLst/>
                  </a:prstGeom>
                  <a:solidFill>
                    <a:srgbClr val="7030A0"/>
                  </a:solidFill>
                </pic:spPr>
              </pic:pic>
            </a:graphicData>
          </a:graphic>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01A5D" w14:textId="53B82079" w:rsidR="00DB3D99" w:rsidRDefault="00887204">
    <w:pPr>
      <w:pStyle w:val="Header"/>
    </w:pPr>
    <w:r>
      <w:rPr>
        <w:noProof/>
      </w:rPr>
      <mc:AlternateContent>
        <mc:Choice Requires="wps">
          <w:drawing>
            <wp:anchor distT="0" distB="0" distL="114300" distR="114300" simplePos="0" relativeHeight="251660298" behindDoc="0" locked="0" layoutInCell="1" allowOverlap="1" wp14:anchorId="59C2A84F" wp14:editId="6FD69255">
              <wp:simplePos x="0" y="0"/>
              <wp:positionH relativeFrom="column">
                <wp:posOffset>-914400</wp:posOffset>
              </wp:positionH>
              <wp:positionV relativeFrom="paragraph">
                <wp:posOffset>-434340</wp:posOffset>
              </wp:positionV>
              <wp:extent cx="7642860" cy="631190"/>
              <wp:effectExtent l="0" t="0" r="0" b="0"/>
              <wp:wrapNone/>
              <wp:docPr id="636142006"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42860" cy="631190"/>
                      </a:xfrm>
                      <a:prstGeom prst="rect">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88BC8A" id="Rectangle 11" o:spid="_x0000_s1026" alt="&quot;&quot;" style="position:absolute;margin-left:-1in;margin-top:-34.2pt;width:601.8pt;height:49.7pt;z-index:25166029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" fillcolor="#0070c0" stroked="f" strokeweight="1pt"/>
          </w:pict>
        </mc:Fallback>
      </mc:AlternateContent>
    </w:r>
    <w:r w:rsidR="00DB3D99">
      <w:rPr>
        <w:noProof/>
      </w:rPr>
      <w:drawing>
        <wp:anchor distT="0" distB="0" distL="114300" distR="114300" simplePos="0" relativeHeight="251658246" behindDoc="1" locked="0" layoutInCell="1" allowOverlap="1" wp14:anchorId="11402BD1" wp14:editId="15B8B613">
          <wp:simplePos x="0" y="0"/>
          <wp:positionH relativeFrom="column">
            <wp:posOffset>-1371600</wp:posOffset>
          </wp:positionH>
          <wp:positionV relativeFrom="paragraph">
            <wp:posOffset>-906780</wp:posOffset>
          </wp:positionV>
          <wp:extent cx="8163560" cy="1103630"/>
          <wp:effectExtent l="0" t="0" r="8890" b="1270"/>
          <wp:wrapTight wrapText="bothSides">
            <wp:wrapPolygon edited="0">
              <wp:start x="0" y="0"/>
              <wp:lineTo x="0" y="21252"/>
              <wp:lineTo x="21573" y="21252"/>
              <wp:lineTo x="21573" y="0"/>
              <wp:lineTo x="0" y="0"/>
            </wp:wrapPolygon>
          </wp:wrapTight>
          <wp:docPr id="116834428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344284" name="Picture 2">
                    <a:extLst>
                      <a:ext uri="{C183D7F6-B498-43B3-948B-1728B52AA6E4}">
                        <adec:decorative xmlns:adec="http://schemas.microsoft.com/office/drawing/2017/decorative" val="1"/>
                      </a:ext>
                    </a:extLst>
                  </pic:cNvPr>
                  <pic:cNvPicPr>
                    <a:picLocks noChangeAspect="1" noChangeArrowheads="1"/>
                  </pic:cNvPicPr>
                </pic:nvPicPr>
                <pic:blipFill>
                  <a:blip r:embed="rId1">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163560" cy="1103630"/>
                  </a:xfrm>
                  <a:prstGeom prst="rect">
                    <a:avLst/>
                  </a:prstGeom>
                  <a:noFill/>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BBC97" w14:textId="4E5636B4" w:rsidR="0033359B" w:rsidRDefault="00810DD4">
    <w:pPr>
      <w:pStyle w:val="Header"/>
    </w:pPr>
    <w:r>
      <w:rPr>
        <w:noProof/>
      </w:rPr>
      <mc:AlternateContent>
        <mc:Choice Requires="wps">
          <w:drawing>
            <wp:anchor distT="0" distB="0" distL="114300" distR="114300" simplePos="0" relativeHeight="251661322" behindDoc="0" locked="0" layoutInCell="1" allowOverlap="1" wp14:anchorId="5C7D749A" wp14:editId="6A2DBFA8">
              <wp:simplePos x="0" y="0"/>
              <wp:positionH relativeFrom="column">
                <wp:posOffset>-937260</wp:posOffset>
              </wp:positionH>
              <wp:positionV relativeFrom="paragraph">
                <wp:posOffset>-441960</wp:posOffset>
              </wp:positionV>
              <wp:extent cx="7711440" cy="641350"/>
              <wp:effectExtent l="0" t="0" r="3810" b="6350"/>
              <wp:wrapNone/>
              <wp:docPr id="1993639150"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11440" cy="641350"/>
                      </a:xfrm>
                      <a:prstGeom prst="rect">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CEBBD9" id="Rectangle 12" o:spid="_x0000_s1026" alt="&quot;&quot;" style="position:absolute;margin-left:-73.8pt;margin-top:-34.8pt;width:607.2pt;height:50.5pt;z-index:25166132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" fillcolor="#00b050" stroked="f" strokeweight="1pt"/>
          </w:pict>
        </mc:Fallback>
      </mc:AlternateContent>
    </w:r>
    <w:r w:rsidR="000F3DFA">
      <w:rPr>
        <w:noProof/>
      </w:rPr>
      <mc:AlternateContent>
        <mc:Choice Requires="wps">
          <w:drawing>
            <wp:anchor distT="0" distB="0" distL="114300" distR="114300" simplePos="0" relativeHeight="251658247" behindDoc="0" locked="0" layoutInCell="1" allowOverlap="1" wp14:anchorId="34A9A2C7" wp14:editId="781E782E">
              <wp:simplePos x="0" y="0"/>
              <wp:positionH relativeFrom="column">
                <wp:posOffset>-914400</wp:posOffset>
              </wp:positionH>
              <wp:positionV relativeFrom="paragraph">
                <wp:posOffset>-500381</wp:posOffset>
              </wp:positionV>
              <wp:extent cx="7772400" cy="702733"/>
              <wp:effectExtent l="0" t="0" r="0" b="2540"/>
              <wp:wrapNone/>
              <wp:docPr id="2092165566"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702733"/>
                      </a:xfrm>
                      <a:prstGeom prst="rect">
                        <a:avLst/>
                      </a:prstGeom>
                      <a:solidFill>
                        <a:srgbClr val="9D2AA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CCE27F" id="Rectangle 3" o:spid="_x0000_s1026" alt="&quot;&quot;" style="position:absolute;margin-left:-1in;margin-top:-39.4pt;width:612pt;height:55.3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" fillcolor="#9d2aa6" stroked="f" strokeweight="1p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58814" w14:textId="15BC5A7E" w:rsidR="00793C1B" w:rsidRDefault="00810DD4">
    <w:pPr>
      <w:pStyle w:val="Header"/>
    </w:pPr>
    <w:r>
      <w:rPr>
        <w:noProof/>
      </w:rPr>
      <mc:AlternateContent>
        <mc:Choice Requires="wps">
          <w:drawing>
            <wp:anchor distT="0" distB="0" distL="114300" distR="114300" simplePos="0" relativeHeight="251662346" behindDoc="0" locked="0" layoutInCell="1" allowOverlap="1" wp14:anchorId="75E847B2" wp14:editId="43F568FB">
              <wp:simplePos x="0" y="0"/>
              <wp:positionH relativeFrom="column">
                <wp:posOffset>-922020</wp:posOffset>
              </wp:positionH>
              <wp:positionV relativeFrom="paragraph">
                <wp:posOffset>-449580</wp:posOffset>
              </wp:positionV>
              <wp:extent cx="7574280" cy="626110"/>
              <wp:effectExtent l="0" t="0" r="7620" b="2540"/>
              <wp:wrapNone/>
              <wp:docPr id="733290909"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74280" cy="626110"/>
                      </a:xfrm>
                      <a:prstGeom prst="rect">
                        <a:avLst/>
                      </a:prstGeom>
                      <a:solidFill>
                        <a:srgbClr val="F19B0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CA4AE6" id="Rectangle 13" o:spid="_x0000_s1026" alt="&quot;&quot;" style="position:absolute;margin-left:-72.6pt;margin-top:-35.4pt;width:596.4pt;height:49.3pt;z-index:2516623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" fillcolor="#f19b0f" stroked="f" strokeweight="1pt"/>
          </w:pict>
        </mc:Fallback>
      </mc:AlternateContent>
    </w:r>
    <w:r w:rsidR="00793C1B">
      <w:rPr>
        <w:noProof/>
      </w:rPr>
      <mc:AlternateContent>
        <mc:Choice Requires="wps">
          <w:drawing>
            <wp:anchor distT="0" distB="0" distL="114300" distR="114300" simplePos="0" relativeHeight="251658249" behindDoc="0" locked="0" layoutInCell="1" allowOverlap="1" wp14:anchorId="0682070A" wp14:editId="38C95128">
              <wp:simplePos x="0" y="0"/>
              <wp:positionH relativeFrom="column">
                <wp:posOffset>-914400</wp:posOffset>
              </wp:positionH>
              <wp:positionV relativeFrom="paragraph">
                <wp:posOffset>-449581</wp:posOffset>
              </wp:positionV>
              <wp:extent cx="7772400" cy="626533"/>
              <wp:effectExtent l="0" t="0" r="0" b="2540"/>
              <wp:wrapNone/>
              <wp:docPr id="493851220"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626533"/>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D5F90F" id="Rectangle 3" o:spid="_x0000_s1026" alt="&quot;&quot;" style="position:absolute;margin-left:-1in;margin-top:-35.4pt;width:612pt;height:49.3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" fillcolor="#ed7d31 [3205]"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DB32B0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0529631" o:spid="_x0000_i1025" type="#_x0000_t75" style="width:1057.2pt;height:272.4pt;visibility:visible;mso-wrap-style:square">
            <v:imagedata r:id="rId1" o:title=""/>
          </v:shape>
        </w:pict>
      </mc:Choice>
      <mc:Fallback>
        <w:drawing>
          <wp:inline distT="0" distB="0" distL="0" distR="0" wp14:anchorId="10BED27C" wp14:editId="039D9F31">
            <wp:extent cx="13426440" cy="3459480"/>
            <wp:effectExtent l="0" t="0" r="0" b="0"/>
            <wp:docPr id="580529631" name="Picture 580529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426440" cy="3459480"/>
                    </a:xfrm>
                    <a:prstGeom prst="rect">
                      <a:avLst/>
                    </a:prstGeom>
                    <a:noFill/>
                    <a:ln>
                      <a:noFill/>
                    </a:ln>
                  </pic:spPr>
                </pic:pic>
              </a:graphicData>
            </a:graphic>
          </wp:inline>
        </w:drawing>
      </mc:Fallback>
    </mc:AlternateContent>
  </w:numPicBullet>
  <w:numPicBullet w:numPicBulletId="1">
    <mc:AlternateContent>
      <mc:Choice Requires="v">
        <w:pict>
          <v:shape w14:anchorId="2ED084E8" id="Picture 373624917" o:spid="_x0000_i1025" type="#_x0000_t75" style="width:172.8pt;height:171.6pt;visibility:visible;mso-wrap-style:square">
            <v:imagedata r:id="rId3" o:title=""/>
          </v:shape>
        </w:pict>
      </mc:Choice>
      <mc:Fallback>
        <w:drawing>
          <wp:inline distT="0" distB="0" distL="0" distR="0" wp14:anchorId="50F0BA7F" wp14:editId="3E2F6D9B">
            <wp:extent cx="2194560" cy="2179320"/>
            <wp:effectExtent l="0" t="0" r="0" b="0"/>
            <wp:docPr id="373624917" name="Picture 373624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94560" cy="2179320"/>
                    </a:xfrm>
                    <a:prstGeom prst="rect">
                      <a:avLst/>
                    </a:prstGeom>
                    <a:noFill/>
                    <a:ln>
                      <a:noFill/>
                    </a:ln>
                  </pic:spPr>
                </pic:pic>
              </a:graphicData>
            </a:graphic>
          </wp:inline>
        </w:drawing>
      </mc:Fallback>
    </mc:AlternateContent>
  </w:numPicBullet>
  <w:abstractNum w:abstractNumId="0" w15:restartNumberingAfterBreak="0">
    <w:nsid w:val="0153017D"/>
    <w:multiLevelType w:val="hybridMultilevel"/>
    <w:tmpl w:val="6DD2952C"/>
    <w:lvl w:ilvl="0" w:tplc="2F2AC724">
      <w:start w:val="1"/>
      <w:numFmt w:val="bullet"/>
      <w:lvlText w:val=""/>
      <w:lvlPicBulletId w:val="1"/>
      <w:lvlJc w:val="left"/>
      <w:pPr>
        <w:ind w:left="1080" w:hanging="360"/>
      </w:pPr>
      <w:rPr>
        <w:rFonts w:ascii="Symbol" w:hAnsi="Symbol" w:hint="default"/>
        <w:color w:val="auto"/>
        <w:sz w:val="24"/>
        <w:szCs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64C3565"/>
    <w:multiLevelType w:val="hybridMultilevel"/>
    <w:tmpl w:val="4AF055DC"/>
    <w:lvl w:ilvl="0" w:tplc="B2C81DB0">
      <w:start w:val="1"/>
      <w:numFmt w:val="bullet"/>
      <w:lvlText w:val=""/>
      <w:lvlPicBulletId w:val="0"/>
      <w:lvlJc w:val="left"/>
      <w:pPr>
        <w:ind w:left="720" w:hanging="360"/>
      </w:pPr>
      <w:rPr>
        <w:rFonts w:ascii="Symbol" w:hAnsi="Symbol" w:hint="default"/>
        <w:color w:val="auto"/>
        <w:sz w:val="16"/>
        <w:szCs w:val="16"/>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7877153"/>
    <w:multiLevelType w:val="hybridMultilevel"/>
    <w:tmpl w:val="29C0F36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A771CD1"/>
    <w:multiLevelType w:val="hybridMultilevel"/>
    <w:tmpl w:val="5890FACA"/>
    <w:lvl w:ilvl="0" w:tplc="B2C81DB0">
      <w:start w:val="1"/>
      <w:numFmt w:val="bullet"/>
      <w:lvlText w:val=""/>
      <w:lvlPicBulletId w:val="0"/>
      <w:lvlJc w:val="left"/>
      <w:pPr>
        <w:ind w:left="1080" w:hanging="360"/>
      </w:pPr>
      <w:rPr>
        <w:rFonts w:ascii="Symbol" w:hAnsi="Symbol" w:hint="default"/>
        <w:color w:val="auto"/>
        <w:sz w:val="16"/>
        <w:szCs w:val="16"/>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4" w15:restartNumberingAfterBreak="0">
    <w:nsid w:val="0B962F2C"/>
    <w:multiLevelType w:val="hybridMultilevel"/>
    <w:tmpl w:val="DB50295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38B77E4"/>
    <w:multiLevelType w:val="hybridMultilevel"/>
    <w:tmpl w:val="30D6F7D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2F575F60"/>
    <w:multiLevelType w:val="hybridMultilevel"/>
    <w:tmpl w:val="6D12CAB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32BB7794"/>
    <w:multiLevelType w:val="hybridMultilevel"/>
    <w:tmpl w:val="2408D442"/>
    <w:lvl w:ilvl="0" w:tplc="676AD3F4">
      <w:start w:val="1"/>
      <w:numFmt w:val="decimal"/>
      <w:lvlText w:val="%1."/>
      <w:lvlJc w:val="left"/>
      <w:pPr>
        <w:ind w:left="360" w:hanging="360"/>
      </w:pPr>
      <w:rPr>
        <w:rFonts w:hint="default"/>
        <w:sz w:val="24"/>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3DCB53BF"/>
    <w:multiLevelType w:val="multilevel"/>
    <w:tmpl w:val="16062FF4"/>
    <w:lvl w:ilvl="0">
      <w:start w:val="1"/>
      <w:numFmt w:val="decimal"/>
      <w:lvlText w:val="%1"/>
      <w:lvlJc w:val="left"/>
      <w:pPr>
        <w:ind w:left="360" w:hanging="360"/>
      </w:pPr>
    </w:lvl>
    <w:lvl w:ilvl="1">
      <w:start w:val="4"/>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9" w15:restartNumberingAfterBreak="0">
    <w:nsid w:val="3E2724D5"/>
    <w:multiLevelType w:val="multilevel"/>
    <w:tmpl w:val="9508CA3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4E653CB7"/>
    <w:multiLevelType w:val="hybridMultilevel"/>
    <w:tmpl w:val="5DA631F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62011C91"/>
    <w:multiLevelType w:val="hybridMultilevel"/>
    <w:tmpl w:val="5088D7AE"/>
    <w:lvl w:ilvl="0" w:tplc="B2C81DB0">
      <w:start w:val="1"/>
      <w:numFmt w:val="bullet"/>
      <w:lvlText w:val=""/>
      <w:lvlPicBulletId w:val="0"/>
      <w:lvlJc w:val="left"/>
      <w:pPr>
        <w:ind w:left="720" w:hanging="360"/>
      </w:pPr>
      <w:rPr>
        <w:rFonts w:ascii="Symbol" w:hAnsi="Symbol" w:hint="default"/>
        <w:color w:val="auto"/>
        <w:sz w:val="16"/>
        <w:szCs w:val="16"/>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6D5226CC"/>
    <w:multiLevelType w:val="multilevel"/>
    <w:tmpl w:val="448891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2772272"/>
    <w:multiLevelType w:val="hybridMultilevel"/>
    <w:tmpl w:val="FECC81D8"/>
    <w:lvl w:ilvl="0" w:tplc="9A366F0A">
      <w:start w:val="1"/>
      <w:numFmt w:val="bullet"/>
      <w:lvlText w:val=""/>
      <w:lvlJc w:val="left"/>
      <w:pPr>
        <w:ind w:left="1080" w:hanging="360"/>
      </w:pPr>
      <w:rPr>
        <w:rFonts w:ascii="Symbol" w:hAnsi="Symbol" w:hint="default"/>
        <w:b/>
        <w:bCs/>
        <w:color w:val="FF0000"/>
        <w:sz w:val="22"/>
        <w:szCs w:val="22"/>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num w:numId="1" w16cid:durableId="2049530871">
    <w:abstractNumId w:val="12"/>
  </w:num>
  <w:num w:numId="2" w16cid:durableId="445585206">
    <w:abstractNumId w:val="8"/>
  </w:num>
  <w:num w:numId="3" w16cid:durableId="454836801">
    <w:abstractNumId w:val="9"/>
  </w:num>
  <w:num w:numId="4" w16cid:durableId="2057699562">
    <w:abstractNumId w:val="10"/>
  </w:num>
  <w:num w:numId="5" w16cid:durableId="561645037">
    <w:abstractNumId w:val="2"/>
  </w:num>
  <w:num w:numId="6" w16cid:durableId="1803187018">
    <w:abstractNumId w:val="6"/>
  </w:num>
  <w:num w:numId="7" w16cid:durableId="716517121">
    <w:abstractNumId w:val="1"/>
  </w:num>
  <w:num w:numId="8" w16cid:durableId="2068525154">
    <w:abstractNumId w:val="11"/>
  </w:num>
  <w:num w:numId="9" w16cid:durableId="2094160941">
    <w:abstractNumId w:val="7"/>
  </w:num>
  <w:num w:numId="10" w16cid:durableId="178527037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94239829">
    <w:abstractNumId w:val="13"/>
  </w:num>
  <w:num w:numId="12" w16cid:durableId="1151167938">
    <w:abstractNumId w:val="3"/>
  </w:num>
  <w:num w:numId="13" w16cid:durableId="1263150981">
    <w:abstractNumId w:val="0"/>
  </w:num>
  <w:num w:numId="14" w16cid:durableId="18396101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F4E"/>
    <w:rsid w:val="00001838"/>
    <w:rsid w:val="00001CC3"/>
    <w:rsid w:val="00005EB1"/>
    <w:rsid w:val="00006B22"/>
    <w:rsid w:val="000078F4"/>
    <w:rsid w:val="00007A07"/>
    <w:rsid w:val="00010200"/>
    <w:rsid w:val="00012110"/>
    <w:rsid w:val="00013824"/>
    <w:rsid w:val="00013F81"/>
    <w:rsid w:val="000162E1"/>
    <w:rsid w:val="000166BC"/>
    <w:rsid w:val="00017168"/>
    <w:rsid w:val="000172D3"/>
    <w:rsid w:val="00021623"/>
    <w:rsid w:val="00021A1B"/>
    <w:rsid w:val="000231A1"/>
    <w:rsid w:val="000231FA"/>
    <w:rsid w:val="000253A7"/>
    <w:rsid w:val="00026C23"/>
    <w:rsid w:val="000271EC"/>
    <w:rsid w:val="00027CFA"/>
    <w:rsid w:val="00030AC0"/>
    <w:rsid w:val="00030BC5"/>
    <w:rsid w:val="0003150E"/>
    <w:rsid w:val="00032ED0"/>
    <w:rsid w:val="000350F5"/>
    <w:rsid w:val="00037B8A"/>
    <w:rsid w:val="00037CEC"/>
    <w:rsid w:val="00040058"/>
    <w:rsid w:val="00041FDB"/>
    <w:rsid w:val="0004360E"/>
    <w:rsid w:val="00044004"/>
    <w:rsid w:val="000449D7"/>
    <w:rsid w:val="000465A0"/>
    <w:rsid w:val="00047D6B"/>
    <w:rsid w:val="000500BE"/>
    <w:rsid w:val="000500C5"/>
    <w:rsid w:val="0005189A"/>
    <w:rsid w:val="000522AC"/>
    <w:rsid w:val="00052B29"/>
    <w:rsid w:val="00053207"/>
    <w:rsid w:val="00055E58"/>
    <w:rsid w:val="0006288E"/>
    <w:rsid w:val="0006304F"/>
    <w:rsid w:val="0006321A"/>
    <w:rsid w:val="00063C44"/>
    <w:rsid w:val="00064518"/>
    <w:rsid w:val="000647F1"/>
    <w:rsid w:val="00064B55"/>
    <w:rsid w:val="000650E5"/>
    <w:rsid w:val="0006733C"/>
    <w:rsid w:val="000676CD"/>
    <w:rsid w:val="00071CBE"/>
    <w:rsid w:val="00073712"/>
    <w:rsid w:val="00074F2F"/>
    <w:rsid w:val="00075270"/>
    <w:rsid w:val="00075FA2"/>
    <w:rsid w:val="00076024"/>
    <w:rsid w:val="000773E0"/>
    <w:rsid w:val="00080B9E"/>
    <w:rsid w:val="00081252"/>
    <w:rsid w:val="000830D5"/>
    <w:rsid w:val="0008313B"/>
    <w:rsid w:val="00085CD0"/>
    <w:rsid w:val="00086476"/>
    <w:rsid w:val="00087666"/>
    <w:rsid w:val="00094B22"/>
    <w:rsid w:val="00095DD3"/>
    <w:rsid w:val="0009602E"/>
    <w:rsid w:val="00097884"/>
    <w:rsid w:val="000A026D"/>
    <w:rsid w:val="000A1088"/>
    <w:rsid w:val="000A2876"/>
    <w:rsid w:val="000A4763"/>
    <w:rsid w:val="000A4995"/>
    <w:rsid w:val="000A6588"/>
    <w:rsid w:val="000B02BC"/>
    <w:rsid w:val="000B11A1"/>
    <w:rsid w:val="000B1270"/>
    <w:rsid w:val="000B17EF"/>
    <w:rsid w:val="000B18AF"/>
    <w:rsid w:val="000B4BEE"/>
    <w:rsid w:val="000B4CFB"/>
    <w:rsid w:val="000B75FC"/>
    <w:rsid w:val="000C0855"/>
    <w:rsid w:val="000C3F93"/>
    <w:rsid w:val="000C4755"/>
    <w:rsid w:val="000C5460"/>
    <w:rsid w:val="000D16A7"/>
    <w:rsid w:val="000D2C86"/>
    <w:rsid w:val="000D3B80"/>
    <w:rsid w:val="000D493A"/>
    <w:rsid w:val="000D5B6A"/>
    <w:rsid w:val="000D6006"/>
    <w:rsid w:val="000D6DDA"/>
    <w:rsid w:val="000D7EB2"/>
    <w:rsid w:val="000D7FE6"/>
    <w:rsid w:val="000E0B4B"/>
    <w:rsid w:val="000E2284"/>
    <w:rsid w:val="000E2BA3"/>
    <w:rsid w:val="000F2A73"/>
    <w:rsid w:val="000F3073"/>
    <w:rsid w:val="000F3450"/>
    <w:rsid w:val="000F3B93"/>
    <w:rsid w:val="000F3DFA"/>
    <w:rsid w:val="000F5805"/>
    <w:rsid w:val="000F5A8B"/>
    <w:rsid w:val="00101D1A"/>
    <w:rsid w:val="0010217C"/>
    <w:rsid w:val="00106ABE"/>
    <w:rsid w:val="00107998"/>
    <w:rsid w:val="001106B1"/>
    <w:rsid w:val="00110A25"/>
    <w:rsid w:val="00110DEA"/>
    <w:rsid w:val="00113033"/>
    <w:rsid w:val="0011408C"/>
    <w:rsid w:val="00115562"/>
    <w:rsid w:val="00116B86"/>
    <w:rsid w:val="00117BE6"/>
    <w:rsid w:val="00117FF5"/>
    <w:rsid w:val="00120478"/>
    <w:rsid w:val="00120B63"/>
    <w:rsid w:val="00121621"/>
    <w:rsid w:val="00121732"/>
    <w:rsid w:val="001222F2"/>
    <w:rsid w:val="00122540"/>
    <w:rsid w:val="00125651"/>
    <w:rsid w:val="0012605E"/>
    <w:rsid w:val="00126E25"/>
    <w:rsid w:val="00127139"/>
    <w:rsid w:val="00127625"/>
    <w:rsid w:val="00130AB2"/>
    <w:rsid w:val="00130DEF"/>
    <w:rsid w:val="00131ED2"/>
    <w:rsid w:val="001338E4"/>
    <w:rsid w:val="00140605"/>
    <w:rsid w:val="00141100"/>
    <w:rsid w:val="00142AB5"/>
    <w:rsid w:val="001432C7"/>
    <w:rsid w:val="0014578F"/>
    <w:rsid w:val="00145A7C"/>
    <w:rsid w:val="00151542"/>
    <w:rsid w:val="00151E12"/>
    <w:rsid w:val="00152767"/>
    <w:rsid w:val="00152DBE"/>
    <w:rsid w:val="00152E70"/>
    <w:rsid w:val="00154BEE"/>
    <w:rsid w:val="00156202"/>
    <w:rsid w:val="001601C4"/>
    <w:rsid w:val="00160845"/>
    <w:rsid w:val="00161ED8"/>
    <w:rsid w:val="0017194B"/>
    <w:rsid w:val="00171DF3"/>
    <w:rsid w:val="00172F0E"/>
    <w:rsid w:val="001730BE"/>
    <w:rsid w:val="001732B2"/>
    <w:rsid w:val="00175453"/>
    <w:rsid w:val="00176403"/>
    <w:rsid w:val="001767BB"/>
    <w:rsid w:val="00180294"/>
    <w:rsid w:val="00182D9E"/>
    <w:rsid w:val="001833FA"/>
    <w:rsid w:val="00183CDB"/>
    <w:rsid w:val="00184D53"/>
    <w:rsid w:val="001862CB"/>
    <w:rsid w:val="00193447"/>
    <w:rsid w:val="00195C18"/>
    <w:rsid w:val="00196A76"/>
    <w:rsid w:val="00197A16"/>
    <w:rsid w:val="00197D7A"/>
    <w:rsid w:val="00197EC8"/>
    <w:rsid w:val="001A1439"/>
    <w:rsid w:val="001A1540"/>
    <w:rsid w:val="001A1FC3"/>
    <w:rsid w:val="001A2E18"/>
    <w:rsid w:val="001A5DF6"/>
    <w:rsid w:val="001B1046"/>
    <w:rsid w:val="001B172D"/>
    <w:rsid w:val="001B21CC"/>
    <w:rsid w:val="001B309F"/>
    <w:rsid w:val="001B33BC"/>
    <w:rsid w:val="001B63D2"/>
    <w:rsid w:val="001B68FB"/>
    <w:rsid w:val="001C0427"/>
    <w:rsid w:val="001C2965"/>
    <w:rsid w:val="001C3266"/>
    <w:rsid w:val="001C4931"/>
    <w:rsid w:val="001C585D"/>
    <w:rsid w:val="001C5F63"/>
    <w:rsid w:val="001C654C"/>
    <w:rsid w:val="001C6B09"/>
    <w:rsid w:val="001C7B58"/>
    <w:rsid w:val="001D022F"/>
    <w:rsid w:val="001D04CD"/>
    <w:rsid w:val="001D21CC"/>
    <w:rsid w:val="001D38F1"/>
    <w:rsid w:val="001D3CA0"/>
    <w:rsid w:val="001D3ED4"/>
    <w:rsid w:val="001D50EC"/>
    <w:rsid w:val="001D5EC2"/>
    <w:rsid w:val="001D60C8"/>
    <w:rsid w:val="001D6160"/>
    <w:rsid w:val="001D6590"/>
    <w:rsid w:val="001D751B"/>
    <w:rsid w:val="001D78D7"/>
    <w:rsid w:val="001E09B8"/>
    <w:rsid w:val="001E14D0"/>
    <w:rsid w:val="001E3488"/>
    <w:rsid w:val="001E3E6C"/>
    <w:rsid w:val="001F2D15"/>
    <w:rsid w:val="001F3080"/>
    <w:rsid w:val="001F46D0"/>
    <w:rsid w:val="001F4AEB"/>
    <w:rsid w:val="001F4BAF"/>
    <w:rsid w:val="001F6824"/>
    <w:rsid w:val="001F7763"/>
    <w:rsid w:val="001F79D1"/>
    <w:rsid w:val="0020330C"/>
    <w:rsid w:val="00203650"/>
    <w:rsid w:val="00204642"/>
    <w:rsid w:val="00206256"/>
    <w:rsid w:val="00206F21"/>
    <w:rsid w:val="00207814"/>
    <w:rsid w:val="0021054D"/>
    <w:rsid w:val="00210BE6"/>
    <w:rsid w:val="00212A20"/>
    <w:rsid w:val="00212AC9"/>
    <w:rsid w:val="00214659"/>
    <w:rsid w:val="00216B5F"/>
    <w:rsid w:val="00220AA8"/>
    <w:rsid w:val="00220EA1"/>
    <w:rsid w:val="00223C81"/>
    <w:rsid w:val="00226326"/>
    <w:rsid w:val="002264BF"/>
    <w:rsid w:val="00231EFC"/>
    <w:rsid w:val="002333AD"/>
    <w:rsid w:val="00236232"/>
    <w:rsid w:val="00240595"/>
    <w:rsid w:val="00241A55"/>
    <w:rsid w:val="002421DA"/>
    <w:rsid w:val="0024250B"/>
    <w:rsid w:val="00242690"/>
    <w:rsid w:val="00243472"/>
    <w:rsid w:val="002449D2"/>
    <w:rsid w:val="00244B65"/>
    <w:rsid w:val="00244F74"/>
    <w:rsid w:val="002459CE"/>
    <w:rsid w:val="00246449"/>
    <w:rsid w:val="00247691"/>
    <w:rsid w:val="0024771F"/>
    <w:rsid w:val="00247A2B"/>
    <w:rsid w:val="002505E0"/>
    <w:rsid w:val="00250693"/>
    <w:rsid w:val="00251401"/>
    <w:rsid w:val="00252F82"/>
    <w:rsid w:val="002533BD"/>
    <w:rsid w:val="002555BF"/>
    <w:rsid w:val="00255BF9"/>
    <w:rsid w:val="0025761A"/>
    <w:rsid w:val="0026051A"/>
    <w:rsid w:val="00261E1D"/>
    <w:rsid w:val="00261EBF"/>
    <w:rsid w:val="00263ECA"/>
    <w:rsid w:val="0026496E"/>
    <w:rsid w:val="00265D10"/>
    <w:rsid w:val="0026604D"/>
    <w:rsid w:val="002661E8"/>
    <w:rsid w:val="002668F3"/>
    <w:rsid w:val="00266B54"/>
    <w:rsid w:val="00266D1A"/>
    <w:rsid w:val="002700F9"/>
    <w:rsid w:val="002704D8"/>
    <w:rsid w:val="00270D84"/>
    <w:rsid w:val="0027131A"/>
    <w:rsid w:val="00273486"/>
    <w:rsid w:val="00273F47"/>
    <w:rsid w:val="00274745"/>
    <w:rsid w:val="00280736"/>
    <w:rsid w:val="002817F8"/>
    <w:rsid w:val="00281E3E"/>
    <w:rsid w:val="00282394"/>
    <w:rsid w:val="0028259F"/>
    <w:rsid w:val="002825C3"/>
    <w:rsid w:val="00287A45"/>
    <w:rsid w:val="00290D25"/>
    <w:rsid w:val="00291E26"/>
    <w:rsid w:val="00291F2B"/>
    <w:rsid w:val="002942EE"/>
    <w:rsid w:val="00294471"/>
    <w:rsid w:val="00294899"/>
    <w:rsid w:val="00295750"/>
    <w:rsid w:val="00295946"/>
    <w:rsid w:val="00296EBD"/>
    <w:rsid w:val="002A4534"/>
    <w:rsid w:val="002A47BE"/>
    <w:rsid w:val="002A54CA"/>
    <w:rsid w:val="002A617E"/>
    <w:rsid w:val="002A7452"/>
    <w:rsid w:val="002B1814"/>
    <w:rsid w:val="002B1A6B"/>
    <w:rsid w:val="002B4668"/>
    <w:rsid w:val="002B4925"/>
    <w:rsid w:val="002B4F61"/>
    <w:rsid w:val="002B5009"/>
    <w:rsid w:val="002B59FF"/>
    <w:rsid w:val="002B659C"/>
    <w:rsid w:val="002C0F4B"/>
    <w:rsid w:val="002C20B5"/>
    <w:rsid w:val="002C300F"/>
    <w:rsid w:val="002C43EC"/>
    <w:rsid w:val="002C544E"/>
    <w:rsid w:val="002C557E"/>
    <w:rsid w:val="002C69E8"/>
    <w:rsid w:val="002C75DB"/>
    <w:rsid w:val="002D0E31"/>
    <w:rsid w:val="002D14DC"/>
    <w:rsid w:val="002D297C"/>
    <w:rsid w:val="002D3127"/>
    <w:rsid w:val="002E0824"/>
    <w:rsid w:val="002E0B2F"/>
    <w:rsid w:val="002E0E7A"/>
    <w:rsid w:val="002E2197"/>
    <w:rsid w:val="002E246C"/>
    <w:rsid w:val="002E32A2"/>
    <w:rsid w:val="002E354C"/>
    <w:rsid w:val="002E3EED"/>
    <w:rsid w:val="002E5966"/>
    <w:rsid w:val="002E5BAD"/>
    <w:rsid w:val="002E7A60"/>
    <w:rsid w:val="002F0E60"/>
    <w:rsid w:val="002F1A25"/>
    <w:rsid w:val="002F36A5"/>
    <w:rsid w:val="002F3AE5"/>
    <w:rsid w:val="002F3E67"/>
    <w:rsid w:val="002F42CD"/>
    <w:rsid w:val="002F4784"/>
    <w:rsid w:val="002F4977"/>
    <w:rsid w:val="002F4F54"/>
    <w:rsid w:val="002F6306"/>
    <w:rsid w:val="002F6F56"/>
    <w:rsid w:val="003017C1"/>
    <w:rsid w:val="00301E93"/>
    <w:rsid w:val="00304290"/>
    <w:rsid w:val="003048EB"/>
    <w:rsid w:val="003108B0"/>
    <w:rsid w:val="00311093"/>
    <w:rsid w:val="00311180"/>
    <w:rsid w:val="00311676"/>
    <w:rsid w:val="0031186D"/>
    <w:rsid w:val="00312EE8"/>
    <w:rsid w:val="00313673"/>
    <w:rsid w:val="00316B6F"/>
    <w:rsid w:val="003178E5"/>
    <w:rsid w:val="00320657"/>
    <w:rsid w:val="003214A0"/>
    <w:rsid w:val="003227A3"/>
    <w:rsid w:val="00323B5F"/>
    <w:rsid w:val="00325797"/>
    <w:rsid w:val="003259E1"/>
    <w:rsid w:val="00330106"/>
    <w:rsid w:val="003305B7"/>
    <w:rsid w:val="0033359B"/>
    <w:rsid w:val="00333EC6"/>
    <w:rsid w:val="0033461B"/>
    <w:rsid w:val="00334A56"/>
    <w:rsid w:val="00336BA8"/>
    <w:rsid w:val="00337CE9"/>
    <w:rsid w:val="00337E28"/>
    <w:rsid w:val="00340C00"/>
    <w:rsid w:val="00342FB4"/>
    <w:rsid w:val="00344BE0"/>
    <w:rsid w:val="00344F01"/>
    <w:rsid w:val="0034559F"/>
    <w:rsid w:val="0034763E"/>
    <w:rsid w:val="003523DF"/>
    <w:rsid w:val="00353106"/>
    <w:rsid w:val="00355BEE"/>
    <w:rsid w:val="00357823"/>
    <w:rsid w:val="003609D5"/>
    <w:rsid w:val="00361013"/>
    <w:rsid w:val="003613CA"/>
    <w:rsid w:val="00361FBC"/>
    <w:rsid w:val="00363B84"/>
    <w:rsid w:val="00363F07"/>
    <w:rsid w:val="00363FF2"/>
    <w:rsid w:val="0036404C"/>
    <w:rsid w:val="003668B2"/>
    <w:rsid w:val="003717FD"/>
    <w:rsid w:val="00371ECB"/>
    <w:rsid w:val="00372DB6"/>
    <w:rsid w:val="0037617A"/>
    <w:rsid w:val="00380F51"/>
    <w:rsid w:val="003869FE"/>
    <w:rsid w:val="003904F3"/>
    <w:rsid w:val="00392479"/>
    <w:rsid w:val="00393448"/>
    <w:rsid w:val="00393560"/>
    <w:rsid w:val="0039506B"/>
    <w:rsid w:val="00397D5B"/>
    <w:rsid w:val="003A0C3B"/>
    <w:rsid w:val="003A0D20"/>
    <w:rsid w:val="003A4366"/>
    <w:rsid w:val="003A737D"/>
    <w:rsid w:val="003A73B0"/>
    <w:rsid w:val="003B037F"/>
    <w:rsid w:val="003B23D8"/>
    <w:rsid w:val="003B6E9C"/>
    <w:rsid w:val="003C01B0"/>
    <w:rsid w:val="003C12CD"/>
    <w:rsid w:val="003C1305"/>
    <w:rsid w:val="003C16E1"/>
    <w:rsid w:val="003C17EC"/>
    <w:rsid w:val="003C217A"/>
    <w:rsid w:val="003C23C5"/>
    <w:rsid w:val="003C3427"/>
    <w:rsid w:val="003C3F79"/>
    <w:rsid w:val="003C64AD"/>
    <w:rsid w:val="003C69F8"/>
    <w:rsid w:val="003C6C27"/>
    <w:rsid w:val="003C76DB"/>
    <w:rsid w:val="003D15E9"/>
    <w:rsid w:val="003D4D7C"/>
    <w:rsid w:val="003D5BC2"/>
    <w:rsid w:val="003D7083"/>
    <w:rsid w:val="003D7C1A"/>
    <w:rsid w:val="003E19AC"/>
    <w:rsid w:val="003E1B3B"/>
    <w:rsid w:val="003E23FE"/>
    <w:rsid w:val="003E3F48"/>
    <w:rsid w:val="003E5978"/>
    <w:rsid w:val="003E5C82"/>
    <w:rsid w:val="003E64A9"/>
    <w:rsid w:val="003F2528"/>
    <w:rsid w:val="003F328C"/>
    <w:rsid w:val="003F40E5"/>
    <w:rsid w:val="003F44B6"/>
    <w:rsid w:val="003F4EC3"/>
    <w:rsid w:val="003F50B1"/>
    <w:rsid w:val="003F7606"/>
    <w:rsid w:val="004002D8"/>
    <w:rsid w:val="004018D8"/>
    <w:rsid w:val="00401C99"/>
    <w:rsid w:val="004053CA"/>
    <w:rsid w:val="0040541D"/>
    <w:rsid w:val="00405541"/>
    <w:rsid w:val="00410741"/>
    <w:rsid w:val="0041108E"/>
    <w:rsid w:val="004115B7"/>
    <w:rsid w:val="004124CD"/>
    <w:rsid w:val="00412893"/>
    <w:rsid w:val="00412BF2"/>
    <w:rsid w:val="004130D7"/>
    <w:rsid w:val="00414FF0"/>
    <w:rsid w:val="00416917"/>
    <w:rsid w:val="004222AE"/>
    <w:rsid w:val="004224FB"/>
    <w:rsid w:val="00423768"/>
    <w:rsid w:val="00423ADA"/>
    <w:rsid w:val="0042458A"/>
    <w:rsid w:val="004315E7"/>
    <w:rsid w:val="004316C4"/>
    <w:rsid w:val="00433303"/>
    <w:rsid w:val="00435645"/>
    <w:rsid w:val="004367EC"/>
    <w:rsid w:val="00436F32"/>
    <w:rsid w:val="004374C9"/>
    <w:rsid w:val="0044171C"/>
    <w:rsid w:val="00441820"/>
    <w:rsid w:val="0044257F"/>
    <w:rsid w:val="00442D64"/>
    <w:rsid w:val="00450B33"/>
    <w:rsid w:val="0045205D"/>
    <w:rsid w:val="004536B5"/>
    <w:rsid w:val="0045487F"/>
    <w:rsid w:val="00454A48"/>
    <w:rsid w:val="00456320"/>
    <w:rsid w:val="004564DF"/>
    <w:rsid w:val="00460076"/>
    <w:rsid w:val="004601DE"/>
    <w:rsid w:val="00460908"/>
    <w:rsid w:val="00461090"/>
    <w:rsid w:val="00461A08"/>
    <w:rsid w:val="00461FFA"/>
    <w:rsid w:val="004630CA"/>
    <w:rsid w:val="004658A9"/>
    <w:rsid w:val="00467346"/>
    <w:rsid w:val="00467B95"/>
    <w:rsid w:val="00471537"/>
    <w:rsid w:val="00471653"/>
    <w:rsid w:val="00471C3F"/>
    <w:rsid w:val="00472245"/>
    <w:rsid w:val="004727DC"/>
    <w:rsid w:val="00472A61"/>
    <w:rsid w:val="00474FB6"/>
    <w:rsid w:val="00475419"/>
    <w:rsid w:val="0047753E"/>
    <w:rsid w:val="004838BB"/>
    <w:rsid w:val="00490F20"/>
    <w:rsid w:val="004930A1"/>
    <w:rsid w:val="00493B28"/>
    <w:rsid w:val="00495B9E"/>
    <w:rsid w:val="0049797C"/>
    <w:rsid w:val="004A00DA"/>
    <w:rsid w:val="004A14B5"/>
    <w:rsid w:val="004A26D3"/>
    <w:rsid w:val="004A2CD4"/>
    <w:rsid w:val="004A3DFB"/>
    <w:rsid w:val="004A69D7"/>
    <w:rsid w:val="004A795D"/>
    <w:rsid w:val="004A7B61"/>
    <w:rsid w:val="004B02D1"/>
    <w:rsid w:val="004B0937"/>
    <w:rsid w:val="004B1211"/>
    <w:rsid w:val="004B3989"/>
    <w:rsid w:val="004B4239"/>
    <w:rsid w:val="004B44E1"/>
    <w:rsid w:val="004B5C19"/>
    <w:rsid w:val="004B6312"/>
    <w:rsid w:val="004B7308"/>
    <w:rsid w:val="004C15C6"/>
    <w:rsid w:val="004C2A32"/>
    <w:rsid w:val="004C31D5"/>
    <w:rsid w:val="004C3CDE"/>
    <w:rsid w:val="004D0F56"/>
    <w:rsid w:val="004D2229"/>
    <w:rsid w:val="004D2537"/>
    <w:rsid w:val="004D31D0"/>
    <w:rsid w:val="004D4986"/>
    <w:rsid w:val="004D5132"/>
    <w:rsid w:val="004D5BCD"/>
    <w:rsid w:val="004D66FE"/>
    <w:rsid w:val="004D6810"/>
    <w:rsid w:val="004E16B5"/>
    <w:rsid w:val="004E4861"/>
    <w:rsid w:val="004E48F5"/>
    <w:rsid w:val="004E4DE5"/>
    <w:rsid w:val="004E4EFF"/>
    <w:rsid w:val="004E572D"/>
    <w:rsid w:val="004E5CAE"/>
    <w:rsid w:val="004E604C"/>
    <w:rsid w:val="004E61BF"/>
    <w:rsid w:val="004E7007"/>
    <w:rsid w:val="004E7DAF"/>
    <w:rsid w:val="004F0AC1"/>
    <w:rsid w:val="004F1C40"/>
    <w:rsid w:val="004F3C95"/>
    <w:rsid w:val="004F64E8"/>
    <w:rsid w:val="004F7C7F"/>
    <w:rsid w:val="00500D05"/>
    <w:rsid w:val="00500DDB"/>
    <w:rsid w:val="00501A28"/>
    <w:rsid w:val="00507BD7"/>
    <w:rsid w:val="0051089F"/>
    <w:rsid w:val="00513283"/>
    <w:rsid w:val="0051354E"/>
    <w:rsid w:val="00513FAE"/>
    <w:rsid w:val="005154F9"/>
    <w:rsid w:val="00515622"/>
    <w:rsid w:val="005228A8"/>
    <w:rsid w:val="00522A1B"/>
    <w:rsid w:val="0052476B"/>
    <w:rsid w:val="0052528D"/>
    <w:rsid w:val="005260B6"/>
    <w:rsid w:val="005307FD"/>
    <w:rsid w:val="0053380E"/>
    <w:rsid w:val="0053522C"/>
    <w:rsid w:val="00535E16"/>
    <w:rsid w:val="00536040"/>
    <w:rsid w:val="005363A6"/>
    <w:rsid w:val="00536674"/>
    <w:rsid w:val="0053752D"/>
    <w:rsid w:val="005428B3"/>
    <w:rsid w:val="005435B1"/>
    <w:rsid w:val="00543EFE"/>
    <w:rsid w:val="005475A5"/>
    <w:rsid w:val="00550A12"/>
    <w:rsid w:val="00554907"/>
    <w:rsid w:val="0055710D"/>
    <w:rsid w:val="00562111"/>
    <w:rsid w:val="005644C1"/>
    <w:rsid w:val="005647A5"/>
    <w:rsid w:val="00566F8E"/>
    <w:rsid w:val="005679DD"/>
    <w:rsid w:val="00570804"/>
    <w:rsid w:val="00570DB8"/>
    <w:rsid w:val="0057169A"/>
    <w:rsid w:val="005720B2"/>
    <w:rsid w:val="00573068"/>
    <w:rsid w:val="0057357C"/>
    <w:rsid w:val="00574688"/>
    <w:rsid w:val="0058114C"/>
    <w:rsid w:val="00583FD7"/>
    <w:rsid w:val="00585266"/>
    <w:rsid w:val="00590595"/>
    <w:rsid w:val="00591866"/>
    <w:rsid w:val="00591909"/>
    <w:rsid w:val="00592E33"/>
    <w:rsid w:val="005948F2"/>
    <w:rsid w:val="005951DC"/>
    <w:rsid w:val="00595A7B"/>
    <w:rsid w:val="0059770F"/>
    <w:rsid w:val="005A2CDA"/>
    <w:rsid w:val="005A40D5"/>
    <w:rsid w:val="005B1BCB"/>
    <w:rsid w:val="005B39D5"/>
    <w:rsid w:val="005B5121"/>
    <w:rsid w:val="005C012E"/>
    <w:rsid w:val="005C2DC3"/>
    <w:rsid w:val="005C396D"/>
    <w:rsid w:val="005C3A57"/>
    <w:rsid w:val="005C40FA"/>
    <w:rsid w:val="005C4AE7"/>
    <w:rsid w:val="005C6202"/>
    <w:rsid w:val="005D1178"/>
    <w:rsid w:val="005D1F29"/>
    <w:rsid w:val="005D2033"/>
    <w:rsid w:val="005D2AD7"/>
    <w:rsid w:val="005D4991"/>
    <w:rsid w:val="005D59B3"/>
    <w:rsid w:val="005D59D7"/>
    <w:rsid w:val="005D6AC2"/>
    <w:rsid w:val="005D7141"/>
    <w:rsid w:val="005D7BD4"/>
    <w:rsid w:val="005E0417"/>
    <w:rsid w:val="005E1A5F"/>
    <w:rsid w:val="005E1C28"/>
    <w:rsid w:val="005E2185"/>
    <w:rsid w:val="005E2463"/>
    <w:rsid w:val="005E5481"/>
    <w:rsid w:val="005E6D7B"/>
    <w:rsid w:val="005E7CF2"/>
    <w:rsid w:val="005F1193"/>
    <w:rsid w:val="005F1341"/>
    <w:rsid w:val="005F1B69"/>
    <w:rsid w:val="005F3A08"/>
    <w:rsid w:val="005F5168"/>
    <w:rsid w:val="005F68E7"/>
    <w:rsid w:val="005F7339"/>
    <w:rsid w:val="005F77AD"/>
    <w:rsid w:val="0060031A"/>
    <w:rsid w:val="00600738"/>
    <w:rsid w:val="00603384"/>
    <w:rsid w:val="006054CF"/>
    <w:rsid w:val="0060617A"/>
    <w:rsid w:val="00610019"/>
    <w:rsid w:val="006101A6"/>
    <w:rsid w:val="00612ACE"/>
    <w:rsid w:val="00615C29"/>
    <w:rsid w:val="00620ED6"/>
    <w:rsid w:val="00621E71"/>
    <w:rsid w:val="00621E91"/>
    <w:rsid w:val="00623842"/>
    <w:rsid w:val="00627618"/>
    <w:rsid w:val="0062765A"/>
    <w:rsid w:val="00631326"/>
    <w:rsid w:val="006321BD"/>
    <w:rsid w:val="0063261D"/>
    <w:rsid w:val="00635F10"/>
    <w:rsid w:val="00640D7A"/>
    <w:rsid w:val="00640F70"/>
    <w:rsid w:val="00641E9C"/>
    <w:rsid w:val="006435A0"/>
    <w:rsid w:val="006444BE"/>
    <w:rsid w:val="00645DF1"/>
    <w:rsid w:val="00646268"/>
    <w:rsid w:val="006465F7"/>
    <w:rsid w:val="006475F2"/>
    <w:rsid w:val="00647D4C"/>
    <w:rsid w:val="006511CD"/>
    <w:rsid w:val="00657050"/>
    <w:rsid w:val="00662937"/>
    <w:rsid w:val="006636FD"/>
    <w:rsid w:val="0066777A"/>
    <w:rsid w:val="00670DA1"/>
    <w:rsid w:val="006724AB"/>
    <w:rsid w:val="00675BEF"/>
    <w:rsid w:val="00677DFC"/>
    <w:rsid w:val="0068051B"/>
    <w:rsid w:val="00680ADF"/>
    <w:rsid w:val="00681CD7"/>
    <w:rsid w:val="006821FE"/>
    <w:rsid w:val="00683940"/>
    <w:rsid w:val="006843A3"/>
    <w:rsid w:val="006869F2"/>
    <w:rsid w:val="00686DFC"/>
    <w:rsid w:val="00687055"/>
    <w:rsid w:val="006920B6"/>
    <w:rsid w:val="00693E44"/>
    <w:rsid w:val="00694271"/>
    <w:rsid w:val="00695572"/>
    <w:rsid w:val="00697CD8"/>
    <w:rsid w:val="006A027B"/>
    <w:rsid w:val="006A1B7A"/>
    <w:rsid w:val="006A1F5D"/>
    <w:rsid w:val="006A4BE7"/>
    <w:rsid w:val="006A6E7D"/>
    <w:rsid w:val="006A7198"/>
    <w:rsid w:val="006A7A0E"/>
    <w:rsid w:val="006A7B25"/>
    <w:rsid w:val="006B1785"/>
    <w:rsid w:val="006B2CE9"/>
    <w:rsid w:val="006B2E4D"/>
    <w:rsid w:val="006B3B90"/>
    <w:rsid w:val="006B55DA"/>
    <w:rsid w:val="006B790D"/>
    <w:rsid w:val="006B79B8"/>
    <w:rsid w:val="006C169E"/>
    <w:rsid w:val="006C1B9F"/>
    <w:rsid w:val="006C1BCD"/>
    <w:rsid w:val="006C326C"/>
    <w:rsid w:val="006C4490"/>
    <w:rsid w:val="006C4D94"/>
    <w:rsid w:val="006C5151"/>
    <w:rsid w:val="006C697F"/>
    <w:rsid w:val="006C7078"/>
    <w:rsid w:val="006C7D89"/>
    <w:rsid w:val="006D0566"/>
    <w:rsid w:val="006D184B"/>
    <w:rsid w:val="006D3427"/>
    <w:rsid w:val="006D3B82"/>
    <w:rsid w:val="006D52E1"/>
    <w:rsid w:val="006D610A"/>
    <w:rsid w:val="006E08A3"/>
    <w:rsid w:val="006E0B6B"/>
    <w:rsid w:val="006E617B"/>
    <w:rsid w:val="006E6705"/>
    <w:rsid w:val="006F3ADA"/>
    <w:rsid w:val="006F5A12"/>
    <w:rsid w:val="006F76B2"/>
    <w:rsid w:val="006F7B71"/>
    <w:rsid w:val="00703C29"/>
    <w:rsid w:val="007059F0"/>
    <w:rsid w:val="00706204"/>
    <w:rsid w:val="00707871"/>
    <w:rsid w:val="00707C6E"/>
    <w:rsid w:val="00710D31"/>
    <w:rsid w:val="00711D8C"/>
    <w:rsid w:val="0071345F"/>
    <w:rsid w:val="007135BB"/>
    <w:rsid w:val="00713757"/>
    <w:rsid w:val="0071452E"/>
    <w:rsid w:val="00714B2A"/>
    <w:rsid w:val="00715061"/>
    <w:rsid w:val="00715712"/>
    <w:rsid w:val="00715CE3"/>
    <w:rsid w:val="00716701"/>
    <w:rsid w:val="00717C27"/>
    <w:rsid w:val="00717CD3"/>
    <w:rsid w:val="00721615"/>
    <w:rsid w:val="00722A74"/>
    <w:rsid w:val="0072303B"/>
    <w:rsid w:val="00723872"/>
    <w:rsid w:val="007242E3"/>
    <w:rsid w:val="00726641"/>
    <w:rsid w:val="0072746C"/>
    <w:rsid w:val="007304DA"/>
    <w:rsid w:val="00732328"/>
    <w:rsid w:val="007324EA"/>
    <w:rsid w:val="00732CF3"/>
    <w:rsid w:val="007335DE"/>
    <w:rsid w:val="00734EFF"/>
    <w:rsid w:val="007376FC"/>
    <w:rsid w:val="007414E3"/>
    <w:rsid w:val="00743402"/>
    <w:rsid w:val="007435CE"/>
    <w:rsid w:val="00744005"/>
    <w:rsid w:val="007448F1"/>
    <w:rsid w:val="007464FC"/>
    <w:rsid w:val="00746CF7"/>
    <w:rsid w:val="00747637"/>
    <w:rsid w:val="007509CD"/>
    <w:rsid w:val="00752A6C"/>
    <w:rsid w:val="007541B3"/>
    <w:rsid w:val="0075468E"/>
    <w:rsid w:val="007573B0"/>
    <w:rsid w:val="00757D7E"/>
    <w:rsid w:val="007605D2"/>
    <w:rsid w:val="00760C34"/>
    <w:rsid w:val="00760FA9"/>
    <w:rsid w:val="007624DE"/>
    <w:rsid w:val="00762F69"/>
    <w:rsid w:val="007667B7"/>
    <w:rsid w:val="007668A0"/>
    <w:rsid w:val="007706D8"/>
    <w:rsid w:val="00773DE3"/>
    <w:rsid w:val="007768B1"/>
    <w:rsid w:val="0078111A"/>
    <w:rsid w:val="00781973"/>
    <w:rsid w:val="007839B7"/>
    <w:rsid w:val="00785F7C"/>
    <w:rsid w:val="00786092"/>
    <w:rsid w:val="0078726C"/>
    <w:rsid w:val="0079219F"/>
    <w:rsid w:val="00792E36"/>
    <w:rsid w:val="00793B14"/>
    <w:rsid w:val="00793C1B"/>
    <w:rsid w:val="007943C7"/>
    <w:rsid w:val="007952F3"/>
    <w:rsid w:val="00797A38"/>
    <w:rsid w:val="00797F4E"/>
    <w:rsid w:val="007A14D2"/>
    <w:rsid w:val="007A3789"/>
    <w:rsid w:val="007A48FB"/>
    <w:rsid w:val="007A5BB9"/>
    <w:rsid w:val="007A61A1"/>
    <w:rsid w:val="007A75CC"/>
    <w:rsid w:val="007B029E"/>
    <w:rsid w:val="007B1741"/>
    <w:rsid w:val="007B7470"/>
    <w:rsid w:val="007C26A3"/>
    <w:rsid w:val="007C3D6F"/>
    <w:rsid w:val="007C4769"/>
    <w:rsid w:val="007C4BF2"/>
    <w:rsid w:val="007C4DBA"/>
    <w:rsid w:val="007C6AB0"/>
    <w:rsid w:val="007C7247"/>
    <w:rsid w:val="007D0FF4"/>
    <w:rsid w:val="007D1201"/>
    <w:rsid w:val="007D12D0"/>
    <w:rsid w:val="007D1448"/>
    <w:rsid w:val="007D24D9"/>
    <w:rsid w:val="007D2C65"/>
    <w:rsid w:val="007D31D0"/>
    <w:rsid w:val="007D5205"/>
    <w:rsid w:val="007E153A"/>
    <w:rsid w:val="007E1953"/>
    <w:rsid w:val="007E1E31"/>
    <w:rsid w:val="007E324F"/>
    <w:rsid w:val="007E35E5"/>
    <w:rsid w:val="007E3F2D"/>
    <w:rsid w:val="007E5888"/>
    <w:rsid w:val="007E5DDC"/>
    <w:rsid w:val="007F05C4"/>
    <w:rsid w:val="007F0C23"/>
    <w:rsid w:val="007F171B"/>
    <w:rsid w:val="007F1DAF"/>
    <w:rsid w:val="007F2F94"/>
    <w:rsid w:val="007F2FC3"/>
    <w:rsid w:val="007F42C2"/>
    <w:rsid w:val="007F49F4"/>
    <w:rsid w:val="008003DD"/>
    <w:rsid w:val="0080095A"/>
    <w:rsid w:val="00802828"/>
    <w:rsid w:val="008036E2"/>
    <w:rsid w:val="00804D42"/>
    <w:rsid w:val="00804E8A"/>
    <w:rsid w:val="0080657F"/>
    <w:rsid w:val="00807DC0"/>
    <w:rsid w:val="00810B6B"/>
    <w:rsid w:val="00810DD4"/>
    <w:rsid w:val="00812CD1"/>
    <w:rsid w:val="00814D8D"/>
    <w:rsid w:val="00815454"/>
    <w:rsid w:val="00815C62"/>
    <w:rsid w:val="0081743C"/>
    <w:rsid w:val="0081759A"/>
    <w:rsid w:val="008207F7"/>
    <w:rsid w:val="008228EA"/>
    <w:rsid w:val="008243D9"/>
    <w:rsid w:val="00826608"/>
    <w:rsid w:val="008271AE"/>
    <w:rsid w:val="00827ABF"/>
    <w:rsid w:val="00830895"/>
    <w:rsid w:val="0083140B"/>
    <w:rsid w:val="00831761"/>
    <w:rsid w:val="008326E6"/>
    <w:rsid w:val="00832C93"/>
    <w:rsid w:val="008417D1"/>
    <w:rsid w:val="008441BB"/>
    <w:rsid w:val="00845E15"/>
    <w:rsid w:val="008505CE"/>
    <w:rsid w:val="0085172F"/>
    <w:rsid w:val="00851D34"/>
    <w:rsid w:val="0085382A"/>
    <w:rsid w:val="008539A2"/>
    <w:rsid w:val="0085413B"/>
    <w:rsid w:val="00855BD7"/>
    <w:rsid w:val="00861A3C"/>
    <w:rsid w:val="00863031"/>
    <w:rsid w:val="00864018"/>
    <w:rsid w:val="008640AC"/>
    <w:rsid w:val="00865269"/>
    <w:rsid w:val="008709DE"/>
    <w:rsid w:val="00871BB3"/>
    <w:rsid w:val="00871E1D"/>
    <w:rsid w:val="00872CBC"/>
    <w:rsid w:val="00874500"/>
    <w:rsid w:val="00875860"/>
    <w:rsid w:val="00883412"/>
    <w:rsid w:val="00884FC0"/>
    <w:rsid w:val="00887204"/>
    <w:rsid w:val="00890B18"/>
    <w:rsid w:val="00894494"/>
    <w:rsid w:val="00894566"/>
    <w:rsid w:val="00894FBA"/>
    <w:rsid w:val="00896285"/>
    <w:rsid w:val="00896B1D"/>
    <w:rsid w:val="008A1716"/>
    <w:rsid w:val="008A1963"/>
    <w:rsid w:val="008A1C19"/>
    <w:rsid w:val="008A3BBC"/>
    <w:rsid w:val="008A415A"/>
    <w:rsid w:val="008A5D54"/>
    <w:rsid w:val="008A60DC"/>
    <w:rsid w:val="008A7261"/>
    <w:rsid w:val="008A7FC2"/>
    <w:rsid w:val="008B2D0A"/>
    <w:rsid w:val="008B4252"/>
    <w:rsid w:val="008B522D"/>
    <w:rsid w:val="008B65E5"/>
    <w:rsid w:val="008C1E76"/>
    <w:rsid w:val="008C3257"/>
    <w:rsid w:val="008C3399"/>
    <w:rsid w:val="008C39BD"/>
    <w:rsid w:val="008C3D90"/>
    <w:rsid w:val="008C52F0"/>
    <w:rsid w:val="008C5DDB"/>
    <w:rsid w:val="008C672F"/>
    <w:rsid w:val="008C6F62"/>
    <w:rsid w:val="008C7A33"/>
    <w:rsid w:val="008D01D0"/>
    <w:rsid w:val="008D3300"/>
    <w:rsid w:val="008D7842"/>
    <w:rsid w:val="008E0599"/>
    <w:rsid w:val="008E1A1F"/>
    <w:rsid w:val="008E2DE4"/>
    <w:rsid w:val="008E4A1B"/>
    <w:rsid w:val="008F2A8B"/>
    <w:rsid w:val="008F4AAF"/>
    <w:rsid w:val="008F4C29"/>
    <w:rsid w:val="008F6357"/>
    <w:rsid w:val="00902F7A"/>
    <w:rsid w:val="009065EE"/>
    <w:rsid w:val="00906DAC"/>
    <w:rsid w:val="0091009B"/>
    <w:rsid w:val="00910804"/>
    <w:rsid w:val="00910CDA"/>
    <w:rsid w:val="00911678"/>
    <w:rsid w:val="00912BF0"/>
    <w:rsid w:val="0091316A"/>
    <w:rsid w:val="009147F0"/>
    <w:rsid w:val="00914998"/>
    <w:rsid w:val="00914BEE"/>
    <w:rsid w:val="0091582B"/>
    <w:rsid w:val="00916359"/>
    <w:rsid w:val="0091658F"/>
    <w:rsid w:val="00923A46"/>
    <w:rsid w:val="00924A48"/>
    <w:rsid w:val="00924A55"/>
    <w:rsid w:val="00925FC1"/>
    <w:rsid w:val="00926343"/>
    <w:rsid w:val="00930C70"/>
    <w:rsid w:val="00930DE8"/>
    <w:rsid w:val="0093174B"/>
    <w:rsid w:val="009335FC"/>
    <w:rsid w:val="009356EB"/>
    <w:rsid w:val="00940114"/>
    <w:rsid w:val="00940295"/>
    <w:rsid w:val="009416BF"/>
    <w:rsid w:val="00942FCC"/>
    <w:rsid w:val="00943404"/>
    <w:rsid w:val="00944672"/>
    <w:rsid w:val="00944C04"/>
    <w:rsid w:val="00951F89"/>
    <w:rsid w:val="00952EFF"/>
    <w:rsid w:val="00955121"/>
    <w:rsid w:val="00956667"/>
    <w:rsid w:val="009567EC"/>
    <w:rsid w:val="00961805"/>
    <w:rsid w:val="00961B65"/>
    <w:rsid w:val="00963670"/>
    <w:rsid w:val="00963F5F"/>
    <w:rsid w:val="00963F6F"/>
    <w:rsid w:val="00965E98"/>
    <w:rsid w:val="00966EF7"/>
    <w:rsid w:val="009678FE"/>
    <w:rsid w:val="00967FDA"/>
    <w:rsid w:val="009710C1"/>
    <w:rsid w:val="00973AC8"/>
    <w:rsid w:val="009764F6"/>
    <w:rsid w:val="009776F2"/>
    <w:rsid w:val="0098014C"/>
    <w:rsid w:val="0098060C"/>
    <w:rsid w:val="00981D44"/>
    <w:rsid w:val="00982810"/>
    <w:rsid w:val="00982BB4"/>
    <w:rsid w:val="0098335F"/>
    <w:rsid w:val="00983D81"/>
    <w:rsid w:val="00984F94"/>
    <w:rsid w:val="00985E1F"/>
    <w:rsid w:val="00986D96"/>
    <w:rsid w:val="0098714E"/>
    <w:rsid w:val="00991AD2"/>
    <w:rsid w:val="0099328E"/>
    <w:rsid w:val="00993303"/>
    <w:rsid w:val="00996898"/>
    <w:rsid w:val="009A06E1"/>
    <w:rsid w:val="009A1161"/>
    <w:rsid w:val="009A1CB2"/>
    <w:rsid w:val="009A1D0C"/>
    <w:rsid w:val="009A5001"/>
    <w:rsid w:val="009A52BF"/>
    <w:rsid w:val="009A6098"/>
    <w:rsid w:val="009A63C7"/>
    <w:rsid w:val="009A7F70"/>
    <w:rsid w:val="009B1476"/>
    <w:rsid w:val="009B3AC2"/>
    <w:rsid w:val="009B3B91"/>
    <w:rsid w:val="009B4015"/>
    <w:rsid w:val="009B6F57"/>
    <w:rsid w:val="009C2CFB"/>
    <w:rsid w:val="009C3262"/>
    <w:rsid w:val="009C39C7"/>
    <w:rsid w:val="009D03C5"/>
    <w:rsid w:val="009D1405"/>
    <w:rsid w:val="009D3AB1"/>
    <w:rsid w:val="009D3DBF"/>
    <w:rsid w:val="009D44FB"/>
    <w:rsid w:val="009D4973"/>
    <w:rsid w:val="009D4B50"/>
    <w:rsid w:val="009D5D4B"/>
    <w:rsid w:val="009D5E4A"/>
    <w:rsid w:val="009D6D0B"/>
    <w:rsid w:val="009D7D83"/>
    <w:rsid w:val="009E097B"/>
    <w:rsid w:val="009E1424"/>
    <w:rsid w:val="009E152B"/>
    <w:rsid w:val="009E1849"/>
    <w:rsid w:val="009E3F25"/>
    <w:rsid w:val="009E4656"/>
    <w:rsid w:val="009E5120"/>
    <w:rsid w:val="009E68A5"/>
    <w:rsid w:val="009E6E44"/>
    <w:rsid w:val="009F2EFC"/>
    <w:rsid w:val="009F3EEF"/>
    <w:rsid w:val="009F5DA2"/>
    <w:rsid w:val="009F6B46"/>
    <w:rsid w:val="00A00F2F"/>
    <w:rsid w:val="00A02152"/>
    <w:rsid w:val="00A0256F"/>
    <w:rsid w:val="00A109E9"/>
    <w:rsid w:val="00A1174B"/>
    <w:rsid w:val="00A11C06"/>
    <w:rsid w:val="00A1453D"/>
    <w:rsid w:val="00A159BE"/>
    <w:rsid w:val="00A15E1F"/>
    <w:rsid w:val="00A204EB"/>
    <w:rsid w:val="00A21397"/>
    <w:rsid w:val="00A219F9"/>
    <w:rsid w:val="00A266A2"/>
    <w:rsid w:val="00A26B14"/>
    <w:rsid w:val="00A27613"/>
    <w:rsid w:val="00A30C56"/>
    <w:rsid w:val="00A31D50"/>
    <w:rsid w:val="00A32556"/>
    <w:rsid w:val="00A32781"/>
    <w:rsid w:val="00A32AD1"/>
    <w:rsid w:val="00A33A22"/>
    <w:rsid w:val="00A3502A"/>
    <w:rsid w:val="00A35ADF"/>
    <w:rsid w:val="00A36261"/>
    <w:rsid w:val="00A36717"/>
    <w:rsid w:val="00A371B5"/>
    <w:rsid w:val="00A41851"/>
    <w:rsid w:val="00A460C5"/>
    <w:rsid w:val="00A46571"/>
    <w:rsid w:val="00A4689E"/>
    <w:rsid w:val="00A50CA7"/>
    <w:rsid w:val="00A51E04"/>
    <w:rsid w:val="00A5240C"/>
    <w:rsid w:val="00A53ADA"/>
    <w:rsid w:val="00A545CA"/>
    <w:rsid w:val="00A54D9A"/>
    <w:rsid w:val="00A5575C"/>
    <w:rsid w:val="00A57090"/>
    <w:rsid w:val="00A57EEA"/>
    <w:rsid w:val="00A60606"/>
    <w:rsid w:val="00A61E1B"/>
    <w:rsid w:val="00A64CAE"/>
    <w:rsid w:val="00A654F0"/>
    <w:rsid w:val="00A66823"/>
    <w:rsid w:val="00A6721B"/>
    <w:rsid w:val="00A6740E"/>
    <w:rsid w:val="00A67C49"/>
    <w:rsid w:val="00A724C3"/>
    <w:rsid w:val="00A72FB6"/>
    <w:rsid w:val="00A8043F"/>
    <w:rsid w:val="00A80C6B"/>
    <w:rsid w:val="00A829B5"/>
    <w:rsid w:val="00A82CFF"/>
    <w:rsid w:val="00A82E1F"/>
    <w:rsid w:val="00A84AD3"/>
    <w:rsid w:val="00A86A4F"/>
    <w:rsid w:val="00A87270"/>
    <w:rsid w:val="00A91365"/>
    <w:rsid w:val="00A9157C"/>
    <w:rsid w:val="00A917DA"/>
    <w:rsid w:val="00A95C0E"/>
    <w:rsid w:val="00A9718B"/>
    <w:rsid w:val="00A97321"/>
    <w:rsid w:val="00A9741F"/>
    <w:rsid w:val="00AA00BE"/>
    <w:rsid w:val="00AA30BD"/>
    <w:rsid w:val="00AA3CC8"/>
    <w:rsid w:val="00AA7CDD"/>
    <w:rsid w:val="00AB1043"/>
    <w:rsid w:val="00AB11F6"/>
    <w:rsid w:val="00AB15D0"/>
    <w:rsid w:val="00AB1B6C"/>
    <w:rsid w:val="00AB1BAF"/>
    <w:rsid w:val="00AB33B3"/>
    <w:rsid w:val="00AB3BF0"/>
    <w:rsid w:val="00AB5752"/>
    <w:rsid w:val="00AB6440"/>
    <w:rsid w:val="00AB6834"/>
    <w:rsid w:val="00AB69D4"/>
    <w:rsid w:val="00AB74F2"/>
    <w:rsid w:val="00AC274A"/>
    <w:rsid w:val="00AC28EB"/>
    <w:rsid w:val="00AC3733"/>
    <w:rsid w:val="00AC43A9"/>
    <w:rsid w:val="00AC52B1"/>
    <w:rsid w:val="00AC52BF"/>
    <w:rsid w:val="00AC58E5"/>
    <w:rsid w:val="00AC65AC"/>
    <w:rsid w:val="00AD055A"/>
    <w:rsid w:val="00AD096E"/>
    <w:rsid w:val="00AD130C"/>
    <w:rsid w:val="00AD1849"/>
    <w:rsid w:val="00AD2C1D"/>
    <w:rsid w:val="00AD30C0"/>
    <w:rsid w:val="00AD3507"/>
    <w:rsid w:val="00AD6582"/>
    <w:rsid w:val="00AD7951"/>
    <w:rsid w:val="00AE0116"/>
    <w:rsid w:val="00AE0651"/>
    <w:rsid w:val="00AE21E6"/>
    <w:rsid w:val="00AE2354"/>
    <w:rsid w:val="00AE3654"/>
    <w:rsid w:val="00AE55A0"/>
    <w:rsid w:val="00AE6096"/>
    <w:rsid w:val="00AE6E19"/>
    <w:rsid w:val="00AF19FE"/>
    <w:rsid w:val="00AF1B4F"/>
    <w:rsid w:val="00AF2051"/>
    <w:rsid w:val="00AF2F6E"/>
    <w:rsid w:val="00AF41F4"/>
    <w:rsid w:val="00AF5A70"/>
    <w:rsid w:val="00AF5FCA"/>
    <w:rsid w:val="00AF6AFD"/>
    <w:rsid w:val="00AF74A0"/>
    <w:rsid w:val="00B00970"/>
    <w:rsid w:val="00B00F53"/>
    <w:rsid w:val="00B01624"/>
    <w:rsid w:val="00B04B5B"/>
    <w:rsid w:val="00B04BAD"/>
    <w:rsid w:val="00B04E1C"/>
    <w:rsid w:val="00B051E7"/>
    <w:rsid w:val="00B0583C"/>
    <w:rsid w:val="00B05DEC"/>
    <w:rsid w:val="00B062DD"/>
    <w:rsid w:val="00B076D0"/>
    <w:rsid w:val="00B11360"/>
    <w:rsid w:val="00B11ACC"/>
    <w:rsid w:val="00B11B00"/>
    <w:rsid w:val="00B12203"/>
    <w:rsid w:val="00B129B2"/>
    <w:rsid w:val="00B15512"/>
    <w:rsid w:val="00B16563"/>
    <w:rsid w:val="00B16FB0"/>
    <w:rsid w:val="00B1771C"/>
    <w:rsid w:val="00B1777F"/>
    <w:rsid w:val="00B17B73"/>
    <w:rsid w:val="00B17C57"/>
    <w:rsid w:val="00B212B4"/>
    <w:rsid w:val="00B220FC"/>
    <w:rsid w:val="00B2363C"/>
    <w:rsid w:val="00B24A94"/>
    <w:rsid w:val="00B24C1E"/>
    <w:rsid w:val="00B25111"/>
    <w:rsid w:val="00B26346"/>
    <w:rsid w:val="00B2799A"/>
    <w:rsid w:val="00B35EF7"/>
    <w:rsid w:val="00B41F90"/>
    <w:rsid w:val="00B42935"/>
    <w:rsid w:val="00B43218"/>
    <w:rsid w:val="00B44027"/>
    <w:rsid w:val="00B444E9"/>
    <w:rsid w:val="00B45705"/>
    <w:rsid w:val="00B51048"/>
    <w:rsid w:val="00B51B0F"/>
    <w:rsid w:val="00B52408"/>
    <w:rsid w:val="00B52616"/>
    <w:rsid w:val="00B52873"/>
    <w:rsid w:val="00B53732"/>
    <w:rsid w:val="00B53B05"/>
    <w:rsid w:val="00B5522B"/>
    <w:rsid w:val="00B57893"/>
    <w:rsid w:val="00B57AD9"/>
    <w:rsid w:val="00B603C8"/>
    <w:rsid w:val="00B62005"/>
    <w:rsid w:val="00B63D9C"/>
    <w:rsid w:val="00B648D8"/>
    <w:rsid w:val="00B64E2E"/>
    <w:rsid w:val="00B65852"/>
    <w:rsid w:val="00B6597E"/>
    <w:rsid w:val="00B66089"/>
    <w:rsid w:val="00B66225"/>
    <w:rsid w:val="00B664FD"/>
    <w:rsid w:val="00B6755B"/>
    <w:rsid w:val="00B67D51"/>
    <w:rsid w:val="00B7176D"/>
    <w:rsid w:val="00B71E0B"/>
    <w:rsid w:val="00B743D2"/>
    <w:rsid w:val="00B74DDD"/>
    <w:rsid w:val="00B75632"/>
    <w:rsid w:val="00B76865"/>
    <w:rsid w:val="00B819C7"/>
    <w:rsid w:val="00B837DD"/>
    <w:rsid w:val="00B85379"/>
    <w:rsid w:val="00B87049"/>
    <w:rsid w:val="00B8790E"/>
    <w:rsid w:val="00B90184"/>
    <w:rsid w:val="00B906A2"/>
    <w:rsid w:val="00B92592"/>
    <w:rsid w:val="00B93379"/>
    <w:rsid w:val="00B94421"/>
    <w:rsid w:val="00B957CD"/>
    <w:rsid w:val="00BA1A7E"/>
    <w:rsid w:val="00BA1D1C"/>
    <w:rsid w:val="00BA1F4B"/>
    <w:rsid w:val="00BA3959"/>
    <w:rsid w:val="00BA44A4"/>
    <w:rsid w:val="00BA486B"/>
    <w:rsid w:val="00BA55C9"/>
    <w:rsid w:val="00BA6094"/>
    <w:rsid w:val="00BA71FA"/>
    <w:rsid w:val="00BB1167"/>
    <w:rsid w:val="00BB21ED"/>
    <w:rsid w:val="00BB24FB"/>
    <w:rsid w:val="00BB2558"/>
    <w:rsid w:val="00BB28E0"/>
    <w:rsid w:val="00BB4CE7"/>
    <w:rsid w:val="00BB7406"/>
    <w:rsid w:val="00BB762A"/>
    <w:rsid w:val="00BC06BC"/>
    <w:rsid w:val="00BC1008"/>
    <w:rsid w:val="00BC4BD4"/>
    <w:rsid w:val="00BC5237"/>
    <w:rsid w:val="00BD0434"/>
    <w:rsid w:val="00BD0F52"/>
    <w:rsid w:val="00BD64E3"/>
    <w:rsid w:val="00BD65F9"/>
    <w:rsid w:val="00BD6D4B"/>
    <w:rsid w:val="00BD6F4F"/>
    <w:rsid w:val="00BE175E"/>
    <w:rsid w:val="00BE2DB6"/>
    <w:rsid w:val="00BE7D70"/>
    <w:rsid w:val="00BF09B4"/>
    <w:rsid w:val="00BF1678"/>
    <w:rsid w:val="00BF1CCC"/>
    <w:rsid w:val="00BF1EC6"/>
    <w:rsid w:val="00BF67C2"/>
    <w:rsid w:val="00BF7804"/>
    <w:rsid w:val="00C00D24"/>
    <w:rsid w:val="00C01461"/>
    <w:rsid w:val="00C022C9"/>
    <w:rsid w:val="00C0427F"/>
    <w:rsid w:val="00C0439A"/>
    <w:rsid w:val="00C04A43"/>
    <w:rsid w:val="00C063D1"/>
    <w:rsid w:val="00C07F85"/>
    <w:rsid w:val="00C10507"/>
    <w:rsid w:val="00C10FB4"/>
    <w:rsid w:val="00C11153"/>
    <w:rsid w:val="00C154D8"/>
    <w:rsid w:val="00C16593"/>
    <w:rsid w:val="00C17CD4"/>
    <w:rsid w:val="00C209EA"/>
    <w:rsid w:val="00C2132A"/>
    <w:rsid w:val="00C23A4B"/>
    <w:rsid w:val="00C24148"/>
    <w:rsid w:val="00C24425"/>
    <w:rsid w:val="00C2565C"/>
    <w:rsid w:val="00C27DE4"/>
    <w:rsid w:val="00C306E5"/>
    <w:rsid w:val="00C31B30"/>
    <w:rsid w:val="00C323E4"/>
    <w:rsid w:val="00C3395C"/>
    <w:rsid w:val="00C34DCD"/>
    <w:rsid w:val="00C36996"/>
    <w:rsid w:val="00C40623"/>
    <w:rsid w:val="00C40E6D"/>
    <w:rsid w:val="00C41304"/>
    <w:rsid w:val="00C41521"/>
    <w:rsid w:val="00C41705"/>
    <w:rsid w:val="00C44D86"/>
    <w:rsid w:val="00C46C4E"/>
    <w:rsid w:val="00C501D4"/>
    <w:rsid w:val="00C51067"/>
    <w:rsid w:val="00C51C03"/>
    <w:rsid w:val="00C535B8"/>
    <w:rsid w:val="00C538A8"/>
    <w:rsid w:val="00C54B31"/>
    <w:rsid w:val="00C54BCC"/>
    <w:rsid w:val="00C553D7"/>
    <w:rsid w:val="00C602B4"/>
    <w:rsid w:val="00C6097B"/>
    <w:rsid w:val="00C627DE"/>
    <w:rsid w:val="00C634ED"/>
    <w:rsid w:val="00C64E43"/>
    <w:rsid w:val="00C6547A"/>
    <w:rsid w:val="00C6564D"/>
    <w:rsid w:val="00C66CEA"/>
    <w:rsid w:val="00C67219"/>
    <w:rsid w:val="00C7127E"/>
    <w:rsid w:val="00C76CD7"/>
    <w:rsid w:val="00C77332"/>
    <w:rsid w:val="00C8283F"/>
    <w:rsid w:val="00C8549B"/>
    <w:rsid w:val="00C854CE"/>
    <w:rsid w:val="00C90849"/>
    <w:rsid w:val="00C90D51"/>
    <w:rsid w:val="00C91CDB"/>
    <w:rsid w:val="00C92678"/>
    <w:rsid w:val="00C92BB3"/>
    <w:rsid w:val="00C9402D"/>
    <w:rsid w:val="00C94446"/>
    <w:rsid w:val="00C9648F"/>
    <w:rsid w:val="00C967EC"/>
    <w:rsid w:val="00C96E10"/>
    <w:rsid w:val="00CA1165"/>
    <w:rsid w:val="00CA2235"/>
    <w:rsid w:val="00CA337C"/>
    <w:rsid w:val="00CA4423"/>
    <w:rsid w:val="00CA553A"/>
    <w:rsid w:val="00CA5587"/>
    <w:rsid w:val="00CA70ED"/>
    <w:rsid w:val="00CA75C8"/>
    <w:rsid w:val="00CB00D0"/>
    <w:rsid w:val="00CB1125"/>
    <w:rsid w:val="00CB3B24"/>
    <w:rsid w:val="00CC1AAA"/>
    <w:rsid w:val="00CC2648"/>
    <w:rsid w:val="00CC381E"/>
    <w:rsid w:val="00CC5C3E"/>
    <w:rsid w:val="00CC7E2C"/>
    <w:rsid w:val="00CD06D1"/>
    <w:rsid w:val="00CD24C2"/>
    <w:rsid w:val="00CD36A5"/>
    <w:rsid w:val="00CD72F4"/>
    <w:rsid w:val="00CD7709"/>
    <w:rsid w:val="00CD7A79"/>
    <w:rsid w:val="00CE10DF"/>
    <w:rsid w:val="00CE1825"/>
    <w:rsid w:val="00CE1ABB"/>
    <w:rsid w:val="00CE4A73"/>
    <w:rsid w:val="00CE4B78"/>
    <w:rsid w:val="00CE5C43"/>
    <w:rsid w:val="00CF082F"/>
    <w:rsid w:val="00CF46BA"/>
    <w:rsid w:val="00CF7CE9"/>
    <w:rsid w:val="00D00911"/>
    <w:rsid w:val="00D011DC"/>
    <w:rsid w:val="00D02F69"/>
    <w:rsid w:val="00D04F68"/>
    <w:rsid w:val="00D11882"/>
    <w:rsid w:val="00D11CA4"/>
    <w:rsid w:val="00D150D5"/>
    <w:rsid w:val="00D1542E"/>
    <w:rsid w:val="00D1641B"/>
    <w:rsid w:val="00D169E4"/>
    <w:rsid w:val="00D16A42"/>
    <w:rsid w:val="00D20706"/>
    <w:rsid w:val="00D22743"/>
    <w:rsid w:val="00D24110"/>
    <w:rsid w:val="00D24396"/>
    <w:rsid w:val="00D24ABD"/>
    <w:rsid w:val="00D24AE2"/>
    <w:rsid w:val="00D2572A"/>
    <w:rsid w:val="00D25F48"/>
    <w:rsid w:val="00D347A9"/>
    <w:rsid w:val="00D370F2"/>
    <w:rsid w:val="00D4215A"/>
    <w:rsid w:val="00D42F13"/>
    <w:rsid w:val="00D45D3F"/>
    <w:rsid w:val="00D46880"/>
    <w:rsid w:val="00D4796C"/>
    <w:rsid w:val="00D55C64"/>
    <w:rsid w:val="00D55D84"/>
    <w:rsid w:val="00D56BAD"/>
    <w:rsid w:val="00D57AF5"/>
    <w:rsid w:val="00D57E0F"/>
    <w:rsid w:val="00D6257B"/>
    <w:rsid w:val="00D652C0"/>
    <w:rsid w:val="00D65B03"/>
    <w:rsid w:val="00D6637C"/>
    <w:rsid w:val="00D6693F"/>
    <w:rsid w:val="00D66C3B"/>
    <w:rsid w:val="00D66D32"/>
    <w:rsid w:val="00D67098"/>
    <w:rsid w:val="00D67ECC"/>
    <w:rsid w:val="00D7047E"/>
    <w:rsid w:val="00D70774"/>
    <w:rsid w:val="00D71A84"/>
    <w:rsid w:val="00D721E0"/>
    <w:rsid w:val="00D74D58"/>
    <w:rsid w:val="00D74E03"/>
    <w:rsid w:val="00D768A6"/>
    <w:rsid w:val="00D769E8"/>
    <w:rsid w:val="00D76FFD"/>
    <w:rsid w:val="00D77166"/>
    <w:rsid w:val="00D77583"/>
    <w:rsid w:val="00D811AF"/>
    <w:rsid w:val="00D823ED"/>
    <w:rsid w:val="00D8435A"/>
    <w:rsid w:val="00D93393"/>
    <w:rsid w:val="00D944C9"/>
    <w:rsid w:val="00D94C5C"/>
    <w:rsid w:val="00D97092"/>
    <w:rsid w:val="00D9719C"/>
    <w:rsid w:val="00D97961"/>
    <w:rsid w:val="00DA341E"/>
    <w:rsid w:val="00DA4D40"/>
    <w:rsid w:val="00DA684F"/>
    <w:rsid w:val="00DB09B0"/>
    <w:rsid w:val="00DB3D99"/>
    <w:rsid w:val="00DB3F18"/>
    <w:rsid w:val="00DB6435"/>
    <w:rsid w:val="00DC1101"/>
    <w:rsid w:val="00DC15EF"/>
    <w:rsid w:val="00DC3DBE"/>
    <w:rsid w:val="00DC45E9"/>
    <w:rsid w:val="00DC5B3C"/>
    <w:rsid w:val="00DC7FA3"/>
    <w:rsid w:val="00DD08E7"/>
    <w:rsid w:val="00DD0DF8"/>
    <w:rsid w:val="00DD4578"/>
    <w:rsid w:val="00DD499C"/>
    <w:rsid w:val="00DD5308"/>
    <w:rsid w:val="00DD57AA"/>
    <w:rsid w:val="00DD5E49"/>
    <w:rsid w:val="00DD70B1"/>
    <w:rsid w:val="00DE2095"/>
    <w:rsid w:val="00DE5658"/>
    <w:rsid w:val="00DE588B"/>
    <w:rsid w:val="00DE5C5C"/>
    <w:rsid w:val="00DE6692"/>
    <w:rsid w:val="00DF0F4D"/>
    <w:rsid w:val="00DF10F4"/>
    <w:rsid w:val="00DF18D1"/>
    <w:rsid w:val="00DF22F5"/>
    <w:rsid w:val="00DF5D1A"/>
    <w:rsid w:val="00DF6CCC"/>
    <w:rsid w:val="00DF7813"/>
    <w:rsid w:val="00E029FE"/>
    <w:rsid w:val="00E02F21"/>
    <w:rsid w:val="00E04A72"/>
    <w:rsid w:val="00E05029"/>
    <w:rsid w:val="00E0558B"/>
    <w:rsid w:val="00E06ABA"/>
    <w:rsid w:val="00E12AED"/>
    <w:rsid w:val="00E13130"/>
    <w:rsid w:val="00E14D85"/>
    <w:rsid w:val="00E161C1"/>
    <w:rsid w:val="00E17DBB"/>
    <w:rsid w:val="00E24EE3"/>
    <w:rsid w:val="00E252CB"/>
    <w:rsid w:val="00E2794D"/>
    <w:rsid w:val="00E3137F"/>
    <w:rsid w:val="00E3422C"/>
    <w:rsid w:val="00E348B4"/>
    <w:rsid w:val="00E35EFA"/>
    <w:rsid w:val="00E37BD5"/>
    <w:rsid w:val="00E41978"/>
    <w:rsid w:val="00E41D2F"/>
    <w:rsid w:val="00E44431"/>
    <w:rsid w:val="00E44E7B"/>
    <w:rsid w:val="00E462ED"/>
    <w:rsid w:val="00E46D09"/>
    <w:rsid w:val="00E51A7B"/>
    <w:rsid w:val="00E51B15"/>
    <w:rsid w:val="00E5225D"/>
    <w:rsid w:val="00E53052"/>
    <w:rsid w:val="00E53053"/>
    <w:rsid w:val="00E54364"/>
    <w:rsid w:val="00E55C18"/>
    <w:rsid w:val="00E564B7"/>
    <w:rsid w:val="00E56586"/>
    <w:rsid w:val="00E61401"/>
    <w:rsid w:val="00E6197C"/>
    <w:rsid w:val="00E61C77"/>
    <w:rsid w:val="00E628DB"/>
    <w:rsid w:val="00E6397E"/>
    <w:rsid w:val="00E64879"/>
    <w:rsid w:val="00E6501A"/>
    <w:rsid w:val="00E6533A"/>
    <w:rsid w:val="00E6721C"/>
    <w:rsid w:val="00E70D47"/>
    <w:rsid w:val="00E731E6"/>
    <w:rsid w:val="00E74709"/>
    <w:rsid w:val="00E758CA"/>
    <w:rsid w:val="00E75DE4"/>
    <w:rsid w:val="00E7669E"/>
    <w:rsid w:val="00E77E94"/>
    <w:rsid w:val="00E827E1"/>
    <w:rsid w:val="00E82CC9"/>
    <w:rsid w:val="00E83752"/>
    <w:rsid w:val="00E83FED"/>
    <w:rsid w:val="00E868BD"/>
    <w:rsid w:val="00E87C79"/>
    <w:rsid w:val="00E9222C"/>
    <w:rsid w:val="00E944A2"/>
    <w:rsid w:val="00E956AA"/>
    <w:rsid w:val="00E9762F"/>
    <w:rsid w:val="00EA19B3"/>
    <w:rsid w:val="00EA4FB0"/>
    <w:rsid w:val="00EA706D"/>
    <w:rsid w:val="00EA7ABD"/>
    <w:rsid w:val="00EB258C"/>
    <w:rsid w:val="00EB77AD"/>
    <w:rsid w:val="00EC0B81"/>
    <w:rsid w:val="00EC33CE"/>
    <w:rsid w:val="00EC47D6"/>
    <w:rsid w:val="00EC4ED1"/>
    <w:rsid w:val="00EC5855"/>
    <w:rsid w:val="00EC64B1"/>
    <w:rsid w:val="00ED042B"/>
    <w:rsid w:val="00ED18C1"/>
    <w:rsid w:val="00ED1D25"/>
    <w:rsid w:val="00ED1E84"/>
    <w:rsid w:val="00ED1FDA"/>
    <w:rsid w:val="00ED3192"/>
    <w:rsid w:val="00ED57F6"/>
    <w:rsid w:val="00ED5D48"/>
    <w:rsid w:val="00EE18DF"/>
    <w:rsid w:val="00EE235D"/>
    <w:rsid w:val="00EE49A1"/>
    <w:rsid w:val="00EE6D66"/>
    <w:rsid w:val="00EF05D5"/>
    <w:rsid w:val="00F048E4"/>
    <w:rsid w:val="00F05250"/>
    <w:rsid w:val="00F05484"/>
    <w:rsid w:val="00F07265"/>
    <w:rsid w:val="00F07DAE"/>
    <w:rsid w:val="00F12EDE"/>
    <w:rsid w:val="00F150D3"/>
    <w:rsid w:val="00F1547B"/>
    <w:rsid w:val="00F16682"/>
    <w:rsid w:val="00F1676B"/>
    <w:rsid w:val="00F176F4"/>
    <w:rsid w:val="00F204B2"/>
    <w:rsid w:val="00F20D26"/>
    <w:rsid w:val="00F249C9"/>
    <w:rsid w:val="00F24D9E"/>
    <w:rsid w:val="00F26EF9"/>
    <w:rsid w:val="00F320FB"/>
    <w:rsid w:val="00F33871"/>
    <w:rsid w:val="00F344CB"/>
    <w:rsid w:val="00F35185"/>
    <w:rsid w:val="00F351E4"/>
    <w:rsid w:val="00F35D4B"/>
    <w:rsid w:val="00F35DF0"/>
    <w:rsid w:val="00F36C7B"/>
    <w:rsid w:val="00F37594"/>
    <w:rsid w:val="00F40784"/>
    <w:rsid w:val="00F42B37"/>
    <w:rsid w:val="00F43C05"/>
    <w:rsid w:val="00F44291"/>
    <w:rsid w:val="00F44EAA"/>
    <w:rsid w:val="00F45153"/>
    <w:rsid w:val="00F45302"/>
    <w:rsid w:val="00F458FE"/>
    <w:rsid w:val="00F47801"/>
    <w:rsid w:val="00F47C68"/>
    <w:rsid w:val="00F5087B"/>
    <w:rsid w:val="00F52C1C"/>
    <w:rsid w:val="00F54779"/>
    <w:rsid w:val="00F55933"/>
    <w:rsid w:val="00F566EE"/>
    <w:rsid w:val="00F56F60"/>
    <w:rsid w:val="00F57ACC"/>
    <w:rsid w:val="00F61E6D"/>
    <w:rsid w:val="00F65FA4"/>
    <w:rsid w:val="00F66047"/>
    <w:rsid w:val="00F72BF5"/>
    <w:rsid w:val="00F74330"/>
    <w:rsid w:val="00F74824"/>
    <w:rsid w:val="00F74BEF"/>
    <w:rsid w:val="00F75410"/>
    <w:rsid w:val="00F76385"/>
    <w:rsid w:val="00F76E62"/>
    <w:rsid w:val="00F77BCA"/>
    <w:rsid w:val="00F80C67"/>
    <w:rsid w:val="00F8444C"/>
    <w:rsid w:val="00F8585C"/>
    <w:rsid w:val="00F861CD"/>
    <w:rsid w:val="00F864B5"/>
    <w:rsid w:val="00F90A94"/>
    <w:rsid w:val="00F91972"/>
    <w:rsid w:val="00F9589C"/>
    <w:rsid w:val="00F95DA3"/>
    <w:rsid w:val="00F97546"/>
    <w:rsid w:val="00FA41E4"/>
    <w:rsid w:val="00FA4C8B"/>
    <w:rsid w:val="00FB11DC"/>
    <w:rsid w:val="00FB2EEB"/>
    <w:rsid w:val="00FB5E28"/>
    <w:rsid w:val="00FB76D0"/>
    <w:rsid w:val="00FB7E2B"/>
    <w:rsid w:val="00FC0795"/>
    <w:rsid w:val="00FC09D1"/>
    <w:rsid w:val="00FC0EBB"/>
    <w:rsid w:val="00FC508F"/>
    <w:rsid w:val="00FC6ABB"/>
    <w:rsid w:val="00FC77C1"/>
    <w:rsid w:val="00FD0B27"/>
    <w:rsid w:val="00FD2206"/>
    <w:rsid w:val="00FD369A"/>
    <w:rsid w:val="00FD39B7"/>
    <w:rsid w:val="00FD3CC7"/>
    <w:rsid w:val="00FD40EB"/>
    <w:rsid w:val="00FD76DE"/>
    <w:rsid w:val="00FE18C3"/>
    <w:rsid w:val="00FE1AC1"/>
    <w:rsid w:val="00FE6917"/>
    <w:rsid w:val="00FE796A"/>
    <w:rsid w:val="00FE7B60"/>
    <w:rsid w:val="00FF1F86"/>
    <w:rsid w:val="00FF64C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4854A5"/>
  <w15:chartTrackingRefBased/>
  <w15:docId w15:val="{125469D6-DFCF-4303-83CB-F3DCF275D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6385"/>
    <w:rPr>
      <w:lang w:val="en-GB"/>
    </w:rPr>
  </w:style>
  <w:style w:type="paragraph" w:styleId="Heading1">
    <w:name w:val="heading 1"/>
    <w:basedOn w:val="Normal"/>
    <w:next w:val="Normal"/>
    <w:link w:val="Heading1Char"/>
    <w:uiPriority w:val="9"/>
    <w:qFormat/>
    <w:rsid w:val="001F46D0"/>
    <w:pPr>
      <w:autoSpaceDE w:val="0"/>
      <w:autoSpaceDN w:val="0"/>
      <w:adjustRightInd w:val="0"/>
      <w:spacing w:before="480" w:after="480" w:line="240" w:lineRule="auto"/>
      <w:outlineLvl w:val="0"/>
    </w:pPr>
    <w:rPr>
      <w:rFonts w:ascii="DINPro-Bold" w:hAnsi="DINPro-Bold" w:cs="DINPro-Bold"/>
      <w:color w:val="2A3E90"/>
      <w:sz w:val="48"/>
      <w:szCs w:val="48"/>
    </w:rPr>
  </w:style>
  <w:style w:type="paragraph" w:styleId="Heading2">
    <w:name w:val="heading 2"/>
    <w:basedOn w:val="Normal"/>
    <w:next w:val="Normal"/>
    <w:link w:val="Heading2Char"/>
    <w:uiPriority w:val="9"/>
    <w:unhideWhenUsed/>
    <w:qFormat/>
    <w:rsid w:val="00744005"/>
    <w:pPr>
      <w:keepNext/>
      <w:keepLines/>
      <w:spacing w:before="40" w:after="240"/>
      <w:outlineLvl w:val="1"/>
    </w:pPr>
    <w:rPr>
      <w:rFonts w:ascii="DINPro-Bold" w:eastAsia="Calibri" w:hAnsi="DINPro-Bold" w:cstheme="majorBidi"/>
      <w:color w:val="2A3E90"/>
      <w:sz w:val="36"/>
      <w:szCs w:val="36"/>
    </w:rPr>
  </w:style>
  <w:style w:type="paragraph" w:styleId="Heading3">
    <w:name w:val="heading 3"/>
    <w:basedOn w:val="Normal"/>
    <w:next w:val="Normal"/>
    <w:link w:val="Heading3Char"/>
    <w:uiPriority w:val="9"/>
    <w:unhideWhenUsed/>
    <w:qFormat/>
    <w:rsid w:val="002505E0"/>
    <w:pPr>
      <w:keepNext/>
      <w:keepLines/>
      <w:spacing w:before="40" w:after="0"/>
      <w:outlineLvl w:val="2"/>
    </w:pPr>
    <w:rPr>
      <w:rFonts w:ascii="DINPro-Bold" w:eastAsiaTheme="majorEastAsia" w:hAnsi="DINPro-Bold" w:cstheme="majorBidi"/>
      <w:color w:val="2A3E90"/>
      <w:sz w:val="24"/>
      <w:szCs w:val="24"/>
    </w:rPr>
  </w:style>
  <w:style w:type="paragraph" w:styleId="Heading4">
    <w:name w:val="heading 4"/>
    <w:basedOn w:val="Normal"/>
    <w:next w:val="Normal"/>
    <w:link w:val="Heading4Char"/>
    <w:uiPriority w:val="9"/>
    <w:unhideWhenUsed/>
    <w:qFormat/>
    <w:rsid w:val="00EE6D66"/>
    <w:pPr>
      <w:keepNext/>
      <w:keepLines/>
      <w:spacing w:before="40" w:after="240"/>
      <w:outlineLvl w:val="3"/>
    </w:pPr>
    <w:rPr>
      <w:rFonts w:ascii="DINPro-Bold" w:eastAsiaTheme="majorEastAsia" w:hAnsi="DINPro-Bold" w:cstheme="majorBidi"/>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EE6D66"/>
    <w:rPr>
      <w:rFonts w:ascii="DINPro-Bold" w:eastAsiaTheme="majorEastAsia" w:hAnsi="DINPro-Bold" w:cstheme="majorBidi"/>
      <w:lang w:val="cs-CZ"/>
    </w:rPr>
  </w:style>
  <w:style w:type="paragraph" w:styleId="ListParagraph">
    <w:name w:val="List Paragraph"/>
    <w:basedOn w:val="Normal"/>
    <w:uiPriority w:val="34"/>
    <w:qFormat/>
    <w:rsid w:val="00313673"/>
    <w:pPr>
      <w:ind w:left="720"/>
      <w:contextualSpacing/>
    </w:pPr>
  </w:style>
  <w:style w:type="character" w:customStyle="1" w:styleId="Heading1Char">
    <w:name w:val="Heading 1 Char"/>
    <w:basedOn w:val="DefaultParagraphFont"/>
    <w:link w:val="Heading1"/>
    <w:uiPriority w:val="9"/>
    <w:rsid w:val="001F46D0"/>
    <w:rPr>
      <w:rFonts w:ascii="DINPro-Bold" w:hAnsi="DINPro-Bold" w:cs="DINPro-Bold"/>
      <w:color w:val="2A3E90"/>
      <w:sz w:val="48"/>
      <w:szCs w:val="48"/>
      <w:lang w:val="en-GB"/>
    </w:rPr>
  </w:style>
  <w:style w:type="character" w:customStyle="1" w:styleId="Heading2Char">
    <w:name w:val="Heading 2 Char"/>
    <w:basedOn w:val="DefaultParagraphFont"/>
    <w:link w:val="Heading2"/>
    <w:uiPriority w:val="9"/>
    <w:rsid w:val="00744005"/>
    <w:rPr>
      <w:rFonts w:ascii="DINPro-Bold" w:eastAsia="Calibri" w:hAnsi="DINPro-Bold" w:cstheme="majorBidi"/>
      <w:color w:val="2A3E90"/>
      <w:sz w:val="36"/>
      <w:szCs w:val="36"/>
      <w:lang w:val="en-GB"/>
    </w:rPr>
  </w:style>
  <w:style w:type="table" w:styleId="TableGrid">
    <w:name w:val="Table Grid"/>
    <w:basedOn w:val="TableNormal"/>
    <w:uiPriority w:val="39"/>
    <w:rsid w:val="00026C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E1953"/>
    <w:rPr>
      <w:color w:val="0000FF"/>
      <w:u w:val="single"/>
    </w:rPr>
  </w:style>
  <w:style w:type="character" w:styleId="UnresolvedMention">
    <w:name w:val="Unresolved Mention"/>
    <w:basedOn w:val="DefaultParagraphFont"/>
    <w:uiPriority w:val="99"/>
    <w:semiHidden/>
    <w:unhideWhenUsed/>
    <w:rsid w:val="0020330C"/>
    <w:rPr>
      <w:color w:val="605E5C"/>
      <w:shd w:val="clear" w:color="auto" w:fill="E1DFDD"/>
    </w:rPr>
  </w:style>
  <w:style w:type="paragraph" w:styleId="Header">
    <w:name w:val="header"/>
    <w:basedOn w:val="Normal"/>
    <w:link w:val="HeaderChar"/>
    <w:uiPriority w:val="99"/>
    <w:unhideWhenUsed/>
    <w:rsid w:val="00E313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137F"/>
  </w:style>
  <w:style w:type="paragraph" w:styleId="Footer">
    <w:name w:val="footer"/>
    <w:basedOn w:val="Normal"/>
    <w:link w:val="FooterChar"/>
    <w:uiPriority w:val="99"/>
    <w:unhideWhenUsed/>
    <w:rsid w:val="00E313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137F"/>
  </w:style>
  <w:style w:type="character" w:styleId="FollowedHyperlink">
    <w:name w:val="FollowedHyperlink"/>
    <w:basedOn w:val="DefaultParagraphFont"/>
    <w:uiPriority w:val="99"/>
    <w:semiHidden/>
    <w:unhideWhenUsed/>
    <w:rsid w:val="001C7B58"/>
    <w:rPr>
      <w:color w:val="954F72" w:themeColor="followedHyperlink"/>
      <w:u w:val="single"/>
    </w:rPr>
  </w:style>
  <w:style w:type="paragraph" w:styleId="Title">
    <w:name w:val="Title"/>
    <w:basedOn w:val="Normal"/>
    <w:next w:val="Normal"/>
    <w:link w:val="TitleChar"/>
    <w:uiPriority w:val="10"/>
    <w:qFormat/>
    <w:rsid w:val="00C2565C"/>
    <w:pPr>
      <w:spacing w:after="0" w:line="240" w:lineRule="auto"/>
      <w:contextualSpacing/>
    </w:pPr>
    <w:rPr>
      <w:rFonts w:ascii="DINPro-Black" w:eastAsiaTheme="majorEastAsia" w:hAnsi="DINPro-Black" w:cstheme="majorBidi"/>
      <w:color w:val="2A3E90"/>
      <w:spacing w:val="-10"/>
      <w:kern w:val="28"/>
      <w:sz w:val="56"/>
      <w:szCs w:val="56"/>
    </w:rPr>
  </w:style>
  <w:style w:type="character" w:customStyle="1" w:styleId="TitleChar">
    <w:name w:val="Title Char"/>
    <w:basedOn w:val="DefaultParagraphFont"/>
    <w:link w:val="Title"/>
    <w:uiPriority w:val="10"/>
    <w:rsid w:val="00C2565C"/>
    <w:rPr>
      <w:rFonts w:ascii="DINPro-Black" w:eastAsiaTheme="majorEastAsia" w:hAnsi="DINPro-Black" w:cstheme="majorBidi"/>
      <w:color w:val="2A3E90"/>
      <w:spacing w:val="-10"/>
      <w:kern w:val="28"/>
      <w:sz w:val="56"/>
      <w:szCs w:val="56"/>
      <w:lang w:val="en-GB"/>
    </w:rPr>
  </w:style>
  <w:style w:type="character" w:customStyle="1" w:styleId="Heading3Char">
    <w:name w:val="Heading 3 Char"/>
    <w:basedOn w:val="DefaultParagraphFont"/>
    <w:link w:val="Heading3"/>
    <w:uiPriority w:val="9"/>
    <w:rsid w:val="002505E0"/>
    <w:rPr>
      <w:rFonts w:ascii="DINPro-Bold" w:eastAsiaTheme="majorEastAsia" w:hAnsi="DINPro-Bold" w:cstheme="majorBidi"/>
      <w:color w:val="2A3E90"/>
      <w:sz w:val="24"/>
      <w:szCs w:val="24"/>
      <w:lang w:val="en-GB"/>
    </w:rPr>
  </w:style>
  <w:style w:type="paragraph" w:styleId="TOCHeading">
    <w:name w:val="TOC Heading"/>
    <w:basedOn w:val="Heading1"/>
    <w:next w:val="Normal"/>
    <w:uiPriority w:val="39"/>
    <w:unhideWhenUsed/>
    <w:qFormat/>
    <w:rsid w:val="00D1542E"/>
    <w:pPr>
      <w:outlineLvl w:val="9"/>
    </w:pPr>
    <w:rPr>
      <w:lang w:val="en-US"/>
    </w:rPr>
  </w:style>
  <w:style w:type="paragraph" w:styleId="TOC1">
    <w:name w:val="toc 1"/>
    <w:basedOn w:val="Normal"/>
    <w:next w:val="Normal"/>
    <w:autoRedefine/>
    <w:uiPriority w:val="39"/>
    <w:unhideWhenUsed/>
    <w:rsid w:val="00E758CA"/>
    <w:pPr>
      <w:tabs>
        <w:tab w:val="right" w:leader="dot" w:pos="9016"/>
      </w:tabs>
      <w:spacing w:after="100"/>
    </w:pPr>
    <w:rPr>
      <w:b/>
      <w:bCs/>
      <w:noProof/>
    </w:rPr>
  </w:style>
  <w:style w:type="paragraph" w:styleId="TOC2">
    <w:name w:val="toc 2"/>
    <w:basedOn w:val="Normal"/>
    <w:next w:val="Normal"/>
    <w:autoRedefine/>
    <w:uiPriority w:val="39"/>
    <w:unhideWhenUsed/>
    <w:rsid w:val="00D6637C"/>
    <w:pPr>
      <w:tabs>
        <w:tab w:val="right" w:leader="dot" w:pos="9016"/>
      </w:tabs>
      <w:spacing w:after="100"/>
      <w:ind w:left="220"/>
    </w:pPr>
    <w:rPr>
      <w:b/>
      <w:bCs/>
      <w:noProof/>
      <w:color w:val="7030A0"/>
    </w:rPr>
  </w:style>
  <w:style w:type="paragraph" w:styleId="TOC3">
    <w:name w:val="toc 3"/>
    <w:basedOn w:val="Normal"/>
    <w:next w:val="Normal"/>
    <w:autoRedefine/>
    <w:uiPriority w:val="39"/>
    <w:unhideWhenUsed/>
    <w:rsid w:val="00D1542E"/>
    <w:pPr>
      <w:spacing w:after="100"/>
      <w:ind w:left="440"/>
    </w:pPr>
  </w:style>
  <w:style w:type="paragraph" w:styleId="FootnoteText">
    <w:name w:val="footnote text"/>
    <w:basedOn w:val="Normal"/>
    <w:link w:val="FootnoteTextChar"/>
    <w:uiPriority w:val="99"/>
    <w:semiHidden/>
    <w:unhideWhenUsed/>
    <w:rsid w:val="0058114C"/>
    <w:pPr>
      <w:spacing w:after="0" w:line="240" w:lineRule="auto"/>
    </w:pPr>
    <w:rPr>
      <w:rFonts w:ascii="Arial" w:hAnsi="Arial"/>
      <w:sz w:val="20"/>
      <w:szCs w:val="20"/>
      <w:lang w:val="sl-SI"/>
    </w:rPr>
  </w:style>
  <w:style w:type="character" w:customStyle="1" w:styleId="FootnoteTextChar">
    <w:name w:val="Footnote Text Char"/>
    <w:basedOn w:val="DefaultParagraphFont"/>
    <w:link w:val="FootnoteText"/>
    <w:uiPriority w:val="99"/>
    <w:semiHidden/>
    <w:rsid w:val="0058114C"/>
    <w:rPr>
      <w:rFonts w:ascii="Arial" w:hAnsi="Arial"/>
      <w:sz w:val="20"/>
      <w:szCs w:val="20"/>
      <w:lang w:val="sl-SI"/>
    </w:rPr>
  </w:style>
  <w:style w:type="character" w:styleId="FootnoteReference">
    <w:name w:val="footnote reference"/>
    <w:basedOn w:val="DefaultParagraphFont"/>
    <w:uiPriority w:val="99"/>
    <w:semiHidden/>
    <w:unhideWhenUsed/>
    <w:rsid w:val="0058114C"/>
    <w:rPr>
      <w:vertAlign w:val="superscript"/>
    </w:rPr>
  </w:style>
  <w:style w:type="paragraph" w:styleId="NormalWeb">
    <w:name w:val="Normal (Web)"/>
    <w:basedOn w:val="Normal"/>
    <w:uiPriority w:val="99"/>
    <w:unhideWhenUsed/>
    <w:rsid w:val="0089449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923A46"/>
    <w:rPr>
      <w:sz w:val="16"/>
      <w:szCs w:val="16"/>
    </w:rPr>
  </w:style>
  <w:style w:type="paragraph" w:styleId="CommentText">
    <w:name w:val="annotation text"/>
    <w:basedOn w:val="Normal"/>
    <w:link w:val="CommentTextChar"/>
    <w:uiPriority w:val="99"/>
    <w:unhideWhenUsed/>
    <w:rsid w:val="00923A46"/>
    <w:pPr>
      <w:spacing w:line="240" w:lineRule="auto"/>
    </w:pPr>
    <w:rPr>
      <w:sz w:val="20"/>
      <w:szCs w:val="20"/>
    </w:rPr>
  </w:style>
  <w:style w:type="character" w:customStyle="1" w:styleId="CommentTextChar">
    <w:name w:val="Comment Text Char"/>
    <w:basedOn w:val="DefaultParagraphFont"/>
    <w:link w:val="CommentText"/>
    <w:uiPriority w:val="99"/>
    <w:rsid w:val="00923A46"/>
    <w:rPr>
      <w:sz w:val="20"/>
      <w:szCs w:val="20"/>
      <w:lang w:val="en-GB"/>
    </w:rPr>
  </w:style>
  <w:style w:type="paragraph" w:styleId="CommentSubject">
    <w:name w:val="annotation subject"/>
    <w:basedOn w:val="CommentText"/>
    <w:next w:val="CommentText"/>
    <w:link w:val="CommentSubjectChar"/>
    <w:uiPriority w:val="99"/>
    <w:semiHidden/>
    <w:unhideWhenUsed/>
    <w:rsid w:val="00923A46"/>
    <w:rPr>
      <w:b/>
      <w:bCs/>
    </w:rPr>
  </w:style>
  <w:style w:type="character" w:customStyle="1" w:styleId="CommentSubjectChar">
    <w:name w:val="Comment Subject Char"/>
    <w:basedOn w:val="CommentTextChar"/>
    <w:link w:val="CommentSubject"/>
    <w:uiPriority w:val="99"/>
    <w:semiHidden/>
    <w:rsid w:val="00923A46"/>
    <w:rPr>
      <w:b/>
      <w:bCs/>
      <w:sz w:val="20"/>
      <w:szCs w:val="20"/>
      <w:lang w:val="en-GB"/>
    </w:rPr>
  </w:style>
  <w:style w:type="character" w:styleId="Emphasis">
    <w:name w:val="Emphasis"/>
    <w:basedOn w:val="DefaultParagraphFont"/>
    <w:uiPriority w:val="20"/>
    <w:qFormat/>
    <w:rsid w:val="0017194B"/>
    <w:rPr>
      <w:bdr w:val="none" w:sz="0" w:space="0" w:color="auto"/>
      <w:shd w:val="clear" w:color="auto" w:fill="E5E5FF"/>
    </w:rPr>
  </w:style>
  <w:style w:type="paragraph" w:styleId="Subtitle">
    <w:name w:val="Subtitle"/>
    <w:basedOn w:val="Normal"/>
    <w:next w:val="Normal"/>
    <w:link w:val="SubtitleChar"/>
    <w:uiPriority w:val="11"/>
    <w:qFormat/>
    <w:rsid w:val="00C2565C"/>
    <w:pPr>
      <w:numPr>
        <w:ilvl w:val="1"/>
      </w:numPr>
    </w:pPr>
    <w:rPr>
      <w:rFonts w:ascii="DINPro-Bold" w:eastAsiaTheme="minorEastAsia" w:hAnsi="DINPro-Bold"/>
      <w:color w:val="2A3E90"/>
      <w:spacing w:val="15"/>
      <w:sz w:val="36"/>
      <w:szCs w:val="36"/>
    </w:rPr>
  </w:style>
  <w:style w:type="character" w:customStyle="1" w:styleId="SubtitleChar">
    <w:name w:val="Subtitle Char"/>
    <w:basedOn w:val="DefaultParagraphFont"/>
    <w:link w:val="Subtitle"/>
    <w:uiPriority w:val="11"/>
    <w:rsid w:val="00C2565C"/>
    <w:rPr>
      <w:rFonts w:ascii="DINPro-Bold" w:eastAsiaTheme="minorEastAsia" w:hAnsi="DINPro-Bold"/>
      <w:color w:val="2A3E90"/>
      <w:spacing w:val="15"/>
      <w:sz w:val="36"/>
      <w:szCs w:val="3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59166">
      <w:bodyDiv w:val="1"/>
      <w:marLeft w:val="0"/>
      <w:marRight w:val="0"/>
      <w:marTop w:val="0"/>
      <w:marBottom w:val="0"/>
      <w:divBdr>
        <w:top w:val="none" w:sz="0" w:space="0" w:color="auto"/>
        <w:left w:val="none" w:sz="0" w:space="0" w:color="auto"/>
        <w:bottom w:val="none" w:sz="0" w:space="0" w:color="auto"/>
        <w:right w:val="none" w:sz="0" w:space="0" w:color="auto"/>
      </w:divBdr>
    </w:div>
    <w:div w:id="90898882">
      <w:bodyDiv w:val="1"/>
      <w:marLeft w:val="0"/>
      <w:marRight w:val="0"/>
      <w:marTop w:val="0"/>
      <w:marBottom w:val="0"/>
      <w:divBdr>
        <w:top w:val="none" w:sz="0" w:space="0" w:color="auto"/>
        <w:left w:val="none" w:sz="0" w:space="0" w:color="auto"/>
        <w:bottom w:val="none" w:sz="0" w:space="0" w:color="auto"/>
        <w:right w:val="none" w:sz="0" w:space="0" w:color="auto"/>
      </w:divBdr>
    </w:div>
    <w:div w:id="120537521">
      <w:bodyDiv w:val="1"/>
      <w:marLeft w:val="0"/>
      <w:marRight w:val="0"/>
      <w:marTop w:val="0"/>
      <w:marBottom w:val="0"/>
      <w:divBdr>
        <w:top w:val="none" w:sz="0" w:space="0" w:color="auto"/>
        <w:left w:val="none" w:sz="0" w:space="0" w:color="auto"/>
        <w:bottom w:val="none" w:sz="0" w:space="0" w:color="auto"/>
        <w:right w:val="none" w:sz="0" w:space="0" w:color="auto"/>
      </w:divBdr>
    </w:div>
    <w:div w:id="121728820">
      <w:bodyDiv w:val="1"/>
      <w:marLeft w:val="0"/>
      <w:marRight w:val="0"/>
      <w:marTop w:val="0"/>
      <w:marBottom w:val="0"/>
      <w:divBdr>
        <w:top w:val="none" w:sz="0" w:space="0" w:color="auto"/>
        <w:left w:val="none" w:sz="0" w:space="0" w:color="auto"/>
        <w:bottom w:val="none" w:sz="0" w:space="0" w:color="auto"/>
        <w:right w:val="none" w:sz="0" w:space="0" w:color="auto"/>
      </w:divBdr>
    </w:div>
    <w:div w:id="142311037">
      <w:bodyDiv w:val="1"/>
      <w:marLeft w:val="0"/>
      <w:marRight w:val="0"/>
      <w:marTop w:val="0"/>
      <w:marBottom w:val="0"/>
      <w:divBdr>
        <w:top w:val="none" w:sz="0" w:space="0" w:color="auto"/>
        <w:left w:val="none" w:sz="0" w:space="0" w:color="auto"/>
        <w:bottom w:val="none" w:sz="0" w:space="0" w:color="auto"/>
        <w:right w:val="none" w:sz="0" w:space="0" w:color="auto"/>
      </w:divBdr>
    </w:div>
    <w:div w:id="181474603">
      <w:bodyDiv w:val="1"/>
      <w:marLeft w:val="0"/>
      <w:marRight w:val="0"/>
      <w:marTop w:val="0"/>
      <w:marBottom w:val="0"/>
      <w:divBdr>
        <w:top w:val="none" w:sz="0" w:space="0" w:color="auto"/>
        <w:left w:val="none" w:sz="0" w:space="0" w:color="auto"/>
        <w:bottom w:val="none" w:sz="0" w:space="0" w:color="auto"/>
        <w:right w:val="none" w:sz="0" w:space="0" w:color="auto"/>
      </w:divBdr>
    </w:div>
    <w:div w:id="191843864">
      <w:bodyDiv w:val="1"/>
      <w:marLeft w:val="0"/>
      <w:marRight w:val="0"/>
      <w:marTop w:val="0"/>
      <w:marBottom w:val="0"/>
      <w:divBdr>
        <w:top w:val="none" w:sz="0" w:space="0" w:color="auto"/>
        <w:left w:val="none" w:sz="0" w:space="0" w:color="auto"/>
        <w:bottom w:val="none" w:sz="0" w:space="0" w:color="auto"/>
        <w:right w:val="none" w:sz="0" w:space="0" w:color="auto"/>
      </w:divBdr>
    </w:div>
    <w:div w:id="193421036">
      <w:bodyDiv w:val="1"/>
      <w:marLeft w:val="0"/>
      <w:marRight w:val="0"/>
      <w:marTop w:val="0"/>
      <w:marBottom w:val="0"/>
      <w:divBdr>
        <w:top w:val="none" w:sz="0" w:space="0" w:color="auto"/>
        <w:left w:val="none" w:sz="0" w:space="0" w:color="auto"/>
        <w:bottom w:val="none" w:sz="0" w:space="0" w:color="auto"/>
        <w:right w:val="none" w:sz="0" w:space="0" w:color="auto"/>
      </w:divBdr>
    </w:div>
    <w:div w:id="204678543">
      <w:bodyDiv w:val="1"/>
      <w:marLeft w:val="0"/>
      <w:marRight w:val="0"/>
      <w:marTop w:val="0"/>
      <w:marBottom w:val="0"/>
      <w:divBdr>
        <w:top w:val="none" w:sz="0" w:space="0" w:color="auto"/>
        <w:left w:val="none" w:sz="0" w:space="0" w:color="auto"/>
        <w:bottom w:val="none" w:sz="0" w:space="0" w:color="auto"/>
        <w:right w:val="none" w:sz="0" w:space="0" w:color="auto"/>
      </w:divBdr>
    </w:div>
    <w:div w:id="213349027">
      <w:bodyDiv w:val="1"/>
      <w:marLeft w:val="0"/>
      <w:marRight w:val="0"/>
      <w:marTop w:val="0"/>
      <w:marBottom w:val="0"/>
      <w:divBdr>
        <w:top w:val="none" w:sz="0" w:space="0" w:color="auto"/>
        <w:left w:val="none" w:sz="0" w:space="0" w:color="auto"/>
        <w:bottom w:val="none" w:sz="0" w:space="0" w:color="auto"/>
        <w:right w:val="none" w:sz="0" w:space="0" w:color="auto"/>
      </w:divBdr>
    </w:div>
    <w:div w:id="214975610">
      <w:bodyDiv w:val="1"/>
      <w:marLeft w:val="0"/>
      <w:marRight w:val="0"/>
      <w:marTop w:val="0"/>
      <w:marBottom w:val="0"/>
      <w:divBdr>
        <w:top w:val="none" w:sz="0" w:space="0" w:color="auto"/>
        <w:left w:val="none" w:sz="0" w:space="0" w:color="auto"/>
        <w:bottom w:val="none" w:sz="0" w:space="0" w:color="auto"/>
        <w:right w:val="none" w:sz="0" w:space="0" w:color="auto"/>
      </w:divBdr>
    </w:div>
    <w:div w:id="243077581">
      <w:bodyDiv w:val="1"/>
      <w:marLeft w:val="0"/>
      <w:marRight w:val="0"/>
      <w:marTop w:val="0"/>
      <w:marBottom w:val="0"/>
      <w:divBdr>
        <w:top w:val="none" w:sz="0" w:space="0" w:color="auto"/>
        <w:left w:val="none" w:sz="0" w:space="0" w:color="auto"/>
        <w:bottom w:val="none" w:sz="0" w:space="0" w:color="auto"/>
        <w:right w:val="none" w:sz="0" w:space="0" w:color="auto"/>
      </w:divBdr>
    </w:div>
    <w:div w:id="286204952">
      <w:bodyDiv w:val="1"/>
      <w:marLeft w:val="0"/>
      <w:marRight w:val="0"/>
      <w:marTop w:val="0"/>
      <w:marBottom w:val="0"/>
      <w:divBdr>
        <w:top w:val="none" w:sz="0" w:space="0" w:color="auto"/>
        <w:left w:val="none" w:sz="0" w:space="0" w:color="auto"/>
        <w:bottom w:val="none" w:sz="0" w:space="0" w:color="auto"/>
        <w:right w:val="none" w:sz="0" w:space="0" w:color="auto"/>
      </w:divBdr>
    </w:div>
    <w:div w:id="307176445">
      <w:bodyDiv w:val="1"/>
      <w:marLeft w:val="0"/>
      <w:marRight w:val="0"/>
      <w:marTop w:val="0"/>
      <w:marBottom w:val="0"/>
      <w:divBdr>
        <w:top w:val="none" w:sz="0" w:space="0" w:color="auto"/>
        <w:left w:val="none" w:sz="0" w:space="0" w:color="auto"/>
        <w:bottom w:val="none" w:sz="0" w:space="0" w:color="auto"/>
        <w:right w:val="none" w:sz="0" w:space="0" w:color="auto"/>
      </w:divBdr>
    </w:div>
    <w:div w:id="353579246">
      <w:bodyDiv w:val="1"/>
      <w:marLeft w:val="0"/>
      <w:marRight w:val="0"/>
      <w:marTop w:val="0"/>
      <w:marBottom w:val="0"/>
      <w:divBdr>
        <w:top w:val="none" w:sz="0" w:space="0" w:color="auto"/>
        <w:left w:val="none" w:sz="0" w:space="0" w:color="auto"/>
        <w:bottom w:val="none" w:sz="0" w:space="0" w:color="auto"/>
        <w:right w:val="none" w:sz="0" w:space="0" w:color="auto"/>
      </w:divBdr>
    </w:div>
    <w:div w:id="394399062">
      <w:bodyDiv w:val="1"/>
      <w:marLeft w:val="0"/>
      <w:marRight w:val="0"/>
      <w:marTop w:val="0"/>
      <w:marBottom w:val="0"/>
      <w:divBdr>
        <w:top w:val="none" w:sz="0" w:space="0" w:color="auto"/>
        <w:left w:val="none" w:sz="0" w:space="0" w:color="auto"/>
        <w:bottom w:val="none" w:sz="0" w:space="0" w:color="auto"/>
        <w:right w:val="none" w:sz="0" w:space="0" w:color="auto"/>
      </w:divBdr>
    </w:div>
    <w:div w:id="398141397">
      <w:bodyDiv w:val="1"/>
      <w:marLeft w:val="0"/>
      <w:marRight w:val="0"/>
      <w:marTop w:val="0"/>
      <w:marBottom w:val="0"/>
      <w:divBdr>
        <w:top w:val="none" w:sz="0" w:space="0" w:color="auto"/>
        <w:left w:val="none" w:sz="0" w:space="0" w:color="auto"/>
        <w:bottom w:val="none" w:sz="0" w:space="0" w:color="auto"/>
        <w:right w:val="none" w:sz="0" w:space="0" w:color="auto"/>
      </w:divBdr>
    </w:div>
    <w:div w:id="435449470">
      <w:bodyDiv w:val="1"/>
      <w:marLeft w:val="0"/>
      <w:marRight w:val="0"/>
      <w:marTop w:val="0"/>
      <w:marBottom w:val="0"/>
      <w:divBdr>
        <w:top w:val="none" w:sz="0" w:space="0" w:color="auto"/>
        <w:left w:val="none" w:sz="0" w:space="0" w:color="auto"/>
        <w:bottom w:val="none" w:sz="0" w:space="0" w:color="auto"/>
        <w:right w:val="none" w:sz="0" w:space="0" w:color="auto"/>
      </w:divBdr>
    </w:div>
    <w:div w:id="515115378">
      <w:bodyDiv w:val="1"/>
      <w:marLeft w:val="0"/>
      <w:marRight w:val="0"/>
      <w:marTop w:val="0"/>
      <w:marBottom w:val="0"/>
      <w:divBdr>
        <w:top w:val="none" w:sz="0" w:space="0" w:color="auto"/>
        <w:left w:val="none" w:sz="0" w:space="0" w:color="auto"/>
        <w:bottom w:val="none" w:sz="0" w:space="0" w:color="auto"/>
        <w:right w:val="none" w:sz="0" w:space="0" w:color="auto"/>
      </w:divBdr>
    </w:div>
    <w:div w:id="527107322">
      <w:bodyDiv w:val="1"/>
      <w:marLeft w:val="0"/>
      <w:marRight w:val="0"/>
      <w:marTop w:val="0"/>
      <w:marBottom w:val="0"/>
      <w:divBdr>
        <w:top w:val="none" w:sz="0" w:space="0" w:color="auto"/>
        <w:left w:val="none" w:sz="0" w:space="0" w:color="auto"/>
        <w:bottom w:val="none" w:sz="0" w:space="0" w:color="auto"/>
        <w:right w:val="none" w:sz="0" w:space="0" w:color="auto"/>
      </w:divBdr>
    </w:div>
    <w:div w:id="542640815">
      <w:bodyDiv w:val="1"/>
      <w:marLeft w:val="0"/>
      <w:marRight w:val="0"/>
      <w:marTop w:val="0"/>
      <w:marBottom w:val="0"/>
      <w:divBdr>
        <w:top w:val="none" w:sz="0" w:space="0" w:color="auto"/>
        <w:left w:val="none" w:sz="0" w:space="0" w:color="auto"/>
        <w:bottom w:val="none" w:sz="0" w:space="0" w:color="auto"/>
        <w:right w:val="none" w:sz="0" w:space="0" w:color="auto"/>
      </w:divBdr>
    </w:div>
    <w:div w:id="556162409">
      <w:bodyDiv w:val="1"/>
      <w:marLeft w:val="0"/>
      <w:marRight w:val="0"/>
      <w:marTop w:val="0"/>
      <w:marBottom w:val="0"/>
      <w:divBdr>
        <w:top w:val="none" w:sz="0" w:space="0" w:color="auto"/>
        <w:left w:val="none" w:sz="0" w:space="0" w:color="auto"/>
        <w:bottom w:val="none" w:sz="0" w:space="0" w:color="auto"/>
        <w:right w:val="none" w:sz="0" w:space="0" w:color="auto"/>
      </w:divBdr>
    </w:div>
    <w:div w:id="569266881">
      <w:bodyDiv w:val="1"/>
      <w:marLeft w:val="0"/>
      <w:marRight w:val="0"/>
      <w:marTop w:val="0"/>
      <w:marBottom w:val="0"/>
      <w:divBdr>
        <w:top w:val="none" w:sz="0" w:space="0" w:color="auto"/>
        <w:left w:val="none" w:sz="0" w:space="0" w:color="auto"/>
        <w:bottom w:val="none" w:sz="0" w:space="0" w:color="auto"/>
        <w:right w:val="none" w:sz="0" w:space="0" w:color="auto"/>
      </w:divBdr>
    </w:div>
    <w:div w:id="584849324">
      <w:bodyDiv w:val="1"/>
      <w:marLeft w:val="0"/>
      <w:marRight w:val="0"/>
      <w:marTop w:val="0"/>
      <w:marBottom w:val="0"/>
      <w:divBdr>
        <w:top w:val="none" w:sz="0" w:space="0" w:color="auto"/>
        <w:left w:val="none" w:sz="0" w:space="0" w:color="auto"/>
        <w:bottom w:val="none" w:sz="0" w:space="0" w:color="auto"/>
        <w:right w:val="none" w:sz="0" w:space="0" w:color="auto"/>
      </w:divBdr>
    </w:div>
    <w:div w:id="644896184">
      <w:bodyDiv w:val="1"/>
      <w:marLeft w:val="0"/>
      <w:marRight w:val="0"/>
      <w:marTop w:val="0"/>
      <w:marBottom w:val="0"/>
      <w:divBdr>
        <w:top w:val="none" w:sz="0" w:space="0" w:color="auto"/>
        <w:left w:val="none" w:sz="0" w:space="0" w:color="auto"/>
        <w:bottom w:val="none" w:sz="0" w:space="0" w:color="auto"/>
        <w:right w:val="none" w:sz="0" w:space="0" w:color="auto"/>
      </w:divBdr>
    </w:div>
    <w:div w:id="723062967">
      <w:bodyDiv w:val="1"/>
      <w:marLeft w:val="0"/>
      <w:marRight w:val="0"/>
      <w:marTop w:val="0"/>
      <w:marBottom w:val="0"/>
      <w:divBdr>
        <w:top w:val="none" w:sz="0" w:space="0" w:color="auto"/>
        <w:left w:val="none" w:sz="0" w:space="0" w:color="auto"/>
        <w:bottom w:val="none" w:sz="0" w:space="0" w:color="auto"/>
        <w:right w:val="none" w:sz="0" w:space="0" w:color="auto"/>
      </w:divBdr>
    </w:div>
    <w:div w:id="730690466">
      <w:bodyDiv w:val="1"/>
      <w:marLeft w:val="0"/>
      <w:marRight w:val="0"/>
      <w:marTop w:val="0"/>
      <w:marBottom w:val="0"/>
      <w:divBdr>
        <w:top w:val="none" w:sz="0" w:space="0" w:color="auto"/>
        <w:left w:val="none" w:sz="0" w:space="0" w:color="auto"/>
        <w:bottom w:val="none" w:sz="0" w:space="0" w:color="auto"/>
        <w:right w:val="none" w:sz="0" w:space="0" w:color="auto"/>
      </w:divBdr>
    </w:div>
    <w:div w:id="750856954">
      <w:bodyDiv w:val="1"/>
      <w:marLeft w:val="0"/>
      <w:marRight w:val="0"/>
      <w:marTop w:val="0"/>
      <w:marBottom w:val="0"/>
      <w:divBdr>
        <w:top w:val="none" w:sz="0" w:space="0" w:color="auto"/>
        <w:left w:val="none" w:sz="0" w:space="0" w:color="auto"/>
        <w:bottom w:val="none" w:sz="0" w:space="0" w:color="auto"/>
        <w:right w:val="none" w:sz="0" w:space="0" w:color="auto"/>
      </w:divBdr>
    </w:div>
    <w:div w:id="752434558">
      <w:bodyDiv w:val="1"/>
      <w:marLeft w:val="0"/>
      <w:marRight w:val="0"/>
      <w:marTop w:val="0"/>
      <w:marBottom w:val="0"/>
      <w:divBdr>
        <w:top w:val="none" w:sz="0" w:space="0" w:color="auto"/>
        <w:left w:val="none" w:sz="0" w:space="0" w:color="auto"/>
        <w:bottom w:val="none" w:sz="0" w:space="0" w:color="auto"/>
        <w:right w:val="none" w:sz="0" w:space="0" w:color="auto"/>
      </w:divBdr>
    </w:div>
    <w:div w:id="874974133">
      <w:bodyDiv w:val="1"/>
      <w:marLeft w:val="0"/>
      <w:marRight w:val="0"/>
      <w:marTop w:val="0"/>
      <w:marBottom w:val="0"/>
      <w:divBdr>
        <w:top w:val="none" w:sz="0" w:space="0" w:color="auto"/>
        <w:left w:val="none" w:sz="0" w:space="0" w:color="auto"/>
        <w:bottom w:val="none" w:sz="0" w:space="0" w:color="auto"/>
        <w:right w:val="none" w:sz="0" w:space="0" w:color="auto"/>
      </w:divBdr>
    </w:div>
    <w:div w:id="886070503">
      <w:bodyDiv w:val="1"/>
      <w:marLeft w:val="0"/>
      <w:marRight w:val="0"/>
      <w:marTop w:val="0"/>
      <w:marBottom w:val="0"/>
      <w:divBdr>
        <w:top w:val="none" w:sz="0" w:space="0" w:color="auto"/>
        <w:left w:val="none" w:sz="0" w:space="0" w:color="auto"/>
        <w:bottom w:val="none" w:sz="0" w:space="0" w:color="auto"/>
        <w:right w:val="none" w:sz="0" w:space="0" w:color="auto"/>
      </w:divBdr>
    </w:div>
    <w:div w:id="893003432">
      <w:bodyDiv w:val="1"/>
      <w:marLeft w:val="0"/>
      <w:marRight w:val="0"/>
      <w:marTop w:val="0"/>
      <w:marBottom w:val="0"/>
      <w:divBdr>
        <w:top w:val="none" w:sz="0" w:space="0" w:color="auto"/>
        <w:left w:val="none" w:sz="0" w:space="0" w:color="auto"/>
        <w:bottom w:val="none" w:sz="0" w:space="0" w:color="auto"/>
        <w:right w:val="none" w:sz="0" w:space="0" w:color="auto"/>
      </w:divBdr>
    </w:div>
    <w:div w:id="905533644">
      <w:bodyDiv w:val="1"/>
      <w:marLeft w:val="0"/>
      <w:marRight w:val="0"/>
      <w:marTop w:val="0"/>
      <w:marBottom w:val="0"/>
      <w:divBdr>
        <w:top w:val="none" w:sz="0" w:space="0" w:color="auto"/>
        <w:left w:val="none" w:sz="0" w:space="0" w:color="auto"/>
        <w:bottom w:val="none" w:sz="0" w:space="0" w:color="auto"/>
        <w:right w:val="none" w:sz="0" w:space="0" w:color="auto"/>
      </w:divBdr>
    </w:div>
    <w:div w:id="907685680">
      <w:bodyDiv w:val="1"/>
      <w:marLeft w:val="0"/>
      <w:marRight w:val="0"/>
      <w:marTop w:val="0"/>
      <w:marBottom w:val="0"/>
      <w:divBdr>
        <w:top w:val="none" w:sz="0" w:space="0" w:color="auto"/>
        <w:left w:val="none" w:sz="0" w:space="0" w:color="auto"/>
        <w:bottom w:val="none" w:sz="0" w:space="0" w:color="auto"/>
        <w:right w:val="none" w:sz="0" w:space="0" w:color="auto"/>
      </w:divBdr>
    </w:div>
    <w:div w:id="923032382">
      <w:bodyDiv w:val="1"/>
      <w:marLeft w:val="0"/>
      <w:marRight w:val="0"/>
      <w:marTop w:val="0"/>
      <w:marBottom w:val="0"/>
      <w:divBdr>
        <w:top w:val="none" w:sz="0" w:space="0" w:color="auto"/>
        <w:left w:val="none" w:sz="0" w:space="0" w:color="auto"/>
        <w:bottom w:val="none" w:sz="0" w:space="0" w:color="auto"/>
        <w:right w:val="none" w:sz="0" w:space="0" w:color="auto"/>
      </w:divBdr>
    </w:div>
    <w:div w:id="967516715">
      <w:bodyDiv w:val="1"/>
      <w:marLeft w:val="0"/>
      <w:marRight w:val="0"/>
      <w:marTop w:val="0"/>
      <w:marBottom w:val="0"/>
      <w:divBdr>
        <w:top w:val="none" w:sz="0" w:space="0" w:color="auto"/>
        <w:left w:val="none" w:sz="0" w:space="0" w:color="auto"/>
        <w:bottom w:val="none" w:sz="0" w:space="0" w:color="auto"/>
        <w:right w:val="none" w:sz="0" w:space="0" w:color="auto"/>
      </w:divBdr>
    </w:div>
    <w:div w:id="973483613">
      <w:bodyDiv w:val="1"/>
      <w:marLeft w:val="0"/>
      <w:marRight w:val="0"/>
      <w:marTop w:val="0"/>
      <w:marBottom w:val="0"/>
      <w:divBdr>
        <w:top w:val="none" w:sz="0" w:space="0" w:color="auto"/>
        <w:left w:val="none" w:sz="0" w:space="0" w:color="auto"/>
        <w:bottom w:val="none" w:sz="0" w:space="0" w:color="auto"/>
        <w:right w:val="none" w:sz="0" w:space="0" w:color="auto"/>
      </w:divBdr>
    </w:div>
    <w:div w:id="1024786597">
      <w:bodyDiv w:val="1"/>
      <w:marLeft w:val="0"/>
      <w:marRight w:val="0"/>
      <w:marTop w:val="0"/>
      <w:marBottom w:val="0"/>
      <w:divBdr>
        <w:top w:val="none" w:sz="0" w:space="0" w:color="auto"/>
        <w:left w:val="none" w:sz="0" w:space="0" w:color="auto"/>
        <w:bottom w:val="none" w:sz="0" w:space="0" w:color="auto"/>
        <w:right w:val="none" w:sz="0" w:space="0" w:color="auto"/>
      </w:divBdr>
    </w:div>
    <w:div w:id="1047224051">
      <w:bodyDiv w:val="1"/>
      <w:marLeft w:val="0"/>
      <w:marRight w:val="0"/>
      <w:marTop w:val="0"/>
      <w:marBottom w:val="0"/>
      <w:divBdr>
        <w:top w:val="none" w:sz="0" w:space="0" w:color="auto"/>
        <w:left w:val="none" w:sz="0" w:space="0" w:color="auto"/>
        <w:bottom w:val="none" w:sz="0" w:space="0" w:color="auto"/>
        <w:right w:val="none" w:sz="0" w:space="0" w:color="auto"/>
      </w:divBdr>
    </w:div>
    <w:div w:id="1095859978">
      <w:bodyDiv w:val="1"/>
      <w:marLeft w:val="0"/>
      <w:marRight w:val="0"/>
      <w:marTop w:val="0"/>
      <w:marBottom w:val="0"/>
      <w:divBdr>
        <w:top w:val="none" w:sz="0" w:space="0" w:color="auto"/>
        <w:left w:val="none" w:sz="0" w:space="0" w:color="auto"/>
        <w:bottom w:val="none" w:sz="0" w:space="0" w:color="auto"/>
        <w:right w:val="none" w:sz="0" w:space="0" w:color="auto"/>
      </w:divBdr>
    </w:div>
    <w:div w:id="1133250048">
      <w:bodyDiv w:val="1"/>
      <w:marLeft w:val="0"/>
      <w:marRight w:val="0"/>
      <w:marTop w:val="0"/>
      <w:marBottom w:val="0"/>
      <w:divBdr>
        <w:top w:val="none" w:sz="0" w:space="0" w:color="auto"/>
        <w:left w:val="none" w:sz="0" w:space="0" w:color="auto"/>
        <w:bottom w:val="none" w:sz="0" w:space="0" w:color="auto"/>
        <w:right w:val="none" w:sz="0" w:space="0" w:color="auto"/>
      </w:divBdr>
    </w:div>
    <w:div w:id="1149129997">
      <w:bodyDiv w:val="1"/>
      <w:marLeft w:val="0"/>
      <w:marRight w:val="0"/>
      <w:marTop w:val="0"/>
      <w:marBottom w:val="0"/>
      <w:divBdr>
        <w:top w:val="none" w:sz="0" w:space="0" w:color="auto"/>
        <w:left w:val="none" w:sz="0" w:space="0" w:color="auto"/>
        <w:bottom w:val="none" w:sz="0" w:space="0" w:color="auto"/>
        <w:right w:val="none" w:sz="0" w:space="0" w:color="auto"/>
      </w:divBdr>
    </w:div>
    <w:div w:id="1206258496">
      <w:bodyDiv w:val="1"/>
      <w:marLeft w:val="0"/>
      <w:marRight w:val="0"/>
      <w:marTop w:val="0"/>
      <w:marBottom w:val="0"/>
      <w:divBdr>
        <w:top w:val="none" w:sz="0" w:space="0" w:color="auto"/>
        <w:left w:val="none" w:sz="0" w:space="0" w:color="auto"/>
        <w:bottom w:val="none" w:sz="0" w:space="0" w:color="auto"/>
        <w:right w:val="none" w:sz="0" w:space="0" w:color="auto"/>
      </w:divBdr>
    </w:div>
    <w:div w:id="1220360625">
      <w:bodyDiv w:val="1"/>
      <w:marLeft w:val="0"/>
      <w:marRight w:val="0"/>
      <w:marTop w:val="0"/>
      <w:marBottom w:val="0"/>
      <w:divBdr>
        <w:top w:val="none" w:sz="0" w:space="0" w:color="auto"/>
        <w:left w:val="none" w:sz="0" w:space="0" w:color="auto"/>
        <w:bottom w:val="none" w:sz="0" w:space="0" w:color="auto"/>
        <w:right w:val="none" w:sz="0" w:space="0" w:color="auto"/>
      </w:divBdr>
    </w:div>
    <w:div w:id="1229417542">
      <w:bodyDiv w:val="1"/>
      <w:marLeft w:val="0"/>
      <w:marRight w:val="0"/>
      <w:marTop w:val="0"/>
      <w:marBottom w:val="0"/>
      <w:divBdr>
        <w:top w:val="none" w:sz="0" w:space="0" w:color="auto"/>
        <w:left w:val="none" w:sz="0" w:space="0" w:color="auto"/>
        <w:bottom w:val="none" w:sz="0" w:space="0" w:color="auto"/>
        <w:right w:val="none" w:sz="0" w:space="0" w:color="auto"/>
      </w:divBdr>
    </w:div>
    <w:div w:id="1231574469">
      <w:bodyDiv w:val="1"/>
      <w:marLeft w:val="0"/>
      <w:marRight w:val="0"/>
      <w:marTop w:val="0"/>
      <w:marBottom w:val="0"/>
      <w:divBdr>
        <w:top w:val="none" w:sz="0" w:space="0" w:color="auto"/>
        <w:left w:val="none" w:sz="0" w:space="0" w:color="auto"/>
        <w:bottom w:val="none" w:sz="0" w:space="0" w:color="auto"/>
        <w:right w:val="none" w:sz="0" w:space="0" w:color="auto"/>
      </w:divBdr>
    </w:div>
    <w:div w:id="1241021312">
      <w:bodyDiv w:val="1"/>
      <w:marLeft w:val="0"/>
      <w:marRight w:val="0"/>
      <w:marTop w:val="0"/>
      <w:marBottom w:val="0"/>
      <w:divBdr>
        <w:top w:val="none" w:sz="0" w:space="0" w:color="auto"/>
        <w:left w:val="none" w:sz="0" w:space="0" w:color="auto"/>
        <w:bottom w:val="none" w:sz="0" w:space="0" w:color="auto"/>
        <w:right w:val="none" w:sz="0" w:space="0" w:color="auto"/>
      </w:divBdr>
    </w:div>
    <w:div w:id="1245650317">
      <w:bodyDiv w:val="1"/>
      <w:marLeft w:val="0"/>
      <w:marRight w:val="0"/>
      <w:marTop w:val="0"/>
      <w:marBottom w:val="0"/>
      <w:divBdr>
        <w:top w:val="none" w:sz="0" w:space="0" w:color="auto"/>
        <w:left w:val="none" w:sz="0" w:space="0" w:color="auto"/>
        <w:bottom w:val="none" w:sz="0" w:space="0" w:color="auto"/>
        <w:right w:val="none" w:sz="0" w:space="0" w:color="auto"/>
      </w:divBdr>
    </w:div>
    <w:div w:id="1286502211">
      <w:bodyDiv w:val="1"/>
      <w:marLeft w:val="0"/>
      <w:marRight w:val="0"/>
      <w:marTop w:val="0"/>
      <w:marBottom w:val="0"/>
      <w:divBdr>
        <w:top w:val="none" w:sz="0" w:space="0" w:color="auto"/>
        <w:left w:val="none" w:sz="0" w:space="0" w:color="auto"/>
        <w:bottom w:val="none" w:sz="0" w:space="0" w:color="auto"/>
        <w:right w:val="none" w:sz="0" w:space="0" w:color="auto"/>
      </w:divBdr>
    </w:div>
    <w:div w:id="1315064723">
      <w:bodyDiv w:val="1"/>
      <w:marLeft w:val="0"/>
      <w:marRight w:val="0"/>
      <w:marTop w:val="0"/>
      <w:marBottom w:val="0"/>
      <w:divBdr>
        <w:top w:val="none" w:sz="0" w:space="0" w:color="auto"/>
        <w:left w:val="none" w:sz="0" w:space="0" w:color="auto"/>
        <w:bottom w:val="none" w:sz="0" w:space="0" w:color="auto"/>
        <w:right w:val="none" w:sz="0" w:space="0" w:color="auto"/>
      </w:divBdr>
    </w:div>
    <w:div w:id="1320691421">
      <w:bodyDiv w:val="1"/>
      <w:marLeft w:val="0"/>
      <w:marRight w:val="0"/>
      <w:marTop w:val="0"/>
      <w:marBottom w:val="0"/>
      <w:divBdr>
        <w:top w:val="none" w:sz="0" w:space="0" w:color="auto"/>
        <w:left w:val="none" w:sz="0" w:space="0" w:color="auto"/>
        <w:bottom w:val="none" w:sz="0" w:space="0" w:color="auto"/>
        <w:right w:val="none" w:sz="0" w:space="0" w:color="auto"/>
      </w:divBdr>
    </w:div>
    <w:div w:id="1334645853">
      <w:bodyDiv w:val="1"/>
      <w:marLeft w:val="0"/>
      <w:marRight w:val="0"/>
      <w:marTop w:val="0"/>
      <w:marBottom w:val="0"/>
      <w:divBdr>
        <w:top w:val="none" w:sz="0" w:space="0" w:color="auto"/>
        <w:left w:val="none" w:sz="0" w:space="0" w:color="auto"/>
        <w:bottom w:val="none" w:sz="0" w:space="0" w:color="auto"/>
        <w:right w:val="none" w:sz="0" w:space="0" w:color="auto"/>
      </w:divBdr>
    </w:div>
    <w:div w:id="1367869837">
      <w:bodyDiv w:val="1"/>
      <w:marLeft w:val="0"/>
      <w:marRight w:val="0"/>
      <w:marTop w:val="0"/>
      <w:marBottom w:val="0"/>
      <w:divBdr>
        <w:top w:val="none" w:sz="0" w:space="0" w:color="auto"/>
        <w:left w:val="none" w:sz="0" w:space="0" w:color="auto"/>
        <w:bottom w:val="none" w:sz="0" w:space="0" w:color="auto"/>
        <w:right w:val="none" w:sz="0" w:space="0" w:color="auto"/>
      </w:divBdr>
    </w:div>
    <w:div w:id="1385987121">
      <w:bodyDiv w:val="1"/>
      <w:marLeft w:val="0"/>
      <w:marRight w:val="0"/>
      <w:marTop w:val="0"/>
      <w:marBottom w:val="0"/>
      <w:divBdr>
        <w:top w:val="none" w:sz="0" w:space="0" w:color="auto"/>
        <w:left w:val="none" w:sz="0" w:space="0" w:color="auto"/>
        <w:bottom w:val="none" w:sz="0" w:space="0" w:color="auto"/>
        <w:right w:val="none" w:sz="0" w:space="0" w:color="auto"/>
      </w:divBdr>
    </w:div>
    <w:div w:id="1443306481">
      <w:bodyDiv w:val="1"/>
      <w:marLeft w:val="0"/>
      <w:marRight w:val="0"/>
      <w:marTop w:val="0"/>
      <w:marBottom w:val="0"/>
      <w:divBdr>
        <w:top w:val="none" w:sz="0" w:space="0" w:color="auto"/>
        <w:left w:val="none" w:sz="0" w:space="0" w:color="auto"/>
        <w:bottom w:val="none" w:sz="0" w:space="0" w:color="auto"/>
        <w:right w:val="none" w:sz="0" w:space="0" w:color="auto"/>
      </w:divBdr>
    </w:div>
    <w:div w:id="1455514788">
      <w:bodyDiv w:val="1"/>
      <w:marLeft w:val="0"/>
      <w:marRight w:val="0"/>
      <w:marTop w:val="0"/>
      <w:marBottom w:val="0"/>
      <w:divBdr>
        <w:top w:val="none" w:sz="0" w:space="0" w:color="auto"/>
        <w:left w:val="none" w:sz="0" w:space="0" w:color="auto"/>
        <w:bottom w:val="none" w:sz="0" w:space="0" w:color="auto"/>
        <w:right w:val="none" w:sz="0" w:space="0" w:color="auto"/>
      </w:divBdr>
    </w:div>
    <w:div w:id="1498421533">
      <w:bodyDiv w:val="1"/>
      <w:marLeft w:val="0"/>
      <w:marRight w:val="0"/>
      <w:marTop w:val="0"/>
      <w:marBottom w:val="0"/>
      <w:divBdr>
        <w:top w:val="none" w:sz="0" w:space="0" w:color="auto"/>
        <w:left w:val="none" w:sz="0" w:space="0" w:color="auto"/>
        <w:bottom w:val="none" w:sz="0" w:space="0" w:color="auto"/>
        <w:right w:val="none" w:sz="0" w:space="0" w:color="auto"/>
      </w:divBdr>
    </w:div>
    <w:div w:id="1537161159">
      <w:bodyDiv w:val="1"/>
      <w:marLeft w:val="0"/>
      <w:marRight w:val="0"/>
      <w:marTop w:val="0"/>
      <w:marBottom w:val="0"/>
      <w:divBdr>
        <w:top w:val="none" w:sz="0" w:space="0" w:color="auto"/>
        <w:left w:val="none" w:sz="0" w:space="0" w:color="auto"/>
        <w:bottom w:val="none" w:sz="0" w:space="0" w:color="auto"/>
        <w:right w:val="none" w:sz="0" w:space="0" w:color="auto"/>
      </w:divBdr>
    </w:div>
    <w:div w:id="1542858041">
      <w:bodyDiv w:val="1"/>
      <w:marLeft w:val="0"/>
      <w:marRight w:val="0"/>
      <w:marTop w:val="0"/>
      <w:marBottom w:val="0"/>
      <w:divBdr>
        <w:top w:val="none" w:sz="0" w:space="0" w:color="auto"/>
        <w:left w:val="none" w:sz="0" w:space="0" w:color="auto"/>
        <w:bottom w:val="none" w:sz="0" w:space="0" w:color="auto"/>
        <w:right w:val="none" w:sz="0" w:space="0" w:color="auto"/>
      </w:divBdr>
    </w:div>
    <w:div w:id="1554611108">
      <w:bodyDiv w:val="1"/>
      <w:marLeft w:val="0"/>
      <w:marRight w:val="0"/>
      <w:marTop w:val="0"/>
      <w:marBottom w:val="0"/>
      <w:divBdr>
        <w:top w:val="none" w:sz="0" w:space="0" w:color="auto"/>
        <w:left w:val="none" w:sz="0" w:space="0" w:color="auto"/>
        <w:bottom w:val="none" w:sz="0" w:space="0" w:color="auto"/>
        <w:right w:val="none" w:sz="0" w:space="0" w:color="auto"/>
      </w:divBdr>
    </w:div>
    <w:div w:id="1597400165">
      <w:bodyDiv w:val="1"/>
      <w:marLeft w:val="0"/>
      <w:marRight w:val="0"/>
      <w:marTop w:val="0"/>
      <w:marBottom w:val="0"/>
      <w:divBdr>
        <w:top w:val="none" w:sz="0" w:space="0" w:color="auto"/>
        <w:left w:val="none" w:sz="0" w:space="0" w:color="auto"/>
        <w:bottom w:val="none" w:sz="0" w:space="0" w:color="auto"/>
        <w:right w:val="none" w:sz="0" w:space="0" w:color="auto"/>
      </w:divBdr>
    </w:div>
    <w:div w:id="1600093332">
      <w:bodyDiv w:val="1"/>
      <w:marLeft w:val="0"/>
      <w:marRight w:val="0"/>
      <w:marTop w:val="0"/>
      <w:marBottom w:val="0"/>
      <w:divBdr>
        <w:top w:val="none" w:sz="0" w:space="0" w:color="auto"/>
        <w:left w:val="none" w:sz="0" w:space="0" w:color="auto"/>
        <w:bottom w:val="none" w:sz="0" w:space="0" w:color="auto"/>
        <w:right w:val="none" w:sz="0" w:space="0" w:color="auto"/>
      </w:divBdr>
    </w:div>
    <w:div w:id="1612081205">
      <w:bodyDiv w:val="1"/>
      <w:marLeft w:val="0"/>
      <w:marRight w:val="0"/>
      <w:marTop w:val="0"/>
      <w:marBottom w:val="0"/>
      <w:divBdr>
        <w:top w:val="none" w:sz="0" w:space="0" w:color="auto"/>
        <w:left w:val="none" w:sz="0" w:space="0" w:color="auto"/>
        <w:bottom w:val="none" w:sz="0" w:space="0" w:color="auto"/>
        <w:right w:val="none" w:sz="0" w:space="0" w:color="auto"/>
      </w:divBdr>
    </w:div>
    <w:div w:id="1616935737">
      <w:bodyDiv w:val="1"/>
      <w:marLeft w:val="0"/>
      <w:marRight w:val="0"/>
      <w:marTop w:val="0"/>
      <w:marBottom w:val="0"/>
      <w:divBdr>
        <w:top w:val="none" w:sz="0" w:space="0" w:color="auto"/>
        <w:left w:val="none" w:sz="0" w:space="0" w:color="auto"/>
        <w:bottom w:val="none" w:sz="0" w:space="0" w:color="auto"/>
        <w:right w:val="none" w:sz="0" w:space="0" w:color="auto"/>
      </w:divBdr>
    </w:div>
    <w:div w:id="1639651127">
      <w:bodyDiv w:val="1"/>
      <w:marLeft w:val="0"/>
      <w:marRight w:val="0"/>
      <w:marTop w:val="0"/>
      <w:marBottom w:val="0"/>
      <w:divBdr>
        <w:top w:val="none" w:sz="0" w:space="0" w:color="auto"/>
        <w:left w:val="none" w:sz="0" w:space="0" w:color="auto"/>
        <w:bottom w:val="none" w:sz="0" w:space="0" w:color="auto"/>
        <w:right w:val="none" w:sz="0" w:space="0" w:color="auto"/>
      </w:divBdr>
    </w:div>
    <w:div w:id="1671714102">
      <w:bodyDiv w:val="1"/>
      <w:marLeft w:val="0"/>
      <w:marRight w:val="0"/>
      <w:marTop w:val="0"/>
      <w:marBottom w:val="0"/>
      <w:divBdr>
        <w:top w:val="none" w:sz="0" w:space="0" w:color="auto"/>
        <w:left w:val="none" w:sz="0" w:space="0" w:color="auto"/>
        <w:bottom w:val="none" w:sz="0" w:space="0" w:color="auto"/>
        <w:right w:val="none" w:sz="0" w:space="0" w:color="auto"/>
      </w:divBdr>
    </w:div>
    <w:div w:id="1677656676">
      <w:bodyDiv w:val="1"/>
      <w:marLeft w:val="0"/>
      <w:marRight w:val="0"/>
      <w:marTop w:val="0"/>
      <w:marBottom w:val="0"/>
      <w:divBdr>
        <w:top w:val="none" w:sz="0" w:space="0" w:color="auto"/>
        <w:left w:val="none" w:sz="0" w:space="0" w:color="auto"/>
        <w:bottom w:val="none" w:sz="0" w:space="0" w:color="auto"/>
        <w:right w:val="none" w:sz="0" w:space="0" w:color="auto"/>
      </w:divBdr>
    </w:div>
    <w:div w:id="1698921366">
      <w:bodyDiv w:val="1"/>
      <w:marLeft w:val="0"/>
      <w:marRight w:val="0"/>
      <w:marTop w:val="0"/>
      <w:marBottom w:val="0"/>
      <w:divBdr>
        <w:top w:val="none" w:sz="0" w:space="0" w:color="auto"/>
        <w:left w:val="none" w:sz="0" w:space="0" w:color="auto"/>
        <w:bottom w:val="none" w:sz="0" w:space="0" w:color="auto"/>
        <w:right w:val="none" w:sz="0" w:space="0" w:color="auto"/>
      </w:divBdr>
    </w:div>
    <w:div w:id="1713461731">
      <w:bodyDiv w:val="1"/>
      <w:marLeft w:val="0"/>
      <w:marRight w:val="0"/>
      <w:marTop w:val="0"/>
      <w:marBottom w:val="0"/>
      <w:divBdr>
        <w:top w:val="none" w:sz="0" w:space="0" w:color="auto"/>
        <w:left w:val="none" w:sz="0" w:space="0" w:color="auto"/>
        <w:bottom w:val="none" w:sz="0" w:space="0" w:color="auto"/>
        <w:right w:val="none" w:sz="0" w:space="0" w:color="auto"/>
      </w:divBdr>
    </w:div>
    <w:div w:id="1720325492">
      <w:bodyDiv w:val="1"/>
      <w:marLeft w:val="0"/>
      <w:marRight w:val="0"/>
      <w:marTop w:val="0"/>
      <w:marBottom w:val="0"/>
      <w:divBdr>
        <w:top w:val="none" w:sz="0" w:space="0" w:color="auto"/>
        <w:left w:val="none" w:sz="0" w:space="0" w:color="auto"/>
        <w:bottom w:val="none" w:sz="0" w:space="0" w:color="auto"/>
        <w:right w:val="none" w:sz="0" w:space="0" w:color="auto"/>
      </w:divBdr>
    </w:div>
    <w:div w:id="1747654110">
      <w:bodyDiv w:val="1"/>
      <w:marLeft w:val="0"/>
      <w:marRight w:val="0"/>
      <w:marTop w:val="0"/>
      <w:marBottom w:val="0"/>
      <w:divBdr>
        <w:top w:val="none" w:sz="0" w:space="0" w:color="auto"/>
        <w:left w:val="none" w:sz="0" w:space="0" w:color="auto"/>
        <w:bottom w:val="none" w:sz="0" w:space="0" w:color="auto"/>
        <w:right w:val="none" w:sz="0" w:space="0" w:color="auto"/>
      </w:divBdr>
    </w:div>
    <w:div w:id="1755514665">
      <w:bodyDiv w:val="1"/>
      <w:marLeft w:val="0"/>
      <w:marRight w:val="0"/>
      <w:marTop w:val="0"/>
      <w:marBottom w:val="0"/>
      <w:divBdr>
        <w:top w:val="none" w:sz="0" w:space="0" w:color="auto"/>
        <w:left w:val="none" w:sz="0" w:space="0" w:color="auto"/>
        <w:bottom w:val="none" w:sz="0" w:space="0" w:color="auto"/>
        <w:right w:val="none" w:sz="0" w:space="0" w:color="auto"/>
      </w:divBdr>
    </w:div>
    <w:div w:id="1761951702">
      <w:bodyDiv w:val="1"/>
      <w:marLeft w:val="0"/>
      <w:marRight w:val="0"/>
      <w:marTop w:val="0"/>
      <w:marBottom w:val="0"/>
      <w:divBdr>
        <w:top w:val="none" w:sz="0" w:space="0" w:color="auto"/>
        <w:left w:val="none" w:sz="0" w:space="0" w:color="auto"/>
        <w:bottom w:val="none" w:sz="0" w:space="0" w:color="auto"/>
        <w:right w:val="none" w:sz="0" w:space="0" w:color="auto"/>
      </w:divBdr>
    </w:div>
    <w:div w:id="1765421292">
      <w:bodyDiv w:val="1"/>
      <w:marLeft w:val="0"/>
      <w:marRight w:val="0"/>
      <w:marTop w:val="0"/>
      <w:marBottom w:val="0"/>
      <w:divBdr>
        <w:top w:val="none" w:sz="0" w:space="0" w:color="auto"/>
        <w:left w:val="none" w:sz="0" w:space="0" w:color="auto"/>
        <w:bottom w:val="none" w:sz="0" w:space="0" w:color="auto"/>
        <w:right w:val="none" w:sz="0" w:space="0" w:color="auto"/>
      </w:divBdr>
    </w:div>
    <w:div w:id="1775325072">
      <w:bodyDiv w:val="1"/>
      <w:marLeft w:val="0"/>
      <w:marRight w:val="0"/>
      <w:marTop w:val="0"/>
      <w:marBottom w:val="0"/>
      <w:divBdr>
        <w:top w:val="none" w:sz="0" w:space="0" w:color="auto"/>
        <w:left w:val="none" w:sz="0" w:space="0" w:color="auto"/>
        <w:bottom w:val="none" w:sz="0" w:space="0" w:color="auto"/>
        <w:right w:val="none" w:sz="0" w:space="0" w:color="auto"/>
      </w:divBdr>
    </w:div>
    <w:div w:id="1827938927">
      <w:bodyDiv w:val="1"/>
      <w:marLeft w:val="0"/>
      <w:marRight w:val="0"/>
      <w:marTop w:val="0"/>
      <w:marBottom w:val="0"/>
      <w:divBdr>
        <w:top w:val="none" w:sz="0" w:space="0" w:color="auto"/>
        <w:left w:val="none" w:sz="0" w:space="0" w:color="auto"/>
        <w:bottom w:val="none" w:sz="0" w:space="0" w:color="auto"/>
        <w:right w:val="none" w:sz="0" w:space="0" w:color="auto"/>
      </w:divBdr>
    </w:div>
    <w:div w:id="1878660750">
      <w:bodyDiv w:val="1"/>
      <w:marLeft w:val="0"/>
      <w:marRight w:val="0"/>
      <w:marTop w:val="0"/>
      <w:marBottom w:val="0"/>
      <w:divBdr>
        <w:top w:val="none" w:sz="0" w:space="0" w:color="auto"/>
        <w:left w:val="none" w:sz="0" w:space="0" w:color="auto"/>
        <w:bottom w:val="none" w:sz="0" w:space="0" w:color="auto"/>
        <w:right w:val="none" w:sz="0" w:space="0" w:color="auto"/>
      </w:divBdr>
    </w:div>
    <w:div w:id="1889873314">
      <w:bodyDiv w:val="1"/>
      <w:marLeft w:val="0"/>
      <w:marRight w:val="0"/>
      <w:marTop w:val="0"/>
      <w:marBottom w:val="0"/>
      <w:divBdr>
        <w:top w:val="none" w:sz="0" w:space="0" w:color="auto"/>
        <w:left w:val="none" w:sz="0" w:space="0" w:color="auto"/>
        <w:bottom w:val="none" w:sz="0" w:space="0" w:color="auto"/>
        <w:right w:val="none" w:sz="0" w:space="0" w:color="auto"/>
      </w:divBdr>
    </w:div>
    <w:div w:id="1902323990">
      <w:bodyDiv w:val="1"/>
      <w:marLeft w:val="0"/>
      <w:marRight w:val="0"/>
      <w:marTop w:val="0"/>
      <w:marBottom w:val="0"/>
      <w:divBdr>
        <w:top w:val="none" w:sz="0" w:space="0" w:color="auto"/>
        <w:left w:val="none" w:sz="0" w:space="0" w:color="auto"/>
        <w:bottom w:val="none" w:sz="0" w:space="0" w:color="auto"/>
        <w:right w:val="none" w:sz="0" w:space="0" w:color="auto"/>
      </w:divBdr>
    </w:div>
    <w:div w:id="1917009453">
      <w:bodyDiv w:val="1"/>
      <w:marLeft w:val="0"/>
      <w:marRight w:val="0"/>
      <w:marTop w:val="0"/>
      <w:marBottom w:val="0"/>
      <w:divBdr>
        <w:top w:val="none" w:sz="0" w:space="0" w:color="auto"/>
        <w:left w:val="none" w:sz="0" w:space="0" w:color="auto"/>
        <w:bottom w:val="none" w:sz="0" w:space="0" w:color="auto"/>
        <w:right w:val="none" w:sz="0" w:space="0" w:color="auto"/>
      </w:divBdr>
    </w:div>
    <w:div w:id="1946304880">
      <w:bodyDiv w:val="1"/>
      <w:marLeft w:val="0"/>
      <w:marRight w:val="0"/>
      <w:marTop w:val="0"/>
      <w:marBottom w:val="0"/>
      <w:divBdr>
        <w:top w:val="none" w:sz="0" w:space="0" w:color="auto"/>
        <w:left w:val="none" w:sz="0" w:space="0" w:color="auto"/>
        <w:bottom w:val="none" w:sz="0" w:space="0" w:color="auto"/>
        <w:right w:val="none" w:sz="0" w:space="0" w:color="auto"/>
      </w:divBdr>
    </w:div>
    <w:div w:id="1975675685">
      <w:bodyDiv w:val="1"/>
      <w:marLeft w:val="0"/>
      <w:marRight w:val="0"/>
      <w:marTop w:val="0"/>
      <w:marBottom w:val="0"/>
      <w:divBdr>
        <w:top w:val="none" w:sz="0" w:space="0" w:color="auto"/>
        <w:left w:val="none" w:sz="0" w:space="0" w:color="auto"/>
        <w:bottom w:val="none" w:sz="0" w:space="0" w:color="auto"/>
        <w:right w:val="none" w:sz="0" w:space="0" w:color="auto"/>
      </w:divBdr>
    </w:div>
    <w:div w:id="1982803931">
      <w:bodyDiv w:val="1"/>
      <w:marLeft w:val="0"/>
      <w:marRight w:val="0"/>
      <w:marTop w:val="0"/>
      <w:marBottom w:val="0"/>
      <w:divBdr>
        <w:top w:val="none" w:sz="0" w:space="0" w:color="auto"/>
        <w:left w:val="none" w:sz="0" w:space="0" w:color="auto"/>
        <w:bottom w:val="none" w:sz="0" w:space="0" w:color="auto"/>
        <w:right w:val="none" w:sz="0" w:space="0" w:color="auto"/>
      </w:divBdr>
    </w:div>
    <w:div w:id="2047830497">
      <w:bodyDiv w:val="1"/>
      <w:marLeft w:val="0"/>
      <w:marRight w:val="0"/>
      <w:marTop w:val="0"/>
      <w:marBottom w:val="0"/>
      <w:divBdr>
        <w:top w:val="none" w:sz="0" w:space="0" w:color="auto"/>
        <w:left w:val="none" w:sz="0" w:space="0" w:color="auto"/>
        <w:bottom w:val="none" w:sz="0" w:space="0" w:color="auto"/>
        <w:right w:val="none" w:sz="0" w:space="0" w:color="auto"/>
      </w:divBdr>
    </w:div>
    <w:div w:id="2072582515">
      <w:bodyDiv w:val="1"/>
      <w:marLeft w:val="0"/>
      <w:marRight w:val="0"/>
      <w:marTop w:val="0"/>
      <w:marBottom w:val="0"/>
      <w:divBdr>
        <w:top w:val="none" w:sz="0" w:space="0" w:color="auto"/>
        <w:left w:val="none" w:sz="0" w:space="0" w:color="auto"/>
        <w:bottom w:val="none" w:sz="0" w:space="0" w:color="auto"/>
        <w:right w:val="none" w:sz="0" w:space="0" w:color="auto"/>
      </w:divBdr>
    </w:div>
    <w:div w:id="2085493691">
      <w:bodyDiv w:val="1"/>
      <w:marLeft w:val="0"/>
      <w:marRight w:val="0"/>
      <w:marTop w:val="0"/>
      <w:marBottom w:val="0"/>
      <w:divBdr>
        <w:top w:val="none" w:sz="0" w:space="0" w:color="auto"/>
        <w:left w:val="none" w:sz="0" w:space="0" w:color="auto"/>
        <w:bottom w:val="none" w:sz="0" w:space="0" w:color="auto"/>
        <w:right w:val="none" w:sz="0" w:space="0" w:color="auto"/>
      </w:divBdr>
    </w:div>
    <w:div w:id="2103840834">
      <w:bodyDiv w:val="1"/>
      <w:marLeft w:val="0"/>
      <w:marRight w:val="0"/>
      <w:marTop w:val="0"/>
      <w:marBottom w:val="0"/>
      <w:divBdr>
        <w:top w:val="none" w:sz="0" w:space="0" w:color="auto"/>
        <w:left w:val="none" w:sz="0" w:space="0" w:color="auto"/>
        <w:bottom w:val="none" w:sz="0" w:space="0" w:color="auto"/>
        <w:right w:val="none" w:sz="0" w:space="0" w:color="auto"/>
      </w:divBdr>
    </w:div>
    <w:div w:id="2107654312">
      <w:bodyDiv w:val="1"/>
      <w:marLeft w:val="0"/>
      <w:marRight w:val="0"/>
      <w:marTop w:val="0"/>
      <w:marBottom w:val="0"/>
      <w:divBdr>
        <w:top w:val="none" w:sz="0" w:space="0" w:color="auto"/>
        <w:left w:val="none" w:sz="0" w:space="0" w:color="auto"/>
        <w:bottom w:val="none" w:sz="0" w:space="0" w:color="auto"/>
        <w:right w:val="none" w:sz="0" w:space="0" w:color="auto"/>
      </w:divBdr>
    </w:div>
    <w:div w:id="2128620434">
      <w:bodyDiv w:val="1"/>
      <w:marLeft w:val="0"/>
      <w:marRight w:val="0"/>
      <w:marTop w:val="0"/>
      <w:marBottom w:val="0"/>
      <w:divBdr>
        <w:top w:val="none" w:sz="0" w:space="0" w:color="auto"/>
        <w:left w:val="none" w:sz="0" w:space="0" w:color="auto"/>
        <w:bottom w:val="none" w:sz="0" w:space="0" w:color="auto"/>
        <w:right w:val="none" w:sz="0" w:space="0" w:color="auto"/>
      </w:divBdr>
    </w:div>
    <w:div w:id="2138983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yperlink" Target="https://www.ihrec.ie/our-work/research-reports/our-work-research-reports-caring-and-unpaid-work-in-ireland/" TargetMode="External"/><Relationship Id="rId21" Type="http://schemas.openxmlformats.org/officeDocument/2006/relationships/footer" Target="footer5.xml"/><Relationship Id="rId34" Type="http://schemas.openxmlformats.org/officeDocument/2006/relationships/header" Target="header7.xml"/><Relationship Id="rId42" Type="http://schemas.openxmlformats.org/officeDocument/2006/relationships/hyperlink" Target="https://www.ihrec.ie/documents/attitudes-to-diversity-in-ireland/" TargetMode="External"/><Relationship Id="rId47" Type="http://schemas.openxmlformats.org/officeDocument/2006/relationships/hyperlink" Target="https://www.ihrec.ie/app/uploads/2022/11/Submission-to-the-Review-of-the-Health-Regulation-of-Termination-of-Pregnancy-Act-2018.pdf" TargetMode="External"/><Relationship Id="rId50" Type="http://schemas.openxmlformats.org/officeDocument/2006/relationships/hyperlink" Target="https://www.equalityhumanrights.com/en/advice-and-guidance/public-sector-equality-duty" TargetMode="External"/><Relationship Id="rId55" Type="http://schemas.openxmlformats.org/officeDocument/2006/relationships/header" Target="header1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footer" Target="footer9.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header" Target="header6.xml"/><Relationship Id="rId37" Type="http://schemas.openxmlformats.org/officeDocument/2006/relationships/hyperlink" Target="https://www.equalityhumanrights.com/en/how-do-we-measure-equality-and-human-rights" TargetMode="External"/><Relationship Id="rId40" Type="http://schemas.openxmlformats.org/officeDocument/2006/relationships/hyperlink" Target="https://www.ihrec.ie/our-work/research-reports/disability-and-discrimination-in-ireland/" TargetMode="External"/><Relationship Id="rId45" Type="http://schemas.openxmlformats.org/officeDocument/2006/relationships/hyperlink" Target="https://bip.brpo.gov.pl/sites/default/files/Rekomendacje%20Komitetu%20ONZ%20dla%20Polski%20%28j%C4%99z.%20angielski%29.pdf" TargetMode="External"/><Relationship Id="rId53" Type="http://schemas.openxmlformats.org/officeDocument/2006/relationships/hyperlink" Target="https://drive.google.com/file/d/1V_cOs4V7G6mm2A1BOdTmnfn15dXsJtZ6/view"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footer" Target="footer6.xml"/><Relationship Id="rId27" Type="http://schemas.openxmlformats.org/officeDocument/2006/relationships/image" Target="media/image8.png"/><Relationship Id="rId30" Type="http://schemas.openxmlformats.org/officeDocument/2006/relationships/image" Target="media/image9.jpeg"/><Relationship Id="rId35" Type="http://schemas.openxmlformats.org/officeDocument/2006/relationships/hyperlink" Target="https://hudoc.echr.coe.int/eng" TargetMode="External"/><Relationship Id="rId43" Type="http://schemas.openxmlformats.org/officeDocument/2006/relationships/header" Target="header8.xml"/><Relationship Id="rId48" Type="http://schemas.openxmlformats.org/officeDocument/2006/relationships/hyperlink" Target="https://www.zagovornik.si/wp-content/uploads/2021/10/Priporocilo-Zagovornika-nacela-enakosti-glede-izboljsanja-polozaja-brezdomnih-oseb.pdf"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equalityhumanrights.com/en/advice-and-guidance/gender-pay-gap-reporting"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7.jpeg"/><Relationship Id="rId33" Type="http://schemas.openxmlformats.org/officeDocument/2006/relationships/footer" Target="footer11.xml"/><Relationship Id="rId38" Type="http://schemas.openxmlformats.org/officeDocument/2006/relationships/hyperlink" Target="https://www.ihrec.ie/documents/who-experiences-discrimination-in-ireland-evidence-from-the-qnhs-equality-modules/" TargetMode="External"/><Relationship Id="rId46" Type="http://schemas.openxmlformats.org/officeDocument/2006/relationships/hyperlink" Target="https://www.ihrec.ie/app/uploads/2021/09/Developing-a-National-Action-Plan-Against-Racism-IHREC-Submission-to-the-Anti-Racism-Committee.pdf" TargetMode="External"/><Relationship Id="rId20" Type="http://schemas.openxmlformats.org/officeDocument/2006/relationships/header" Target="header4.xml"/><Relationship Id="rId41" Type="http://schemas.openxmlformats.org/officeDocument/2006/relationships/hyperlink" Target="https://www.ihrec.ie/discrimination-and-inequality-in-housing-in-ireland/" TargetMode="External"/><Relationship Id="rId54" Type="http://schemas.openxmlformats.org/officeDocument/2006/relationships/hyperlink" Target="https://drive.google.com/file/d/1I_tBbwjA07cqmYYLvB47nii5c9COzuXu/view"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5.xml"/><Relationship Id="rId28" Type="http://schemas.openxmlformats.org/officeDocument/2006/relationships/hyperlink" Target="https://ec.europa.eu/newsroom/just/document.cfm?action=display&amp;doc_id=43205" TargetMode="External"/><Relationship Id="rId36" Type="http://schemas.openxmlformats.org/officeDocument/2006/relationships/hyperlink" Target="https://www.equalityhumanrights.com/en/britain-fairer" TargetMode="External"/><Relationship Id="rId49" Type="http://schemas.openxmlformats.org/officeDocument/2006/relationships/header" Target="header9.xml"/><Relationship Id="rId57" Type="http://schemas.openxmlformats.org/officeDocument/2006/relationships/glossaryDocument" Target="glossary/document.xml"/><Relationship Id="rId10" Type="http://schemas.openxmlformats.org/officeDocument/2006/relationships/endnotes" Target="endnotes.xml"/><Relationship Id="rId31" Type="http://schemas.openxmlformats.org/officeDocument/2006/relationships/footer" Target="footer10.xml"/><Relationship Id="rId44" Type="http://schemas.openxmlformats.org/officeDocument/2006/relationships/hyperlink" Target="https://igualdadynodiscriminacion.igualdad.gob.es/destacados/pdf/05-PERCEPCION_DISCRIMINACION_RACIAL_RESUMEN-EN.pdf" TargetMode="External"/><Relationship Id="rId52" Type="http://schemas.openxmlformats.org/officeDocument/2006/relationships/hyperlink" Target="https://atlasnienawisci.pl/" TargetMode="External"/></Relationships>
</file>

<file path=word/_rels/header6.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0.png"/></Relationships>
</file>

<file path=word/_rels/header7.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3BA509F2AC7476EAFC467497F9DDAF9"/>
        <w:category>
          <w:name w:val="General"/>
          <w:gallery w:val="placeholder"/>
        </w:category>
        <w:types>
          <w:type w:val="bbPlcHdr"/>
        </w:types>
        <w:behaviors>
          <w:behavior w:val="content"/>
        </w:behaviors>
        <w:guid w:val="{6282CC87-826D-45CC-837E-2F1208C79D2D}"/>
      </w:docPartPr>
      <w:docPartBody>
        <w:p w:rsidR="00B953E6" w:rsidRDefault="00686137" w:rsidP="00686137">
          <w:pPr>
            <w:pStyle w:val="93BA509F2AC7476EAFC467497F9DDAF9"/>
          </w:pPr>
          <w:r w:rsidRPr="005C0653">
            <w:rPr>
              <w:rStyle w:val="Formfield"/>
            </w:rPr>
            <w:t>NAME OF PUBLICATION</w:t>
          </w:r>
        </w:p>
      </w:docPartBody>
    </w:docPart>
    <w:docPart>
      <w:docPartPr>
        <w:name w:val="BDFB0C8DCC644797A36B0630CD59426B"/>
        <w:category>
          <w:name w:val="General"/>
          <w:gallery w:val="placeholder"/>
        </w:category>
        <w:types>
          <w:type w:val="bbPlcHdr"/>
        </w:types>
        <w:behaviors>
          <w:behavior w:val="content"/>
        </w:behaviors>
        <w:guid w:val="{89CE37C3-AE40-49B9-ADA9-8FC276A75FB9}"/>
      </w:docPartPr>
      <w:docPartBody>
        <w:p w:rsidR="00B953E6" w:rsidRDefault="00686137" w:rsidP="00686137">
          <w:pPr>
            <w:pStyle w:val="BDFB0C8DCC644797A36B0630CD59426B"/>
          </w:pPr>
          <w:r w:rsidRPr="005C0653">
            <w:rPr>
              <w:rStyle w:val="Formfield"/>
            </w:rPr>
            <w:t>PUBLICATION 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INPro-Bold">
    <w:panose1 w:val="02000503030000020004"/>
    <w:charset w:val="00"/>
    <w:family w:val="modern"/>
    <w:notTrueType/>
    <w:pitch w:val="variable"/>
    <w:sig w:usb0="800002AF" w:usb1="4000206A" w:usb2="00000000" w:usb3="00000000" w:csb0="0000009F" w:csb1="00000000"/>
  </w:font>
  <w:font w:name="DINPro-Black">
    <w:panose1 w:val="02000503030000020004"/>
    <w:charset w:val="00"/>
    <w:family w:val="modern"/>
    <w:notTrueType/>
    <w:pitch w:val="variable"/>
    <w:sig w:usb0="800002AF" w:usb1="4000206A" w:usb2="00000000" w:usb3="00000000" w:csb0="0000009F" w:csb1="00000000"/>
  </w:font>
  <w:font w:name="DINPro-Light">
    <w:panose1 w:val="02000504040000020003"/>
    <w:charset w:val="00"/>
    <w:family w:val="modern"/>
    <w:notTrueType/>
    <w:pitch w:val="variable"/>
    <w:sig w:usb0="800002AF" w:usb1="4000206A"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137"/>
    <w:rsid w:val="00000B06"/>
    <w:rsid w:val="0010217C"/>
    <w:rsid w:val="002A54CA"/>
    <w:rsid w:val="003717FD"/>
    <w:rsid w:val="003E2EEB"/>
    <w:rsid w:val="004002D8"/>
    <w:rsid w:val="00471E94"/>
    <w:rsid w:val="005B3AE6"/>
    <w:rsid w:val="005D7BD4"/>
    <w:rsid w:val="00686137"/>
    <w:rsid w:val="007221DE"/>
    <w:rsid w:val="008C6838"/>
    <w:rsid w:val="008E0599"/>
    <w:rsid w:val="00922A4E"/>
    <w:rsid w:val="009A63C7"/>
    <w:rsid w:val="00B93379"/>
    <w:rsid w:val="00B944C6"/>
    <w:rsid w:val="00B953E6"/>
    <w:rsid w:val="00C51C03"/>
    <w:rsid w:val="00C87CC6"/>
    <w:rsid w:val="00E37BD5"/>
    <w:rsid w:val="00F44E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rmfield">
    <w:name w:val="Form field"/>
    <w:basedOn w:val="DefaultParagraphFont"/>
    <w:uiPriority w:val="1"/>
    <w:qFormat/>
    <w:rsid w:val="00686137"/>
    <w:rPr>
      <w:rFonts w:asciiTheme="minorHAnsi" w:hAnsiTheme="minorHAnsi"/>
      <w:caps/>
      <w:smallCaps w:val="0"/>
      <w:color w:val="C00000"/>
    </w:rPr>
  </w:style>
  <w:style w:type="paragraph" w:customStyle="1" w:styleId="93BA509F2AC7476EAFC467497F9DDAF9">
    <w:name w:val="93BA509F2AC7476EAFC467497F9DDAF9"/>
    <w:rsid w:val="00686137"/>
  </w:style>
  <w:style w:type="paragraph" w:customStyle="1" w:styleId="BDFB0C8DCC644797A36B0630CD59426B">
    <w:name w:val="BDFB0C8DCC644797A36B0630CD59426B"/>
    <w:rsid w:val="006861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8820D3E3E695243A18602BCD7DE657A" ma:contentTypeVersion="19" ma:contentTypeDescription="Create a new document." ma:contentTypeScope="" ma:versionID="24c4f0fb971506cb32eded772314e1fc">
  <xsd:schema xmlns:xsd="http://www.w3.org/2001/XMLSchema" xmlns:xs="http://www.w3.org/2001/XMLSchema" xmlns:p="http://schemas.microsoft.com/office/2006/metadata/properties" xmlns:ns2="5dcaf206-b009-4658-99e1-4d638e44d8f5" xmlns:ns3="1fbf4851-1fe8-4378-a6d9-5967d98f316b" targetNamespace="http://schemas.microsoft.com/office/2006/metadata/properties" ma:root="true" ma:fieldsID="6de88571e738abf75a08d6972eb71fed" ns2:_="" ns3:_="">
    <xsd:import namespace="5dcaf206-b009-4658-99e1-4d638e44d8f5"/>
    <xsd:import namespace="1fbf4851-1fe8-4378-a6d9-5967d98f316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URL"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caf206-b009-4658-99e1-4d638e44d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URL" ma:index="20" nillable="true" ma:displayName="URL" ma:format="Hyperlink"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91b2610-8ca3-4954-baf1-f497d7f4fe9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bf4851-1fe8-4378-a6d9-5967d98f316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a178bd2-4b36-41f2-9a25-ef564fee8ee7}" ma:internalName="TaxCatchAll" ma:showField="CatchAllData" ma:web="1fbf4851-1fe8-4378-a6d9-5967d98f31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fbf4851-1fe8-4378-a6d9-5967d98f316b" xsi:nil="true"/>
    <lcf76f155ced4ddcb4097134ff3c332f xmlns="5dcaf206-b009-4658-99e1-4d638e44d8f5">
      <Terms xmlns="http://schemas.microsoft.com/office/infopath/2007/PartnerControls"/>
    </lcf76f155ced4ddcb4097134ff3c332f>
    <URL xmlns="5dcaf206-b009-4658-99e1-4d638e44d8f5">
      <Url xsi:nil="true"/>
      <Description xsi:nil="true"/>
    </URL>
    <SharedWithUsers xmlns="1fbf4851-1fe8-4378-a6d9-5967d98f316b">
      <UserInfo>
        <DisplayName>Milla Vidina</DisplayName>
        <AccountId>21</AccountId>
        <AccountType/>
      </UserInfo>
      <UserInfo>
        <DisplayName>Martina Bianco</DisplayName>
        <AccountId>297</AccountId>
        <AccountType/>
      </UserInfo>
      <UserInfo>
        <DisplayName>Chiara d'Agni</DisplayName>
        <AccountId>224</AccountId>
        <AccountType/>
      </UserInfo>
      <UserInfo>
        <DisplayName>Teresa Pedreira</DisplayName>
        <AccountId>97</AccountId>
        <AccountType/>
      </UserInfo>
    </SharedWithUsers>
  </documentManagement>
</p:properties>
</file>

<file path=customXml/itemProps1.xml><?xml version="1.0" encoding="utf-8"?>
<ds:datastoreItem xmlns:ds="http://schemas.openxmlformats.org/officeDocument/2006/customXml" ds:itemID="{25C096A2-DCC5-46FB-93BE-4C84D6BB2EBB}">
  <ds:schemaRefs>
    <ds:schemaRef ds:uri="http://schemas.microsoft.com/sharepoint/v3/contenttype/forms"/>
  </ds:schemaRefs>
</ds:datastoreItem>
</file>

<file path=customXml/itemProps2.xml><?xml version="1.0" encoding="utf-8"?>
<ds:datastoreItem xmlns:ds="http://schemas.openxmlformats.org/officeDocument/2006/customXml" ds:itemID="{E5165604-9A24-4F2E-B49C-BA5A00AEA46D}">
  <ds:schemaRefs>
    <ds:schemaRef ds:uri="http://schemas.openxmlformats.org/officeDocument/2006/bibliography"/>
  </ds:schemaRefs>
</ds:datastoreItem>
</file>

<file path=customXml/itemProps3.xml><?xml version="1.0" encoding="utf-8"?>
<ds:datastoreItem xmlns:ds="http://schemas.openxmlformats.org/officeDocument/2006/customXml" ds:itemID="{6D2B5225-3BE5-480B-BE63-D17329D98B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caf206-b009-4658-99e1-4d638e44d8f5"/>
    <ds:schemaRef ds:uri="1fbf4851-1fe8-4378-a6d9-5967d98f31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89E10C-B68C-4D16-9D6A-9A56CAEF9104}">
  <ds:schemaRefs>
    <ds:schemaRef ds:uri="http://schemas.microsoft.com/office/2006/metadata/properties"/>
    <ds:schemaRef ds:uri="http://schemas.microsoft.com/office/infopath/2007/PartnerControls"/>
    <ds:schemaRef ds:uri="1fbf4851-1fe8-4378-a6d9-5967d98f316b"/>
    <ds:schemaRef ds:uri="5dcaf206-b009-4658-99e1-4d638e44d8f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8474</Words>
  <Characters>48813</Characters>
  <Application>Microsoft Office Word</Application>
  <DocSecurity>0</DocSecurity>
  <Lines>728</Lines>
  <Paragraphs>224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57063</CharactersWithSpaces>
  <SharedDoc>false</SharedDoc>
  <HLinks>
    <vt:vector size="222" baseType="variant">
      <vt:variant>
        <vt:i4>7733327</vt:i4>
      </vt:variant>
      <vt:variant>
        <vt:i4>162</vt:i4>
      </vt:variant>
      <vt:variant>
        <vt:i4>0</vt:i4>
      </vt:variant>
      <vt:variant>
        <vt:i4>5</vt:i4>
      </vt:variant>
      <vt:variant>
        <vt:lpwstr>https://drive.google.com/file/d/1I_tBbwjA07cqmYYLvB47nii5c9COzuXu/view</vt:lpwstr>
      </vt:variant>
      <vt:variant>
        <vt:lpwstr/>
      </vt:variant>
      <vt:variant>
        <vt:i4>3932168</vt:i4>
      </vt:variant>
      <vt:variant>
        <vt:i4>159</vt:i4>
      </vt:variant>
      <vt:variant>
        <vt:i4>0</vt:i4>
      </vt:variant>
      <vt:variant>
        <vt:i4>5</vt:i4>
      </vt:variant>
      <vt:variant>
        <vt:lpwstr>https://drive.google.com/file/d/1V_cOs4V7G6mm2A1BOdTmnfn15dXsJtZ6/view</vt:lpwstr>
      </vt:variant>
      <vt:variant>
        <vt:lpwstr/>
      </vt:variant>
      <vt:variant>
        <vt:i4>2490404</vt:i4>
      </vt:variant>
      <vt:variant>
        <vt:i4>156</vt:i4>
      </vt:variant>
      <vt:variant>
        <vt:i4>0</vt:i4>
      </vt:variant>
      <vt:variant>
        <vt:i4>5</vt:i4>
      </vt:variant>
      <vt:variant>
        <vt:lpwstr>https://atlasnienawisci.pl/</vt:lpwstr>
      </vt:variant>
      <vt:variant>
        <vt:lpwstr/>
      </vt:variant>
      <vt:variant>
        <vt:i4>7077935</vt:i4>
      </vt:variant>
      <vt:variant>
        <vt:i4>153</vt:i4>
      </vt:variant>
      <vt:variant>
        <vt:i4>0</vt:i4>
      </vt:variant>
      <vt:variant>
        <vt:i4>5</vt:i4>
      </vt:variant>
      <vt:variant>
        <vt:lpwstr>https://www.equalityhumanrights.com/en/advice-and-guidance/gender-pay-gap-reporting</vt:lpwstr>
      </vt:variant>
      <vt:variant>
        <vt:lpwstr/>
      </vt:variant>
      <vt:variant>
        <vt:i4>2162787</vt:i4>
      </vt:variant>
      <vt:variant>
        <vt:i4>150</vt:i4>
      </vt:variant>
      <vt:variant>
        <vt:i4>0</vt:i4>
      </vt:variant>
      <vt:variant>
        <vt:i4>5</vt:i4>
      </vt:variant>
      <vt:variant>
        <vt:lpwstr>https://www.equalityhumanrights.com/en/advice-and-guidance/public-sector-equality-duty</vt:lpwstr>
      </vt:variant>
      <vt:variant>
        <vt:lpwstr/>
      </vt:variant>
      <vt:variant>
        <vt:i4>2687015</vt:i4>
      </vt:variant>
      <vt:variant>
        <vt:i4>147</vt:i4>
      </vt:variant>
      <vt:variant>
        <vt:i4>0</vt:i4>
      </vt:variant>
      <vt:variant>
        <vt:i4>5</vt:i4>
      </vt:variant>
      <vt:variant>
        <vt:lpwstr>https://www.zagovornik.si/wp-content/uploads/2021/10/Priporocilo-Zagovornika-nacela-enakosti-glede-izboljsanja-polozaja-brezdomnih-oseb.pdf</vt:lpwstr>
      </vt:variant>
      <vt:variant>
        <vt:lpwstr/>
      </vt:variant>
      <vt:variant>
        <vt:i4>6553706</vt:i4>
      </vt:variant>
      <vt:variant>
        <vt:i4>144</vt:i4>
      </vt:variant>
      <vt:variant>
        <vt:i4>0</vt:i4>
      </vt:variant>
      <vt:variant>
        <vt:i4>5</vt:i4>
      </vt:variant>
      <vt:variant>
        <vt:lpwstr>https://www.ihrec.ie/app/uploads/2022/11/Submission-to-the-Review-of-the-Health-Regulation-of-Termination-of-Pregnancy-Act-2018.pdf</vt:lpwstr>
      </vt:variant>
      <vt:variant>
        <vt:lpwstr/>
      </vt:variant>
      <vt:variant>
        <vt:i4>2687019</vt:i4>
      </vt:variant>
      <vt:variant>
        <vt:i4>141</vt:i4>
      </vt:variant>
      <vt:variant>
        <vt:i4>0</vt:i4>
      </vt:variant>
      <vt:variant>
        <vt:i4>5</vt:i4>
      </vt:variant>
      <vt:variant>
        <vt:lpwstr>https://www.ihrec.ie/app/uploads/2021/09/Developing-a-National-Action-Plan-Against-Racism-IHREC-Submission-to-the-Anti-Racism-Committee.pdf</vt:lpwstr>
      </vt:variant>
      <vt:variant>
        <vt:lpwstr/>
      </vt:variant>
      <vt:variant>
        <vt:i4>8060965</vt:i4>
      </vt:variant>
      <vt:variant>
        <vt:i4>138</vt:i4>
      </vt:variant>
      <vt:variant>
        <vt:i4>0</vt:i4>
      </vt:variant>
      <vt:variant>
        <vt:i4>5</vt:i4>
      </vt:variant>
      <vt:variant>
        <vt:lpwstr>https://bip.brpo.gov.pl/sites/default/files/Rekomendacje Komitetu ONZ dla Polski %28j%C4%99z. angielski%29.pdf</vt:lpwstr>
      </vt:variant>
      <vt:variant>
        <vt:lpwstr/>
      </vt:variant>
      <vt:variant>
        <vt:i4>1507390</vt:i4>
      </vt:variant>
      <vt:variant>
        <vt:i4>135</vt:i4>
      </vt:variant>
      <vt:variant>
        <vt:i4>0</vt:i4>
      </vt:variant>
      <vt:variant>
        <vt:i4>5</vt:i4>
      </vt:variant>
      <vt:variant>
        <vt:lpwstr>https://igualdadynodiscriminacion.igualdad.gob.es/destacados/pdf/05-PERCEPCION_DISCRIMINACION_RACIAL_RESUMEN-EN.pdf</vt:lpwstr>
      </vt:variant>
      <vt:variant>
        <vt:lpwstr/>
      </vt:variant>
      <vt:variant>
        <vt:i4>1507409</vt:i4>
      </vt:variant>
      <vt:variant>
        <vt:i4>132</vt:i4>
      </vt:variant>
      <vt:variant>
        <vt:i4>0</vt:i4>
      </vt:variant>
      <vt:variant>
        <vt:i4>5</vt:i4>
      </vt:variant>
      <vt:variant>
        <vt:lpwstr>https://www.ihrec.ie/documents/attitudes-to-diversity-in-ireland/</vt:lpwstr>
      </vt:variant>
      <vt:variant>
        <vt:lpwstr/>
      </vt:variant>
      <vt:variant>
        <vt:i4>983058</vt:i4>
      </vt:variant>
      <vt:variant>
        <vt:i4>129</vt:i4>
      </vt:variant>
      <vt:variant>
        <vt:i4>0</vt:i4>
      </vt:variant>
      <vt:variant>
        <vt:i4>5</vt:i4>
      </vt:variant>
      <vt:variant>
        <vt:lpwstr>https://www.ihrec.ie/discrimination-and-inequality-in-housing-in-ireland/</vt:lpwstr>
      </vt:variant>
      <vt:variant>
        <vt:lpwstr/>
      </vt:variant>
      <vt:variant>
        <vt:i4>5505054</vt:i4>
      </vt:variant>
      <vt:variant>
        <vt:i4>126</vt:i4>
      </vt:variant>
      <vt:variant>
        <vt:i4>0</vt:i4>
      </vt:variant>
      <vt:variant>
        <vt:i4>5</vt:i4>
      </vt:variant>
      <vt:variant>
        <vt:lpwstr>https://www.ihrec.ie/our-work/research-reports/disability-and-discrimination-in-ireland/</vt:lpwstr>
      </vt:variant>
      <vt:variant>
        <vt:lpwstr/>
      </vt:variant>
      <vt:variant>
        <vt:i4>3735655</vt:i4>
      </vt:variant>
      <vt:variant>
        <vt:i4>123</vt:i4>
      </vt:variant>
      <vt:variant>
        <vt:i4>0</vt:i4>
      </vt:variant>
      <vt:variant>
        <vt:i4>5</vt:i4>
      </vt:variant>
      <vt:variant>
        <vt:lpwstr>https://www.ihrec.ie/our-work/research-reports/our-work-research-reports-caring-and-unpaid-work-in-ireland/</vt:lpwstr>
      </vt:variant>
      <vt:variant>
        <vt:lpwstr/>
      </vt:variant>
      <vt:variant>
        <vt:i4>5177351</vt:i4>
      </vt:variant>
      <vt:variant>
        <vt:i4>120</vt:i4>
      </vt:variant>
      <vt:variant>
        <vt:i4>0</vt:i4>
      </vt:variant>
      <vt:variant>
        <vt:i4>5</vt:i4>
      </vt:variant>
      <vt:variant>
        <vt:lpwstr>https://www.ihrec.ie/documents/who-experiences-discrimination-in-ireland-evidence-from-the-qnhs-equality-modules/</vt:lpwstr>
      </vt:variant>
      <vt:variant>
        <vt:lpwstr/>
      </vt:variant>
      <vt:variant>
        <vt:i4>4128804</vt:i4>
      </vt:variant>
      <vt:variant>
        <vt:i4>117</vt:i4>
      </vt:variant>
      <vt:variant>
        <vt:i4>0</vt:i4>
      </vt:variant>
      <vt:variant>
        <vt:i4>5</vt:i4>
      </vt:variant>
      <vt:variant>
        <vt:lpwstr>https://www.equalityhumanrights.com/en/how-do-we-measure-equality-and-human-rights</vt:lpwstr>
      </vt:variant>
      <vt:variant>
        <vt:lpwstr/>
      </vt:variant>
      <vt:variant>
        <vt:i4>5439556</vt:i4>
      </vt:variant>
      <vt:variant>
        <vt:i4>114</vt:i4>
      </vt:variant>
      <vt:variant>
        <vt:i4>0</vt:i4>
      </vt:variant>
      <vt:variant>
        <vt:i4>5</vt:i4>
      </vt:variant>
      <vt:variant>
        <vt:lpwstr>https://www.equalityhumanrights.com/en/britain-fairer</vt:lpwstr>
      </vt:variant>
      <vt:variant>
        <vt:lpwstr/>
      </vt:variant>
      <vt:variant>
        <vt:i4>5308441</vt:i4>
      </vt:variant>
      <vt:variant>
        <vt:i4>111</vt:i4>
      </vt:variant>
      <vt:variant>
        <vt:i4>0</vt:i4>
      </vt:variant>
      <vt:variant>
        <vt:i4>5</vt:i4>
      </vt:variant>
      <vt:variant>
        <vt:lpwstr>https://hudoc.echr.coe.int/eng</vt:lpwstr>
      </vt:variant>
      <vt:variant>
        <vt:lpwstr>{%22dmdocnumber%22:[%22884032%22],%22display%22:[0]}</vt:lpwstr>
      </vt:variant>
      <vt:variant>
        <vt:i4>2162774</vt:i4>
      </vt:variant>
      <vt:variant>
        <vt:i4>108</vt:i4>
      </vt:variant>
      <vt:variant>
        <vt:i4>0</vt:i4>
      </vt:variant>
      <vt:variant>
        <vt:i4>5</vt:i4>
      </vt:variant>
      <vt:variant>
        <vt:lpwstr>https://ec.europa.eu/newsroom/just/document.cfm?action=display&amp;doc_id=43205</vt:lpwstr>
      </vt:variant>
      <vt:variant>
        <vt:lpwstr/>
      </vt:variant>
      <vt:variant>
        <vt:i4>1572919</vt:i4>
      </vt:variant>
      <vt:variant>
        <vt:i4>101</vt:i4>
      </vt:variant>
      <vt:variant>
        <vt:i4>0</vt:i4>
      </vt:variant>
      <vt:variant>
        <vt:i4>5</vt:i4>
      </vt:variant>
      <vt:variant>
        <vt:lpwstr/>
      </vt:variant>
      <vt:variant>
        <vt:lpwstr>_Toc168669868</vt:lpwstr>
      </vt:variant>
      <vt:variant>
        <vt:i4>1572919</vt:i4>
      </vt:variant>
      <vt:variant>
        <vt:i4>95</vt:i4>
      </vt:variant>
      <vt:variant>
        <vt:i4>0</vt:i4>
      </vt:variant>
      <vt:variant>
        <vt:i4>5</vt:i4>
      </vt:variant>
      <vt:variant>
        <vt:lpwstr/>
      </vt:variant>
      <vt:variant>
        <vt:lpwstr>_Toc168669867</vt:lpwstr>
      </vt:variant>
      <vt:variant>
        <vt:i4>1572919</vt:i4>
      </vt:variant>
      <vt:variant>
        <vt:i4>89</vt:i4>
      </vt:variant>
      <vt:variant>
        <vt:i4>0</vt:i4>
      </vt:variant>
      <vt:variant>
        <vt:i4>5</vt:i4>
      </vt:variant>
      <vt:variant>
        <vt:lpwstr/>
      </vt:variant>
      <vt:variant>
        <vt:lpwstr>_Toc168669866</vt:lpwstr>
      </vt:variant>
      <vt:variant>
        <vt:i4>1572919</vt:i4>
      </vt:variant>
      <vt:variant>
        <vt:i4>83</vt:i4>
      </vt:variant>
      <vt:variant>
        <vt:i4>0</vt:i4>
      </vt:variant>
      <vt:variant>
        <vt:i4>5</vt:i4>
      </vt:variant>
      <vt:variant>
        <vt:lpwstr/>
      </vt:variant>
      <vt:variant>
        <vt:lpwstr>_Toc168669865</vt:lpwstr>
      </vt:variant>
      <vt:variant>
        <vt:i4>1572919</vt:i4>
      </vt:variant>
      <vt:variant>
        <vt:i4>77</vt:i4>
      </vt:variant>
      <vt:variant>
        <vt:i4>0</vt:i4>
      </vt:variant>
      <vt:variant>
        <vt:i4>5</vt:i4>
      </vt:variant>
      <vt:variant>
        <vt:lpwstr/>
      </vt:variant>
      <vt:variant>
        <vt:lpwstr>_Toc168669864</vt:lpwstr>
      </vt:variant>
      <vt:variant>
        <vt:i4>1572919</vt:i4>
      </vt:variant>
      <vt:variant>
        <vt:i4>71</vt:i4>
      </vt:variant>
      <vt:variant>
        <vt:i4>0</vt:i4>
      </vt:variant>
      <vt:variant>
        <vt:i4>5</vt:i4>
      </vt:variant>
      <vt:variant>
        <vt:lpwstr/>
      </vt:variant>
      <vt:variant>
        <vt:lpwstr>_Toc168669863</vt:lpwstr>
      </vt:variant>
      <vt:variant>
        <vt:i4>1572919</vt:i4>
      </vt:variant>
      <vt:variant>
        <vt:i4>65</vt:i4>
      </vt:variant>
      <vt:variant>
        <vt:i4>0</vt:i4>
      </vt:variant>
      <vt:variant>
        <vt:i4>5</vt:i4>
      </vt:variant>
      <vt:variant>
        <vt:lpwstr/>
      </vt:variant>
      <vt:variant>
        <vt:lpwstr>_Toc168669862</vt:lpwstr>
      </vt:variant>
      <vt:variant>
        <vt:i4>1572919</vt:i4>
      </vt:variant>
      <vt:variant>
        <vt:i4>59</vt:i4>
      </vt:variant>
      <vt:variant>
        <vt:i4>0</vt:i4>
      </vt:variant>
      <vt:variant>
        <vt:i4>5</vt:i4>
      </vt:variant>
      <vt:variant>
        <vt:lpwstr/>
      </vt:variant>
      <vt:variant>
        <vt:lpwstr>_Toc168669861</vt:lpwstr>
      </vt:variant>
      <vt:variant>
        <vt:i4>1572919</vt:i4>
      </vt:variant>
      <vt:variant>
        <vt:i4>53</vt:i4>
      </vt:variant>
      <vt:variant>
        <vt:i4>0</vt:i4>
      </vt:variant>
      <vt:variant>
        <vt:i4>5</vt:i4>
      </vt:variant>
      <vt:variant>
        <vt:lpwstr/>
      </vt:variant>
      <vt:variant>
        <vt:lpwstr>_Toc168669860</vt:lpwstr>
      </vt:variant>
      <vt:variant>
        <vt:i4>1769527</vt:i4>
      </vt:variant>
      <vt:variant>
        <vt:i4>47</vt:i4>
      </vt:variant>
      <vt:variant>
        <vt:i4>0</vt:i4>
      </vt:variant>
      <vt:variant>
        <vt:i4>5</vt:i4>
      </vt:variant>
      <vt:variant>
        <vt:lpwstr/>
      </vt:variant>
      <vt:variant>
        <vt:lpwstr>_Toc168669859</vt:lpwstr>
      </vt:variant>
      <vt:variant>
        <vt:i4>1769527</vt:i4>
      </vt:variant>
      <vt:variant>
        <vt:i4>41</vt:i4>
      </vt:variant>
      <vt:variant>
        <vt:i4>0</vt:i4>
      </vt:variant>
      <vt:variant>
        <vt:i4>5</vt:i4>
      </vt:variant>
      <vt:variant>
        <vt:lpwstr/>
      </vt:variant>
      <vt:variant>
        <vt:lpwstr>_Toc168669858</vt:lpwstr>
      </vt:variant>
      <vt:variant>
        <vt:i4>1769527</vt:i4>
      </vt:variant>
      <vt:variant>
        <vt:i4>35</vt:i4>
      </vt:variant>
      <vt:variant>
        <vt:i4>0</vt:i4>
      </vt:variant>
      <vt:variant>
        <vt:i4>5</vt:i4>
      </vt:variant>
      <vt:variant>
        <vt:lpwstr/>
      </vt:variant>
      <vt:variant>
        <vt:lpwstr>_Toc168669857</vt:lpwstr>
      </vt:variant>
      <vt:variant>
        <vt:i4>1769527</vt:i4>
      </vt:variant>
      <vt:variant>
        <vt:i4>29</vt:i4>
      </vt:variant>
      <vt:variant>
        <vt:i4>0</vt:i4>
      </vt:variant>
      <vt:variant>
        <vt:i4>5</vt:i4>
      </vt:variant>
      <vt:variant>
        <vt:lpwstr/>
      </vt:variant>
      <vt:variant>
        <vt:lpwstr>_Toc168669856</vt:lpwstr>
      </vt:variant>
      <vt:variant>
        <vt:i4>1769527</vt:i4>
      </vt:variant>
      <vt:variant>
        <vt:i4>23</vt:i4>
      </vt:variant>
      <vt:variant>
        <vt:i4>0</vt:i4>
      </vt:variant>
      <vt:variant>
        <vt:i4>5</vt:i4>
      </vt:variant>
      <vt:variant>
        <vt:lpwstr/>
      </vt:variant>
      <vt:variant>
        <vt:lpwstr>_Toc168669855</vt:lpwstr>
      </vt:variant>
      <vt:variant>
        <vt:i4>1769527</vt:i4>
      </vt:variant>
      <vt:variant>
        <vt:i4>17</vt:i4>
      </vt:variant>
      <vt:variant>
        <vt:i4>0</vt:i4>
      </vt:variant>
      <vt:variant>
        <vt:i4>5</vt:i4>
      </vt:variant>
      <vt:variant>
        <vt:lpwstr/>
      </vt:variant>
      <vt:variant>
        <vt:lpwstr>_Toc168669854</vt:lpwstr>
      </vt:variant>
      <vt:variant>
        <vt:i4>1769527</vt:i4>
      </vt:variant>
      <vt:variant>
        <vt:i4>11</vt:i4>
      </vt:variant>
      <vt:variant>
        <vt:i4>0</vt:i4>
      </vt:variant>
      <vt:variant>
        <vt:i4>5</vt:i4>
      </vt:variant>
      <vt:variant>
        <vt:lpwstr/>
      </vt:variant>
      <vt:variant>
        <vt:lpwstr>_Toc168669853</vt:lpwstr>
      </vt:variant>
      <vt:variant>
        <vt:i4>1769527</vt:i4>
      </vt:variant>
      <vt:variant>
        <vt:i4>5</vt:i4>
      </vt:variant>
      <vt:variant>
        <vt:i4>0</vt:i4>
      </vt:variant>
      <vt:variant>
        <vt:i4>5</vt:i4>
      </vt:variant>
      <vt:variant>
        <vt:lpwstr/>
      </vt:variant>
      <vt:variant>
        <vt:lpwstr>_Toc168669852</vt:lpwstr>
      </vt:variant>
      <vt:variant>
        <vt:i4>1769527</vt:i4>
      </vt:variant>
      <vt:variant>
        <vt:i4>2</vt:i4>
      </vt:variant>
      <vt:variant>
        <vt:i4>0</vt:i4>
      </vt:variant>
      <vt:variant>
        <vt:i4>5</vt:i4>
      </vt:variant>
      <vt:variant>
        <vt:lpwstr/>
      </vt:variant>
      <vt:variant>
        <vt:lpwstr>_Toc168669851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Milla Vidina</dc:creator>
  <cp:keywords/>
  <dc:description/>
  <cp:lastModifiedBy>Ilaria De Capitani</cp:lastModifiedBy>
  <cp:revision>325</cp:revision>
  <dcterms:created xsi:type="dcterms:W3CDTF">2024-03-06T16:13:00Z</dcterms:created>
  <dcterms:modified xsi:type="dcterms:W3CDTF">2025-02-25T10:04:00Z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fab8f0dafe603eee73d76c62cf829476651097c9a5be2dbd133aeec8b136c0d0</vt:lpwstr>
  </property>
  <property fmtid="{D5CDD505-2E9C-101B-9397-08002B2CF9AE}" pid="3" name="ContentTypeId">
    <vt:lpwstr>0x01010008820D3E3E695243A18602BCD7DE657A</vt:lpwstr>
  </property>
  <property fmtid="{D5CDD505-2E9C-101B-9397-08002B2CF9AE}" pid="4" name="MediaServiceImageTags">
    <vt:lpwstr/>
  </property>
</Properties>
</file>