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E161" w14:textId="77777777" w:rsidR="00B606D0" w:rsidRPr="00717124" w:rsidRDefault="00B606D0" w:rsidP="00115AAB">
      <w:pPr>
        <w:pStyle w:val="Title"/>
        <w:spacing w:before="600" w:after="240"/>
        <w:contextualSpacing w:val="0"/>
        <w:rPr>
          <w:rFonts w:ascii="DINPro-Bold" w:hAnsi="DINPro-Bold"/>
          <w:color w:val="22489E"/>
        </w:rPr>
      </w:pPr>
      <w:r w:rsidRPr="00717124">
        <w:rPr>
          <w:rFonts w:ascii="DINPro-Bold" w:hAnsi="DINPro-Bold"/>
          <w:color w:val="22489E"/>
        </w:rPr>
        <w:t>Equinet Training Summary</w:t>
      </w:r>
    </w:p>
    <w:p w14:paraId="310C80B3" w14:textId="55706692" w:rsidR="00B81988" w:rsidRPr="00717124" w:rsidRDefault="009E27AD" w:rsidP="00DB276F">
      <w:pPr>
        <w:pStyle w:val="Title"/>
        <w:spacing w:before="240" w:after="240"/>
        <w:contextualSpacing w:val="0"/>
        <w:rPr>
          <w:rFonts w:ascii="DINPro-Bold" w:hAnsi="DINPro-Bold"/>
          <w:color w:val="22489E"/>
          <w:lang w:val="en-US"/>
        </w:rPr>
      </w:pPr>
      <w:r w:rsidRPr="00717124">
        <w:rPr>
          <w:rFonts w:ascii="DINPro-Bold" w:hAnsi="DINPro-Bold"/>
          <w:color w:val="22489E"/>
        </w:rPr>
        <w:t xml:space="preserve">Equality Bodies </w:t>
      </w:r>
      <w:r w:rsidR="006300B6" w:rsidRPr="00717124">
        <w:rPr>
          <w:rFonts w:ascii="DINPro-Bold" w:hAnsi="DINPro-Bold"/>
          <w:color w:val="22489E"/>
        </w:rPr>
        <w:t>P</w:t>
      </w:r>
      <w:r w:rsidRPr="00717124">
        <w:rPr>
          <w:rFonts w:ascii="DINPro-Bold" w:hAnsi="DINPro-Bold"/>
          <w:color w:val="22489E"/>
        </w:rPr>
        <w:t xml:space="preserve">roviding their </w:t>
      </w:r>
      <w:r w:rsidR="006300B6" w:rsidRPr="00717124">
        <w:rPr>
          <w:rFonts w:ascii="DINPro-Bold" w:hAnsi="DINPro-Bold"/>
          <w:color w:val="22489E"/>
        </w:rPr>
        <w:t>E</w:t>
      </w:r>
      <w:r w:rsidRPr="00717124">
        <w:rPr>
          <w:rFonts w:ascii="DINPro-Bold" w:hAnsi="DINPro-Bold"/>
          <w:color w:val="22489E"/>
        </w:rPr>
        <w:t xml:space="preserve">xpert </w:t>
      </w:r>
      <w:r w:rsidR="006300B6" w:rsidRPr="00717124">
        <w:rPr>
          <w:rFonts w:ascii="DINPro-Bold" w:hAnsi="DINPro-Bold"/>
          <w:color w:val="22489E"/>
        </w:rPr>
        <w:t>O</w:t>
      </w:r>
      <w:r w:rsidRPr="00717124">
        <w:rPr>
          <w:rFonts w:ascii="DINPro-Bold" w:hAnsi="DINPro-Bold"/>
          <w:color w:val="22489E"/>
        </w:rPr>
        <w:t xml:space="preserve">pinion in </w:t>
      </w:r>
      <w:r w:rsidR="006300B6" w:rsidRPr="00717124">
        <w:rPr>
          <w:rFonts w:ascii="DINPro-Bold" w:hAnsi="DINPro-Bold"/>
          <w:color w:val="22489E"/>
        </w:rPr>
        <w:t>C</w:t>
      </w:r>
      <w:r w:rsidRPr="00717124">
        <w:rPr>
          <w:rFonts w:ascii="DINPro-Bold" w:hAnsi="DINPro-Bold"/>
          <w:color w:val="22489E"/>
        </w:rPr>
        <w:t>ourts</w:t>
      </w:r>
    </w:p>
    <w:p w14:paraId="28A00050" w14:textId="75F53C7C" w:rsidR="00CF2AE6" w:rsidRDefault="00F0743D" w:rsidP="00717124">
      <w:pPr>
        <w:pStyle w:val="Subtitle"/>
        <w:spacing w:before="240" w:after="240"/>
      </w:pPr>
      <w:r w:rsidRPr="00717124">
        <w:t xml:space="preserve">Main tips and tricks provided in </w:t>
      </w:r>
      <w:r w:rsidR="004338D1" w:rsidRPr="00717124">
        <w:t xml:space="preserve">the </w:t>
      </w:r>
      <w:r w:rsidRPr="00717124">
        <w:t xml:space="preserve">Training: Equality Bodies providing their expert opinion in </w:t>
      </w:r>
      <w:r w:rsidR="00BD755F" w:rsidRPr="00717124">
        <w:t>c</w:t>
      </w:r>
      <w:r w:rsidRPr="00717124">
        <w:t>ourts</w:t>
      </w:r>
      <w:r w:rsidR="003B7BD5" w:rsidRPr="00717124">
        <w:t xml:space="preserve">. </w:t>
      </w:r>
      <w:r w:rsidR="00ED2127" w:rsidRPr="00717124">
        <w:t>C</w:t>
      </w:r>
      <w:r w:rsidR="003B7BD5" w:rsidRPr="00717124">
        <w:t xml:space="preserve">o-organised by </w:t>
      </w:r>
      <w:hyperlink r:id="rId11" w:history="1">
        <w:r w:rsidR="003B7BD5" w:rsidRPr="00717124">
          <w:rPr>
            <w:rStyle w:val="Hyperlink"/>
            <w:rFonts w:ascii="DINPro-Bold" w:hAnsi="DINPro-Bold" w:cstheme="minorBidi"/>
            <w:color w:val="22489E"/>
            <w:u w:val="none"/>
          </w:rPr>
          <w:t>IHREC</w:t>
        </w:r>
      </w:hyperlink>
      <w:r w:rsidR="003B7BD5" w:rsidRPr="00717124">
        <w:t xml:space="preserve"> and Equinet</w:t>
      </w:r>
      <w:r w:rsidR="00ED2127" w:rsidRPr="00717124">
        <w:t xml:space="preserve"> in Dublin, 17-18 April 2024</w:t>
      </w:r>
    </w:p>
    <w:p w14:paraId="627B405A" w14:textId="77777777" w:rsidR="00FF4DAC" w:rsidRDefault="00FF4DAC" w:rsidP="00146AE9">
      <w:pPr>
        <w:jc w:val="both"/>
        <w:rPr>
          <w:i/>
          <w:iCs/>
          <w:lang w:val="en-US"/>
        </w:rPr>
        <w:sectPr w:rsidR="00FF4DAC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4AD9E1" w14:textId="354731EC" w:rsidR="00DB276F" w:rsidRPr="00184C63" w:rsidRDefault="00DB276F" w:rsidP="00CA725C">
      <w:pPr>
        <w:pStyle w:val="Heading1"/>
      </w:pPr>
      <w:bookmarkStart w:id="0" w:name="_Toc169271836"/>
      <w:bookmarkStart w:id="1" w:name="_Toc169273238"/>
      <w:r w:rsidRPr="00184C63">
        <w:lastRenderedPageBreak/>
        <w:t>Author</w:t>
      </w:r>
      <w:bookmarkEnd w:id="0"/>
      <w:bookmarkEnd w:id="1"/>
    </w:p>
    <w:p w14:paraId="1459AA4E" w14:textId="185EF531" w:rsidR="00DB276F" w:rsidRDefault="00542212" w:rsidP="00552B19">
      <w:pPr>
        <w:pStyle w:val="ListParagraph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  <w:lang w:val="en-US"/>
        </w:rPr>
      </w:pPr>
      <w:r w:rsidRPr="00552B19">
        <w:rPr>
          <w:rStyle w:val="Emphasis"/>
          <w:lang w:val="en-US"/>
        </w:rPr>
        <w:t>Jone Elizondo-Urrestarazu</w:t>
      </w:r>
      <w:r>
        <w:rPr>
          <w:rFonts w:ascii="Calibri" w:hAnsi="Calibri" w:cs="Calibri"/>
          <w:lang w:val="en-US"/>
        </w:rPr>
        <w:t>, Senior Legal &amp; Policy Officer, Equinet</w:t>
      </w:r>
    </w:p>
    <w:p w14:paraId="75877968" w14:textId="11D3E6B3" w:rsidR="00542212" w:rsidRPr="00542212" w:rsidRDefault="00552B19" w:rsidP="00A2797D">
      <w:pPr>
        <w:pStyle w:val="ListParagraph"/>
        <w:numPr>
          <w:ilvl w:val="0"/>
          <w:numId w:val="55"/>
        </w:numPr>
        <w:spacing w:before="120" w:after="360" w:line="276" w:lineRule="auto"/>
        <w:ind w:left="714" w:hanging="357"/>
        <w:contextualSpacing w:val="0"/>
        <w:rPr>
          <w:rFonts w:ascii="Calibri" w:hAnsi="Calibri" w:cs="Calibri"/>
          <w:lang w:val="en-US"/>
        </w:rPr>
      </w:pPr>
      <w:r w:rsidRPr="00552B19">
        <w:rPr>
          <w:rStyle w:val="Emphasis"/>
          <w:lang w:val="en-US"/>
        </w:rPr>
        <w:t>Magdalena Maier</w:t>
      </w:r>
      <w:r>
        <w:rPr>
          <w:rFonts w:ascii="Calibri" w:hAnsi="Calibri" w:cs="Calibri"/>
          <w:lang w:val="en-US"/>
        </w:rPr>
        <w:t>, Legal &amp; Policy Trainee, Equinet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3355373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B7F272" w14:textId="5C605097" w:rsidR="00FF3FF0" w:rsidRPr="00A06B52" w:rsidRDefault="00FF3FF0" w:rsidP="00A06B52">
          <w:pPr>
            <w:pStyle w:val="TOCHeading"/>
            <w:spacing w:after="240"/>
            <w:rPr>
              <w:rFonts w:ascii="DINPro-Bold" w:hAnsi="DINPro-Bold"/>
              <w:color w:val="22489E"/>
              <w:kern w:val="2"/>
              <w14:ligatures w14:val="standardContextual"/>
            </w:rPr>
          </w:pPr>
          <w:r w:rsidRPr="00A06B52">
            <w:rPr>
              <w:rFonts w:ascii="DINPro-Bold" w:hAnsi="DINPro-Bold"/>
              <w:color w:val="22489E"/>
              <w:kern w:val="2"/>
              <w14:ligatures w14:val="standardContextual"/>
            </w:rPr>
            <w:t>Contents</w:t>
          </w:r>
        </w:p>
        <w:p w14:paraId="065E3B8F" w14:textId="5DCEFF0A" w:rsidR="00A06B52" w:rsidRDefault="00FF3FF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n-BE" w:eastAsia="en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73238" w:history="1"/>
        </w:p>
        <w:p w14:paraId="681F91C6" w14:textId="0D6EB916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39" w:history="1">
            <w:r w:rsidR="00A06B52" w:rsidRPr="00A06B52">
              <w:rPr>
                <w:rStyle w:val="Hyperlink"/>
                <w:noProof/>
              </w:rPr>
              <w:t>Introduction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_Toc169273239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3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E2834F2" w14:textId="33F7D71F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0" w:history="1">
            <w:r w:rsidR="00A06B52" w:rsidRPr="00A06B52">
              <w:rPr>
                <w:rStyle w:val="Hyperlink"/>
                <w:noProof/>
              </w:rPr>
              <w:t>General considerations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_Toc169273240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3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783DD7E" w14:textId="0D86E865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1" w:history="1">
            <w:r w:rsidR="00A06B52" w:rsidRPr="00A06B52">
              <w:rPr>
                <w:rStyle w:val="Hyperlink"/>
                <w:noProof/>
              </w:rPr>
              <w:t>Selecting cases for intervention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_Toc169273241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3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8D4D960" w14:textId="535D4622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2" w:history="1">
            <w:r w:rsidR="00A06B52" w:rsidRPr="00A06B52">
              <w:rPr>
                <w:rStyle w:val="Hyperlink"/>
                <w:noProof/>
              </w:rPr>
              <w:t>The leave to intervene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_Toc169273242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4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8A43754" w14:textId="33F65FCC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3" w:history="1">
            <w:r w:rsidR="00A06B52" w:rsidRPr="00A06B52">
              <w:rPr>
                <w:rStyle w:val="Hyperlink"/>
                <w:noProof/>
              </w:rPr>
              <w:t>The content of the intervention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_Toc169273243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4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EEB6A3B" w14:textId="2AFCD8E1" w:rsidR="00A06B52" w:rsidRPr="00A06B52" w:rsidRDefault="00000000">
          <w:pPr>
            <w:pStyle w:val="TOC2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4" w:history="1">
            <w:r w:rsidR="00A06B52" w:rsidRPr="00A06B52">
              <w:rPr>
                <w:rStyle w:val="Hyperlink"/>
                <w:noProof/>
              </w:rPr>
              <w:t>Do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_Toc169273244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5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85735AD" w14:textId="0C759C00" w:rsidR="00A06B52" w:rsidRPr="00A06B52" w:rsidRDefault="00000000">
          <w:pPr>
            <w:pStyle w:val="TOC2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5" w:history="1">
            <w:r w:rsidR="00A06B52" w:rsidRPr="00A06B52">
              <w:rPr>
                <w:rStyle w:val="Hyperlink"/>
                <w:noProof/>
              </w:rPr>
              <w:t>Do not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_Toc169273245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5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4B2D1F7" w14:textId="41AB2835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6" w:history="1">
            <w:r w:rsidR="00A06B52" w:rsidRPr="00A06B52">
              <w:rPr>
                <w:rStyle w:val="Hyperlink"/>
                <w:noProof/>
              </w:rPr>
              <w:t>Post judgement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_Toc169273246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5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B2DB956" w14:textId="0F4FEA53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7" w:history="1">
            <w:r w:rsidR="00A06B52" w:rsidRPr="00A06B52">
              <w:rPr>
                <w:rStyle w:val="Hyperlink"/>
                <w:noProof/>
              </w:rPr>
              <w:t>Special case: Defending advice submitted to courts orally at court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_Toc169273247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6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42BF275" w14:textId="10F86E4A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8" w:history="1">
            <w:r w:rsidR="00A06B52" w:rsidRPr="00A06B52">
              <w:rPr>
                <w:rStyle w:val="Hyperlink"/>
                <w:noProof/>
              </w:rPr>
              <w:t>Special case: Amicus Curiae in front of the European Court of Human Rights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_Toc169273248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6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50140A7" w14:textId="1AB8C112" w:rsidR="00A06B52" w:rsidRPr="00A06B52" w:rsidRDefault="00000000">
          <w:pPr>
            <w:pStyle w:val="TOC2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49" w:history="1">
            <w:r w:rsidR="00A06B52" w:rsidRPr="00A06B52">
              <w:rPr>
                <w:rStyle w:val="Hyperlink"/>
                <w:noProof/>
              </w:rPr>
              <w:t>Amicus curiae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_Toc169273249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6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C1A31D1" w14:textId="2311B9BE" w:rsidR="00A06B52" w:rsidRPr="00A06B52" w:rsidRDefault="00000000">
          <w:pPr>
            <w:pStyle w:val="TOC2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50" w:history="1">
            <w:r w:rsidR="00A06B52" w:rsidRPr="00A06B52">
              <w:rPr>
                <w:rStyle w:val="Hyperlink"/>
                <w:noProof/>
              </w:rPr>
              <w:t>Content of the intervention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_Toc169273250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7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3F5EF2D" w14:textId="41387B00" w:rsidR="00A06B52" w:rsidRPr="00A06B52" w:rsidRDefault="00000000">
          <w:pPr>
            <w:pStyle w:val="TOC2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51" w:history="1">
            <w:r w:rsidR="00A06B52" w:rsidRPr="00A06B52">
              <w:rPr>
                <w:rStyle w:val="Hyperlink"/>
                <w:noProof/>
              </w:rPr>
              <w:t>Interventions under Rule 9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_Toc169273251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7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CE5596E" w14:textId="3AA1AE33" w:rsidR="00A06B52" w:rsidRPr="00A06B52" w:rsidRDefault="00000000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sz w:val="24"/>
              <w:szCs w:val="24"/>
              <w:lang w:val="en-BE" w:eastAsia="en-BE"/>
            </w:rPr>
          </w:pPr>
          <w:hyperlink w:anchor="_Toc169273252" w:history="1">
            <w:r w:rsidR="00A06B52" w:rsidRPr="00A06B52">
              <w:rPr>
                <w:rStyle w:val="Hyperlink"/>
                <w:noProof/>
              </w:rPr>
              <w:t>Other useful resources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ab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instrText xml:space="preserve"> PAGEREF _Toc169273252 \h </w:instrText>
            </w:r>
            <w:r w:rsidR="00A06B52" w:rsidRPr="00A06B52">
              <w:rPr>
                <w:rFonts w:ascii="Calibri" w:hAnsi="Calibri" w:cs="Calibri"/>
                <w:noProof/>
                <w:webHidden/>
              </w:rPr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t>7</w:t>
            </w:r>
            <w:r w:rsidR="00A06B52" w:rsidRPr="00A06B52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6DCEA55" w14:textId="75A4A0C2" w:rsidR="00FF3FF0" w:rsidRDefault="00FF3FF0">
          <w:r>
            <w:rPr>
              <w:b/>
              <w:bCs/>
              <w:noProof/>
            </w:rPr>
            <w:fldChar w:fldCharType="end"/>
          </w:r>
        </w:p>
      </w:sdtContent>
    </w:sdt>
    <w:p w14:paraId="53D4CB1F" w14:textId="77777777" w:rsidR="004635DA" w:rsidRPr="004635DA" w:rsidRDefault="004635DA" w:rsidP="004635DA">
      <w:pPr>
        <w:rPr>
          <w:lang w:val="en-US"/>
        </w:rPr>
      </w:pPr>
    </w:p>
    <w:p w14:paraId="047FCABC" w14:textId="77777777" w:rsidR="00184C63" w:rsidRPr="00184C63" w:rsidRDefault="00184C63" w:rsidP="00184C63">
      <w:pPr>
        <w:rPr>
          <w:lang w:val="en-US"/>
        </w:rPr>
      </w:pPr>
    </w:p>
    <w:p w14:paraId="35913D5A" w14:textId="77777777" w:rsidR="00184C63" w:rsidRDefault="00184C63" w:rsidP="00DB276F">
      <w:pPr>
        <w:rPr>
          <w:lang w:val="en-US"/>
        </w:rPr>
        <w:sectPr w:rsidR="00184C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25A8CC" w14:textId="3E736DDF" w:rsidR="00C75CEC" w:rsidRPr="00CA725C" w:rsidRDefault="00C75CEC" w:rsidP="00115AAB">
      <w:pPr>
        <w:pStyle w:val="Heading1"/>
        <w:jc w:val="left"/>
      </w:pPr>
      <w:bookmarkStart w:id="2" w:name="_Toc169273239"/>
      <w:r w:rsidRPr="00CA725C">
        <w:lastRenderedPageBreak/>
        <w:t>Introduction</w:t>
      </w:r>
      <w:bookmarkEnd w:id="2"/>
    </w:p>
    <w:p w14:paraId="115A48F6" w14:textId="12A97748" w:rsidR="00FE576D" w:rsidRDefault="00622E69" w:rsidP="00115AAB">
      <w:pPr>
        <w:spacing w:before="120" w:after="120" w:line="276" w:lineRule="auto"/>
        <w:rPr>
          <w:rFonts w:ascii="Calibri" w:hAnsi="Calibri" w:cs="Calibri"/>
          <w:lang w:val="en-US"/>
        </w:rPr>
      </w:pPr>
      <w:r w:rsidRPr="00D240CA">
        <w:rPr>
          <w:rFonts w:ascii="Calibri" w:hAnsi="Calibri" w:cs="Calibri"/>
          <w:lang w:val="en-US"/>
        </w:rPr>
        <w:t xml:space="preserve">A number of </w:t>
      </w:r>
      <w:r w:rsidR="00845257" w:rsidRPr="00D240CA">
        <w:rPr>
          <w:rFonts w:ascii="Calibri" w:hAnsi="Calibri" w:cs="Calibri"/>
          <w:lang w:val="en-US"/>
        </w:rPr>
        <w:t xml:space="preserve">Equality Bodies </w:t>
      </w:r>
      <w:r w:rsidRPr="00D240CA">
        <w:rPr>
          <w:rFonts w:ascii="Calibri" w:hAnsi="Calibri" w:cs="Calibri"/>
          <w:lang w:val="en-US"/>
        </w:rPr>
        <w:t xml:space="preserve">are </w:t>
      </w:r>
      <w:r w:rsidR="00640A3C">
        <w:rPr>
          <w:rFonts w:ascii="Calibri" w:hAnsi="Calibri" w:cs="Calibri"/>
          <w:lang w:val="en-US"/>
        </w:rPr>
        <w:t xml:space="preserve">currently </w:t>
      </w:r>
      <w:r w:rsidRPr="00D240CA">
        <w:rPr>
          <w:rFonts w:ascii="Calibri" w:hAnsi="Calibri" w:cs="Calibri"/>
          <w:lang w:val="en-US"/>
        </w:rPr>
        <w:t xml:space="preserve">empowered to provide expert opinions in </w:t>
      </w:r>
      <w:r w:rsidR="00661107">
        <w:rPr>
          <w:rFonts w:ascii="Calibri" w:hAnsi="Calibri" w:cs="Calibri"/>
          <w:lang w:val="en-US"/>
        </w:rPr>
        <w:t>c</w:t>
      </w:r>
      <w:r w:rsidRPr="00D240CA">
        <w:rPr>
          <w:rFonts w:ascii="Calibri" w:hAnsi="Calibri" w:cs="Calibri"/>
          <w:lang w:val="en-US"/>
        </w:rPr>
        <w:t xml:space="preserve">ourts. </w:t>
      </w:r>
      <w:r w:rsidR="006D78FF" w:rsidRPr="00D240CA">
        <w:rPr>
          <w:rFonts w:ascii="Calibri" w:hAnsi="Calibri" w:cs="Calibri"/>
          <w:lang w:val="en-US"/>
        </w:rPr>
        <w:t xml:space="preserve">This may be an active power (the Equality Bodies are empowered </w:t>
      </w:r>
      <w:r w:rsidR="00FB50A4" w:rsidRPr="00D240CA">
        <w:rPr>
          <w:rFonts w:ascii="Calibri" w:hAnsi="Calibri" w:cs="Calibri"/>
          <w:lang w:val="en-US"/>
        </w:rPr>
        <w:t>to decide when and w</w:t>
      </w:r>
      <w:r w:rsidR="0095328B">
        <w:rPr>
          <w:rFonts w:ascii="Calibri" w:hAnsi="Calibri" w:cs="Calibri"/>
          <w:lang w:val="en-US"/>
        </w:rPr>
        <w:t>h</w:t>
      </w:r>
      <w:r w:rsidR="00FB50A4" w:rsidRPr="00D240CA">
        <w:rPr>
          <w:rFonts w:ascii="Calibri" w:hAnsi="Calibri" w:cs="Calibri"/>
          <w:lang w:val="en-US"/>
        </w:rPr>
        <w:t>ere to intervene</w:t>
      </w:r>
      <w:r w:rsidR="00166423" w:rsidRPr="00D240CA">
        <w:rPr>
          <w:rFonts w:ascii="Calibri" w:hAnsi="Calibri" w:cs="Calibri"/>
          <w:lang w:val="en-US"/>
        </w:rPr>
        <w:t xml:space="preserve"> as </w:t>
      </w:r>
      <w:r w:rsidR="00395078">
        <w:rPr>
          <w:rFonts w:ascii="Calibri" w:hAnsi="Calibri" w:cs="Calibri"/>
          <w:lang w:val="en-US"/>
        </w:rPr>
        <w:t>A</w:t>
      </w:r>
      <w:r w:rsidR="00166423" w:rsidRPr="00D240CA">
        <w:rPr>
          <w:rFonts w:ascii="Calibri" w:hAnsi="Calibri" w:cs="Calibri"/>
          <w:lang w:val="en-US"/>
        </w:rPr>
        <w:t xml:space="preserve">micus </w:t>
      </w:r>
      <w:r w:rsidR="00395078">
        <w:rPr>
          <w:rFonts w:ascii="Calibri" w:hAnsi="Calibri" w:cs="Calibri"/>
          <w:lang w:val="en-US"/>
        </w:rPr>
        <w:t>C</w:t>
      </w:r>
      <w:r w:rsidR="00166423" w:rsidRPr="00D240CA">
        <w:rPr>
          <w:rFonts w:ascii="Calibri" w:hAnsi="Calibri" w:cs="Calibri"/>
          <w:lang w:val="en-US"/>
        </w:rPr>
        <w:t>uriae</w:t>
      </w:r>
      <w:r w:rsidR="00FB50A4" w:rsidRPr="00D240CA">
        <w:rPr>
          <w:rFonts w:ascii="Calibri" w:hAnsi="Calibri" w:cs="Calibri"/>
          <w:lang w:val="en-US"/>
        </w:rPr>
        <w:t xml:space="preserve">) or </w:t>
      </w:r>
      <w:r w:rsidR="008D4850">
        <w:rPr>
          <w:rFonts w:ascii="Calibri" w:hAnsi="Calibri" w:cs="Calibri"/>
          <w:lang w:val="en-US"/>
        </w:rPr>
        <w:t>a</w:t>
      </w:r>
      <w:r w:rsidR="008D4850" w:rsidRPr="00D240CA">
        <w:rPr>
          <w:rFonts w:ascii="Calibri" w:hAnsi="Calibri" w:cs="Calibri"/>
          <w:lang w:val="en-US"/>
        </w:rPr>
        <w:t xml:space="preserve"> </w:t>
      </w:r>
      <w:r w:rsidR="008662BE" w:rsidRPr="00D240CA">
        <w:rPr>
          <w:rFonts w:ascii="Calibri" w:hAnsi="Calibri" w:cs="Calibri"/>
          <w:lang w:val="en-US"/>
        </w:rPr>
        <w:t>passive</w:t>
      </w:r>
      <w:r w:rsidR="00FB50A4" w:rsidRPr="00D240CA">
        <w:rPr>
          <w:rFonts w:ascii="Calibri" w:hAnsi="Calibri" w:cs="Calibri"/>
          <w:lang w:val="en-US"/>
        </w:rPr>
        <w:t xml:space="preserve"> power </w:t>
      </w:r>
      <w:r w:rsidR="008662BE" w:rsidRPr="00D240CA">
        <w:rPr>
          <w:rFonts w:ascii="Calibri" w:hAnsi="Calibri" w:cs="Calibri"/>
          <w:lang w:val="en-US"/>
        </w:rPr>
        <w:t xml:space="preserve">(the </w:t>
      </w:r>
      <w:r w:rsidR="00661107">
        <w:rPr>
          <w:rFonts w:ascii="Calibri" w:hAnsi="Calibri" w:cs="Calibri"/>
          <w:lang w:val="en-US"/>
        </w:rPr>
        <w:t>c</w:t>
      </w:r>
      <w:r w:rsidR="008662BE" w:rsidRPr="00D240CA">
        <w:rPr>
          <w:rFonts w:ascii="Calibri" w:hAnsi="Calibri" w:cs="Calibri"/>
          <w:lang w:val="en-US"/>
        </w:rPr>
        <w:t xml:space="preserve">ourts </w:t>
      </w:r>
      <w:r w:rsidR="00057DAF" w:rsidRPr="00D240CA">
        <w:rPr>
          <w:rFonts w:ascii="Calibri" w:hAnsi="Calibri" w:cs="Calibri"/>
          <w:lang w:val="en-US"/>
        </w:rPr>
        <w:t>may be</w:t>
      </w:r>
      <w:r w:rsidR="008662BE" w:rsidRPr="00D240CA">
        <w:rPr>
          <w:rFonts w:ascii="Calibri" w:hAnsi="Calibri" w:cs="Calibri"/>
          <w:lang w:val="en-US"/>
        </w:rPr>
        <w:t xml:space="preserve"> </w:t>
      </w:r>
      <w:r w:rsidR="00057DAF" w:rsidRPr="00D240CA">
        <w:rPr>
          <w:rFonts w:ascii="Calibri" w:hAnsi="Calibri" w:cs="Calibri"/>
          <w:lang w:val="en-US"/>
        </w:rPr>
        <w:t>obliged</w:t>
      </w:r>
      <w:r w:rsidR="008662BE" w:rsidRPr="00D240CA">
        <w:rPr>
          <w:rFonts w:ascii="Calibri" w:hAnsi="Calibri" w:cs="Calibri"/>
          <w:lang w:val="en-US"/>
        </w:rPr>
        <w:t xml:space="preserve"> </w:t>
      </w:r>
      <w:r w:rsidR="00057DAF" w:rsidRPr="00D240CA">
        <w:rPr>
          <w:rFonts w:ascii="Calibri" w:hAnsi="Calibri" w:cs="Calibri"/>
          <w:lang w:val="en-US"/>
        </w:rPr>
        <w:t xml:space="preserve">under national law, or may request, the expert opinion of the Equality Body relating to equality and non-discrimination issues). </w:t>
      </w:r>
      <w:r w:rsidR="00FB5A52" w:rsidRPr="00D240CA">
        <w:rPr>
          <w:rFonts w:ascii="Calibri" w:hAnsi="Calibri" w:cs="Calibri"/>
          <w:lang w:val="en-US"/>
        </w:rPr>
        <w:t xml:space="preserve">Some </w:t>
      </w:r>
      <w:r w:rsidR="00057DAF" w:rsidRPr="00D240CA">
        <w:rPr>
          <w:rFonts w:ascii="Calibri" w:hAnsi="Calibri" w:cs="Calibri"/>
          <w:lang w:val="en-US"/>
        </w:rPr>
        <w:t xml:space="preserve">Equality Bodies </w:t>
      </w:r>
      <w:r w:rsidR="00FB5A52" w:rsidRPr="00D240CA">
        <w:rPr>
          <w:rFonts w:ascii="Calibri" w:hAnsi="Calibri" w:cs="Calibri"/>
          <w:lang w:val="en-US"/>
        </w:rPr>
        <w:t xml:space="preserve">were </w:t>
      </w:r>
      <w:r w:rsidRPr="00D240CA">
        <w:rPr>
          <w:rFonts w:ascii="Calibri" w:hAnsi="Calibri" w:cs="Calibri"/>
          <w:lang w:val="en-US"/>
        </w:rPr>
        <w:t xml:space="preserve">granted </w:t>
      </w:r>
      <w:r w:rsidR="00FB5A52" w:rsidRPr="00D240CA">
        <w:rPr>
          <w:rFonts w:ascii="Calibri" w:hAnsi="Calibri" w:cs="Calibri"/>
          <w:lang w:val="en-US"/>
        </w:rPr>
        <w:t>no</w:t>
      </w:r>
      <w:r w:rsidRPr="00D240CA">
        <w:rPr>
          <w:rFonts w:ascii="Calibri" w:hAnsi="Calibri" w:cs="Calibri"/>
          <w:lang w:val="en-US"/>
        </w:rPr>
        <w:t xml:space="preserve"> </w:t>
      </w:r>
      <w:hyperlink r:id="rId14" w:history="1">
        <w:r w:rsidRPr="00C64A64">
          <w:rPr>
            <w:rStyle w:val="Hyperlink"/>
          </w:rPr>
          <w:t>legal standing</w:t>
        </w:r>
      </w:hyperlink>
      <w:r w:rsidRPr="00D240CA">
        <w:rPr>
          <w:rFonts w:ascii="Calibri" w:hAnsi="Calibri" w:cs="Calibri"/>
          <w:lang w:val="en-US"/>
        </w:rPr>
        <w:t xml:space="preserve"> at the national level. </w:t>
      </w:r>
      <w:r w:rsidR="00190C05" w:rsidRPr="00D240CA">
        <w:rPr>
          <w:rFonts w:ascii="Calibri" w:hAnsi="Calibri" w:cs="Calibri"/>
          <w:lang w:val="en-US"/>
        </w:rPr>
        <w:t xml:space="preserve">The new </w:t>
      </w:r>
      <w:hyperlink r:id="rId15" w:history="1">
        <w:r w:rsidR="00190C05" w:rsidRPr="00E54C8B">
          <w:rPr>
            <w:rStyle w:val="Hyperlink"/>
            <w:lang w:val="en-US"/>
          </w:rPr>
          <w:t>Directives on Standards for Equality Bodies</w:t>
        </w:r>
      </w:hyperlink>
      <w:r w:rsidR="00190C05" w:rsidRPr="00D240CA">
        <w:rPr>
          <w:rFonts w:ascii="Calibri" w:hAnsi="Calibri" w:cs="Calibri"/>
          <w:lang w:val="en-US"/>
        </w:rPr>
        <w:t xml:space="preserve"> will change the latter, providing all Equality Bodies with the </w:t>
      </w:r>
      <w:r w:rsidR="008921CA" w:rsidRPr="008921CA">
        <w:rPr>
          <w:rFonts w:ascii="Calibri" w:hAnsi="Calibri" w:cs="Calibri"/>
          <w:lang w:val="en-US"/>
        </w:rPr>
        <w:t>right to submit</w:t>
      </w:r>
      <w:r w:rsidR="00A3184C">
        <w:rPr>
          <w:rFonts w:ascii="Calibri" w:hAnsi="Calibri" w:cs="Calibri"/>
          <w:lang w:val="en-US"/>
        </w:rPr>
        <w:t xml:space="preserve"> </w:t>
      </w:r>
      <w:r w:rsidR="008921CA" w:rsidRPr="008921CA">
        <w:rPr>
          <w:rFonts w:ascii="Calibri" w:hAnsi="Calibri" w:cs="Calibri"/>
          <w:lang w:val="en-US"/>
        </w:rPr>
        <w:t>observations to the court, in accordance with national law and practice</w:t>
      </w:r>
      <w:r w:rsidR="00A3184C">
        <w:rPr>
          <w:rFonts w:ascii="Calibri" w:hAnsi="Calibri" w:cs="Calibri"/>
          <w:lang w:val="en-US"/>
        </w:rPr>
        <w:t xml:space="preserve"> (</w:t>
      </w:r>
      <w:r w:rsidR="008F2D4E">
        <w:rPr>
          <w:rFonts w:ascii="Calibri" w:hAnsi="Calibri" w:cs="Calibri"/>
          <w:lang w:val="en-US"/>
        </w:rPr>
        <w:t>A</w:t>
      </w:r>
      <w:r w:rsidR="00A3184C">
        <w:rPr>
          <w:rFonts w:ascii="Calibri" w:hAnsi="Calibri" w:cs="Calibri"/>
          <w:lang w:val="en-US"/>
        </w:rPr>
        <w:t>rticle 10</w:t>
      </w:r>
      <w:r w:rsidR="001C71E6">
        <w:rPr>
          <w:rFonts w:ascii="Calibri" w:hAnsi="Calibri" w:cs="Calibri"/>
          <w:lang w:val="en-US"/>
        </w:rPr>
        <w:t>(2)</w:t>
      </w:r>
      <w:r w:rsidR="00A3184C">
        <w:rPr>
          <w:rFonts w:ascii="Calibri" w:hAnsi="Calibri" w:cs="Calibri"/>
          <w:lang w:val="en-US"/>
        </w:rPr>
        <w:t>)</w:t>
      </w:r>
      <w:r w:rsidR="00395078">
        <w:rPr>
          <w:rFonts w:ascii="Calibri" w:hAnsi="Calibri" w:cs="Calibri"/>
          <w:lang w:val="en-US"/>
        </w:rPr>
        <w:t>.</w:t>
      </w:r>
      <w:r w:rsidR="00FE576D">
        <w:rPr>
          <w:rFonts w:ascii="Calibri" w:hAnsi="Calibri" w:cs="Calibri"/>
          <w:lang w:val="en-US"/>
        </w:rPr>
        <w:t xml:space="preserve"> </w:t>
      </w:r>
    </w:p>
    <w:p w14:paraId="120A4F1B" w14:textId="5A257D56" w:rsidR="00C75CEC" w:rsidRDefault="00166423" w:rsidP="00115AAB">
      <w:pPr>
        <w:spacing w:before="120" w:after="120" w:line="276" w:lineRule="auto"/>
        <w:rPr>
          <w:rFonts w:ascii="Calibri" w:hAnsi="Calibri" w:cs="Calibri"/>
        </w:rPr>
      </w:pPr>
      <w:r w:rsidRPr="00D240CA">
        <w:rPr>
          <w:rFonts w:ascii="Calibri" w:hAnsi="Calibri" w:cs="Calibri"/>
          <w:lang w:val="en-US"/>
        </w:rPr>
        <w:t xml:space="preserve">Active intervening powers are often </w:t>
      </w:r>
      <w:r w:rsidR="00C0483B" w:rsidRPr="00D240CA">
        <w:rPr>
          <w:rFonts w:ascii="Calibri" w:hAnsi="Calibri" w:cs="Calibri"/>
          <w:lang w:val="en-US"/>
        </w:rPr>
        <w:t xml:space="preserve">related to </w:t>
      </w:r>
      <w:r w:rsidR="00261617" w:rsidRPr="00D240CA">
        <w:rPr>
          <w:rFonts w:ascii="Calibri" w:hAnsi="Calibri" w:cs="Calibri"/>
        </w:rPr>
        <w:t xml:space="preserve">Amicus Curiae </w:t>
      </w:r>
      <w:r w:rsidR="00C0483B" w:rsidRPr="00D240CA">
        <w:rPr>
          <w:rFonts w:ascii="Calibri" w:hAnsi="Calibri" w:cs="Calibri"/>
          <w:lang w:val="en-US"/>
        </w:rPr>
        <w:t xml:space="preserve">interventions. </w:t>
      </w:r>
      <w:r w:rsidR="00B0225D" w:rsidRPr="00D240CA">
        <w:rPr>
          <w:rFonts w:ascii="Calibri" w:hAnsi="Calibri" w:cs="Calibri"/>
          <w:lang w:val="en-US"/>
        </w:rPr>
        <w:t>“</w:t>
      </w:r>
      <w:r w:rsidR="008E0D37">
        <w:rPr>
          <w:rFonts w:ascii="Calibri" w:hAnsi="Calibri" w:cs="Calibri"/>
          <w:lang w:val="en-US"/>
        </w:rPr>
        <w:t>I</w:t>
      </w:r>
      <w:r w:rsidR="00195DE8" w:rsidRPr="00D240CA">
        <w:rPr>
          <w:rFonts w:ascii="Calibri" w:hAnsi="Calibri" w:cs="Calibri"/>
          <w:lang w:val="en-US"/>
        </w:rPr>
        <w:t>nterventions</w:t>
      </w:r>
      <w:r w:rsidR="00B0225D" w:rsidRPr="00D240CA">
        <w:rPr>
          <w:rFonts w:ascii="Calibri" w:hAnsi="Calibri" w:cs="Calibri"/>
          <w:lang w:val="en-US"/>
        </w:rPr>
        <w:t xml:space="preserve">” </w:t>
      </w:r>
      <w:r w:rsidR="00FE65E6">
        <w:rPr>
          <w:rFonts w:ascii="Calibri" w:hAnsi="Calibri" w:cs="Calibri"/>
          <w:lang w:val="en-US"/>
        </w:rPr>
        <w:t>is</w:t>
      </w:r>
      <w:r w:rsidR="000E6818" w:rsidRPr="00D240CA">
        <w:rPr>
          <w:rFonts w:ascii="Calibri" w:hAnsi="Calibri" w:cs="Calibri"/>
          <w:lang w:val="en-US"/>
        </w:rPr>
        <w:t xml:space="preserve"> used as a general</w:t>
      </w:r>
      <w:r w:rsidR="00261617" w:rsidRPr="00D240CA">
        <w:rPr>
          <w:rFonts w:ascii="Calibri" w:hAnsi="Calibri" w:cs="Calibri"/>
        </w:rPr>
        <w:t xml:space="preserve"> term, noting that submissions to the court that are substantively similar may be called differently, depending on the legal system and traditions.</w:t>
      </w:r>
    </w:p>
    <w:p w14:paraId="103BF6F6" w14:textId="35B513E5" w:rsidR="00DC2ACF" w:rsidRPr="00D240CA" w:rsidRDefault="00DC2ACF" w:rsidP="00115AAB">
      <w:pPr>
        <w:spacing w:before="120" w:after="12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Interventions can be a very useful tool for Equality Bodies to showcase their specific expertise and added value in the area of equality and human rights. </w:t>
      </w:r>
      <w:r w:rsidR="00E62B8D">
        <w:rPr>
          <w:rFonts w:ascii="Calibri" w:hAnsi="Calibri" w:cs="Calibri"/>
          <w:lang w:val="en-US"/>
        </w:rPr>
        <w:t>They</w:t>
      </w:r>
      <w:r>
        <w:rPr>
          <w:rFonts w:ascii="Calibri" w:hAnsi="Calibri" w:cs="Calibri"/>
          <w:lang w:val="en-US"/>
        </w:rPr>
        <w:t xml:space="preserve"> can also be a means to influence proceedings even </w:t>
      </w:r>
      <w:r w:rsidR="007611E6">
        <w:rPr>
          <w:rFonts w:ascii="Calibri" w:hAnsi="Calibri" w:cs="Calibri"/>
          <w:lang w:val="en-US"/>
        </w:rPr>
        <w:t>when</w:t>
      </w:r>
      <w:r>
        <w:rPr>
          <w:rFonts w:ascii="Calibri" w:hAnsi="Calibri" w:cs="Calibri"/>
          <w:lang w:val="en-US"/>
        </w:rPr>
        <w:t xml:space="preserve"> the Equality Body is not a party or does not have legal standing in front of a court. Moreover, interventions can be used by an Equality Body as an important tool to contribute to and actively promote the development of the law.</w:t>
      </w:r>
    </w:p>
    <w:p w14:paraId="1EFB5487" w14:textId="0529C4DF" w:rsidR="009E27AD" w:rsidRPr="00006FBF" w:rsidRDefault="00197990" w:rsidP="00115AAB">
      <w:pPr>
        <w:pStyle w:val="Heading1"/>
        <w:jc w:val="left"/>
      </w:pPr>
      <w:bookmarkStart w:id="3" w:name="_Toc169273240"/>
      <w:r w:rsidRPr="00552B98">
        <w:t>General</w:t>
      </w:r>
      <w:r w:rsidRPr="00006FBF">
        <w:t xml:space="preserve"> considerations</w:t>
      </w:r>
      <w:bookmarkEnd w:id="3"/>
    </w:p>
    <w:p w14:paraId="653FAD3F" w14:textId="54861B87" w:rsidR="002726D6" w:rsidRPr="00006FBF" w:rsidRDefault="002726D6" w:rsidP="00115AAB">
      <w:pPr>
        <w:pStyle w:val="ListParagraph"/>
        <w:numPr>
          <w:ilvl w:val="0"/>
          <w:numId w:val="5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Have clear internal </w:t>
      </w:r>
      <w:r w:rsidRPr="007A6D74">
        <w:rPr>
          <w:rStyle w:val="Emphasis"/>
        </w:rPr>
        <w:t>guidelines</w:t>
      </w:r>
      <w:r w:rsidRPr="00006FBF">
        <w:rPr>
          <w:rFonts w:ascii="Calibri" w:hAnsi="Calibri" w:cs="Calibri"/>
          <w:b/>
          <w:bCs/>
        </w:rPr>
        <w:t xml:space="preserve"> </w:t>
      </w:r>
      <w:r w:rsidRPr="00006FBF">
        <w:rPr>
          <w:rFonts w:ascii="Calibri" w:hAnsi="Calibri" w:cs="Calibri"/>
        </w:rPr>
        <w:t>on the procedure</w:t>
      </w:r>
    </w:p>
    <w:p w14:paraId="1F790135" w14:textId="56AF33A4" w:rsidR="003D0E10" w:rsidRPr="00006FBF" w:rsidRDefault="003D0E10" w:rsidP="00115AAB">
      <w:pPr>
        <w:pStyle w:val="ListParagraph"/>
        <w:numPr>
          <w:ilvl w:val="0"/>
          <w:numId w:val="5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Be </w:t>
      </w:r>
      <w:r w:rsidRPr="007A6D74">
        <w:rPr>
          <w:rStyle w:val="Emphasis"/>
        </w:rPr>
        <w:t xml:space="preserve">aware of the legal context in </w:t>
      </w:r>
      <w:r w:rsidRPr="00006FBF">
        <w:rPr>
          <w:rFonts w:ascii="Calibri" w:hAnsi="Calibri" w:cs="Calibri"/>
        </w:rPr>
        <w:t>which you operate</w:t>
      </w:r>
      <w:r w:rsidR="00C34AC6" w:rsidRPr="00006FBF">
        <w:rPr>
          <w:rFonts w:ascii="Calibri" w:hAnsi="Calibri" w:cs="Calibri"/>
        </w:rPr>
        <w:t xml:space="preserve"> because this has an impact on the form and context of the submission</w:t>
      </w:r>
    </w:p>
    <w:p w14:paraId="50C7EE6F" w14:textId="636914EA" w:rsidR="00035B65" w:rsidRPr="00534FE6" w:rsidRDefault="007A26C9" w:rsidP="00115AAB">
      <w:pPr>
        <w:pStyle w:val="ListParagraph"/>
        <w:numPr>
          <w:ilvl w:val="0"/>
          <w:numId w:val="5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7A6D74">
        <w:rPr>
          <w:rStyle w:val="Emphasis"/>
        </w:rPr>
        <w:t xml:space="preserve">Communication </w:t>
      </w:r>
      <w:r w:rsidR="000B4F15" w:rsidRPr="007A6D74">
        <w:rPr>
          <w:rStyle w:val="Emphasis"/>
        </w:rPr>
        <w:t xml:space="preserve">about </w:t>
      </w:r>
      <w:r w:rsidRPr="007A6D74">
        <w:rPr>
          <w:rStyle w:val="Emphasis"/>
        </w:rPr>
        <w:t>and publishing</w:t>
      </w:r>
      <w:r w:rsidRPr="00006FBF">
        <w:rPr>
          <w:rFonts w:ascii="Calibri" w:hAnsi="Calibri" w:cs="Calibri"/>
        </w:rPr>
        <w:t xml:space="preserve"> interventions</w:t>
      </w:r>
      <w:r w:rsidR="00146AE9">
        <w:rPr>
          <w:rFonts w:ascii="Calibri" w:hAnsi="Calibri" w:cs="Calibri"/>
        </w:rPr>
        <w:t>, at the appropriate stage,</w:t>
      </w:r>
      <w:r w:rsidRPr="00006FBF">
        <w:rPr>
          <w:rFonts w:ascii="Calibri" w:hAnsi="Calibri" w:cs="Calibri"/>
        </w:rPr>
        <w:t xml:space="preserve"> maximises the impact beyond the individual case</w:t>
      </w:r>
    </w:p>
    <w:p w14:paraId="0E3D653F" w14:textId="7FEDA4F0" w:rsidR="00534FE6" w:rsidRPr="00006FBF" w:rsidRDefault="00534FE6" w:rsidP="00115AAB">
      <w:pPr>
        <w:pStyle w:val="ListParagraph"/>
        <w:numPr>
          <w:ilvl w:val="0"/>
          <w:numId w:val="5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7A6D74">
        <w:rPr>
          <w:rStyle w:val="Emphasis"/>
        </w:rPr>
        <w:t>Know the process and the different stages</w:t>
      </w:r>
      <w:r w:rsidRPr="00702143">
        <w:rPr>
          <w:rFonts w:ascii="Calibri" w:hAnsi="Calibri" w:cs="Calibri"/>
          <w:lang w:val="en-US"/>
        </w:rPr>
        <w:t xml:space="preserve"> </w:t>
      </w:r>
      <w:r w:rsidR="00A0242E">
        <w:rPr>
          <w:rFonts w:ascii="Calibri" w:hAnsi="Calibri" w:cs="Calibri"/>
          <w:lang w:val="en-US"/>
        </w:rPr>
        <w:t>an intervention</w:t>
      </w:r>
      <w:r w:rsidRPr="00702143">
        <w:rPr>
          <w:rFonts w:ascii="Calibri" w:hAnsi="Calibri" w:cs="Calibri"/>
          <w:lang w:val="en-US"/>
        </w:rPr>
        <w:t xml:space="preserve"> may entail depending </w:t>
      </w:r>
      <w:r w:rsidR="00082C59" w:rsidRPr="00702143">
        <w:rPr>
          <w:rFonts w:ascii="Calibri" w:hAnsi="Calibri" w:cs="Calibri"/>
          <w:lang w:val="en-US"/>
        </w:rPr>
        <w:t>on</w:t>
      </w:r>
      <w:r w:rsidRPr="00702143">
        <w:rPr>
          <w:rFonts w:ascii="Calibri" w:hAnsi="Calibri" w:cs="Calibri"/>
          <w:lang w:val="en-US"/>
        </w:rPr>
        <w:t xml:space="preserve"> the </w:t>
      </w:r>
      <w:r w:rsidR="00661107">
        <w:rPr>
          <w:rFonts w:ascii="Calibri" w:hAnsi="Calibri" w:cs="Calibri"/>
          <w:lang w:val="en-US"/>
        </w:rPr>
        <w:t>c</w:t>
      </w:r>
      <w:r w:rsidRPr="00702143">
        <w:rPr>
          <w:rFonts w:ascii="Calibri" w:hAnsi="Calibri" w:cs="Calibri"/>
          <w:lang w:val="en-US"/>
        </w:rPr>
        <w:t xml:space="preserve">ourt (for instance, </w:t>
      </w:r>
      <w:r w:rsidR="00702143" w:rsidRPr="00702143">
        <w:rPr>
          <w:rFonts w:ascii="Calibri" w:hAnsi="Calibri" w:cs="Calibri"/>
          <w:lang w:val="en-US"/>
        </w:rPr>
        <w:t>do you need to submit a request to intervene?)</w:t>
      </w:r>
    </w:p>
    <w:p w14:paraId="71578C2B" w14:textId="25E29A6D" w:rsidR="00197990" w:rsidRPr="00006FBF" w:rsidRDefault="00197990" w:rsidP="00115AAB">
      <w:pPr>
        <w:pStyle w:val="Heading1"/>
        <w:jc w:val="left"/>
      </w:pPr>
      <w:bookmarkStart w:id="4" w:name="_Toc169273241"/>
      <w:r w:rsidRPr="00552B98">
        <w:t>Selecting</w:t>
      </w:r>
      <w:r w:rsidRPr="00006FBF">
        <w:t xml:space="preserve"> cases for intervention</w:t>
      </w:r>
      <w:bookmarkEnd w:id="4"/>
    </w:p>
    <w:p w14:paraId="10F36F50" w14:textId="2F24B6FF" w:rsidR="00DD5A1B" w:rsidRDefault="001477EF" w:rsidP="00115AAB">
      <w:pPr>
        <w:spacing w:before="120" w:after="120" w:line="276" w:lineRule="auto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Selecting cases for intervention </w:t>
      </w:r>
      <w:r w:rsidR="005139CE">
        <w:rPr>
          <w:rFonts w:ascii="Calibri" w:hAnsi="Calibri" w:cs="Calibri"/>
        </w:rPr>
        <w:t>(</w:t>
      </w:r>
      <w:r w:rsidR="007D631C">
        <w:rPr>
          <w:rFonts w:ascii="Calibri" w:hAnsi="Calibri" w:cs="Calibri"/>
        </w:rPr>
        <w:t xml:space="preserve">primarily </w:t>
      </w:r>
      <w:r w:rsidR="005139CE">
        <w:rPr>
          <w:rFonts w:ascii="Calibri" w:hAnsi="Calibri" w:cs="Calibri"/>
        </w:rPr>
        <w:t xml:space="preserve">for </w:t>
      </w:r>
      <w:r w:rsidR="00A0242E">
        <w:rPr>
          <w:rFonts w:ascii="Calibri" w:hAnsi="Calibri" w:cs="Calibri"/>
        </w:rPr>
        <w:t>E</w:t>
      </w:r>
      <w:r w:rsidR="007D631C">
        <w:rPr>
          <w:rFonts w:ascii="Calibri" w:hAnsi="Calibri" w:cs="Calibri"/>
        </w:rPr>
        <w:t xml:space="preserve">quality </w:t>
      </w:r>
      <w:r w:rsidR="00A0242E">
        <w:rPr>
          <w:rFonts w:ascii="Calibri" w:hAnsi="Calibri" w:cs="Calibri"/>
        </w:rPr>
        <w:t>B</w:t>
      </w:r>
      <w:r w:rsidR="007D631C">
        <w:rPr>
          <w:rFonts w:ascii="Calibri" w:hAnsi="Calibri" w:cs="Calibri"/>
        </w:rPr>
        <w:t xml:space="preserve">odies with active intervention powers, but </w:t>
      </w:r>
      <w:r w:rsidR="00A0259B">
        <w:rPr>
          <w:rFonts w:ascii="Calibri" w:hAnsi="Calibri" w:cs="Calibri"/>
        </w:rPr>
        <w:t>it</w:t>
      </w:r>
      <w:r w:rsidR="007D631C">
        <w:rPr>
          <w:rFonts w:ascii="Calibri" w:hAnsi="Calibri" w:cs="Calibri"/>
        </w:rPr>
        <w:t xml:space="preserve"> may also be relevant for those with passive intervention powers</w:t>
      </w:r>
      <w:r w:rsidR="00897E44">
        <w:rPr>
          <w:rFonts w:ascii="Calibri" w:hAnsi="Calibri" w:cs="Calibri"/>
        </w:rPr>
        <w:t>, in case they can, but are not obliged to respond to</w:t>
      </w:r>
      <w:r w:rsidR="00042D66">
        <w:rPr>
          <w:rFonts w:ascii="Calibri" w:hAnsi="Calibri" w:cs="Calibri"/>
        </w:rPr>
        <w:t xml:space="preserve"> a</w:t>
      </w:r>
      <w:r w:rsidR="00897E44">
        <w:rPr>
          <w:rFonts w:ascii="Calibri" w:hAnsi="Calibri" w:cs="Calibri"/>
        </w:rPr>
        <w:t xml:space="preserve"> </w:t>
      </w:r>
      <w:r w:rsidR="00042D66">
        <w:rPr>
          <w:rFonts w:ascii="Calibri" w:hAnsi="Calibri" w:cs="Calibri"/>
        </w:rPr>
        <w:t>c</w:t>
      </w:r>
      <w:r w:rsidR="00897E44">
        <w:rPr>
          <w:rFonts w:ascii="Calibri" w:hAnsi="Calibri" w:cs="Calibri"/>
        </w:rPr>
        <w:t xml:space="preserve">ourt’s invitation to intervene) </w:t>
      </w:r>
      <w:r w:rsidR="00DD5A1B">
        <w:rPr>
          <w:rFonts w:ascii="Calibri" w:hAnsi="Calibri" w:cs="Calibri"/>
        </w:rPr>
        <w:t xml:space="preserve">requires effective monitoring </w:t>
      </w:r>
      <w:r w:rsidR="00317491">
        <w:rPr>
          <w:rFonts w:ascii="Calibri" w:hAnsi="Calibri" w:cs="Calibri"/>
        </w:rPr>
        <w:t>mechanisms in place to become aware of relevant cases. Monitoring activities could include:</w:t>
      </w:r>
    </w:p>
    <w:p w14:paraId="7B2D618C" w14:textId="77777777" w:rsidR="00317491" w:rsidRPr="00006FBF" w:rsidRDefault="00317491" w:rsidP="00115AAB">
      <w:pPr>
        <w:pStyle w:val="ListParagraph"/>
        <w:numPr>
          <w:ilvl w:val="0"/>
          <w:numId w:val="49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Monitoring of judicial databases</w:t>
      </w:r>
    </w:p>
    <w:p w14:paraId="17041F7D" w14:textId="4E8B9D6A" w:rsidR="00317491" w:rsidRPr="00006FBF" w:rsidRDefault="00A12CE9" w:rsidP="00115AAB">
      <w:pPr>
        <w:pStyle w:val="ListParagraph"/>
        <w:numPr>
          <w:ilvl w:val="0"/>
          <w:numId w:val="49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r</w:t>
      </w:r>
      <w:r w:rsidR="00317491" w:rsidRPr="00006FBF">
        <w:rPr>
          <w:rFonts w:ascii="Calibri" w:hAnsi="Calibri" w:cs="Calibri"/>
        </w:rPr>
        <w:t>equest of a party/</w:t>
      </w:r>
      <w:r w:rsidR="005D24AB">
        <w:rPr>
          <w:rFonts w:ascii="Calibri" w:hAnsi="Calibri" w:cs="Calibri"/>
        </w:rPr>
        <w:t>c</w:t>
      </w:r>
      <w:r w:rsidR="00317491" w:rsidRPr="00006FBF">
        <w:rPr>
          <w:rFonts w:ascii="Calibri" w:hAnsi="Calibri" w:cs="Calibri"/>
        </w:rPr>
        <w:t>ourt</w:t>
      </w:r>
    </w:p>
    <w:p w14:paraId="113B4268" w14:textId="4AC1785B" w:rsidR="00D750A6" w:rsidRDefault="005D24AB" w:rsidP="00115AAB">
      <w:pPr>
        <w:pStyle w:val="ListParagraph"/>
        <w:numPr>
          <w:ilvl w:val="0"/>
          <w:numId w:val="49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Liaising with c</w:t>
      </w:r>
      <w:r w:rsidR="00317491" w:rsidRPr="00006FBF">
        <w:rPr>
          <w:rFonts w:ascii="Calibri" w:hAnsi="Calibri" w:cs="Calibri"/>
        </w:rPr>
        <w:t>ivil society and other partners</w:t>
      </w:r>
    </w:p>
    <w:p w14:paraId="7612D2DB" w14:textId="40A732B2" w:rsidR="00CA725C" w:rsidRDefault="00BF031C" w:rsidP="00115AAB">
      <w:pPr>
        <w:pStyle w:val="ListParagraph"/>
        <w:numPr>
          <w:ilvl w:val="0"/>
          <w:numId w:val="49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Monitoring m</w:t>
      </w:r>
      <w:r w:rsidR="00317491" w:rsidRPr="00D750A6">
        <w:rPr>
          <w:rFonts w:ascii="Calibri" w:hAnsi="Calibri" w:cs="Calibri"/>
        </w:rPr>
        <w:t>edia reports</w:t>
      </w:r>
      <w:r w:rsidR="00CA725C">
        <w:rPr>
          <w:rFonts w:ascii="Calibri" w:hAnsi="Calibri" w:cs="Calibri"/>
        </w:rPr>
        <w:br w:type="page"/>
      </w:r>
    </w:p>
    <w:p w14:paraId="50B1B10D" w14:textId="27DD765F" w:rsidR="001477EF" w:rsidRPr="00D750A6" w:rsidRDefault="005812EC" w:rsidP="00115AAB">
      <w:pPr>
        <w:spacing w:before="120" w:after="120" w:line="276" w:lineRule="auto"/>
        <w:rPr>
          <w:rFonts w:ascii="Calibri" w:hAnsi="Calibri" w:cs="Calibri"/>
        </w:rPr>
      </w:pPr>
      <w:r w:rsidRPr="00D750A6">
        <w:rPr>
          <w:rFonts w:ascii="Calibri" w:hAnsi="Calibri" w:cs="Calibri"/>
        </w:rPr>
        <w:lastRenderedPageBreak/>
        <w:t xml:space="preserve">The selection of cases </w:t>
      </w:r>
      <w:r w:rsidR="00DB48CD" w:rsidRPr="00D750A6">
        <w:rPr>
          <w:rFonts w:ascii="Calibri" w:hAnsi="Calibri" w:cs="Calibri"/>
        </w:rPr>
        <w:t>should be based on</w:t>
      </w:r>
      <w:r w:rsidR="006A123E" w:rsidRPr="00D750A6">
        <w:rPr>
          <w:rFonts w:ascii="Calibri" w:hAnsi="Calibri" w:cs="Calibri"/>
        </w:rPr>
        <w:t xml:space="preserve"> different considerations, such as the following:</w:t>
      </w:r>
    </w:p>
    <w:p w14:paraId="5738D02C" w14:textId="1B9518A6" w:rsidR="0044749F" w:rsidRPr="007A6D74" w:rsidRDefault="0044749F" w:rsidP="00115AAB">
      <w:pPr>
        <w:pStyle w:val="ListParagraph"/>
        <w:numPr>
          <w:ilvl w:val="0"/>
          <w:numId w:val="48"/>
        </w:numPr>
        <w:spacing w:before="120" w:after="120" w:line="276" w:lineRule="auto"/>
        <w:contextualSpacing w:val="0"/>
        <w:rPr>
          <w:rStyle w:val="Emphasis"/>
        </w:rPr>
      </w:pPr>
      <w:r w:rsidRPr="007A6D74">
        <w:rPr>
          <w:rStyle w:val="Emphasis"/>
        </w:rPr>
        <w:t>Practical considerations</w:t>
      </w:r>
    </w:p>
    <w:p w14:paraId="1C460547" w14:textId="365FB02F" w:rsidR="006A123E" w:rsidRPr="00006FBF" w:rsidRDefault="00EB52BD" w:rsidP="00115AAB">
      <w:pPr>
        <w:pStyle w:val="ListParagraph"/>
        <w:numPr>
          <w:ilvl w:val="1"/>
          <w:numId w:val="4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C4653">
        <w:rPr>
          <w:rFonts w:ascii="Calibri" w:hAnsi="Calibri" w:cs="Calibri"/>
        </w:rPr>
        <w:t>Time</w:t>
      </w:r>
      <w:r w:rsidR="00E46683" w:rsidRPr="000C4653">
        <w:rPr>
          <w:rFonts w:ascii="Calibri" w:hAnsi="Calibri" w:cs="Calibri"/>
        </w:rPr>
        <w:t>:</w:t>
      </w:r>
      <w:r w:rsidR="00E46683" w:rsidRPr="00006FBF">
        <w:rPr>
          <w:rFonts w:ascii="Calibri" w:hAnsi="Calibri" w:cs="Calibri"/>
        </w:rPr>
        <w:t xml:space="preserve"> </w:t>
      </w:r>
      <w:r w:rsidR="00C3291D">
        <w:rPr>
          <w:rFonts w:ascii="Calibri" w:hAnsi="Calibri" w:cs="Calibri"/>
        </w:rPr>
        <w:t>D</w:t>
      </w:r>
      <w:r w:rsidR="00E46683" w:rsidRPr="00006FBF">
        <w:rPr>
          <w:rFonts w:ascii="Calibri" w:hAnsi="Calibri" w:cs="Calibri"/>
        </w:rPr>
        <w:t>at</w:t>
      </w:r>
      <w:r w:rsidR="005D57C0">
        <w:rPr>
          <w:rFonts w:ascii="Calibri" w:hAnsi="Calibri" w:cs="Calibri"/>
        </w:rPr>
        <w:t>e</w:t>
      </w:r>
      <w:r w:rsidR="00E46683" w:rsidRPr="00006FBF">
        <w:rPr>
          <w:rFonts w:ascii="Calibri" w:hAnsi="Calibri" w:cs="Calibri"/>
        </w:rPr>
        <w:t xml:space="preserve"> of hearing and capacity within </w:t>
      </w:r>
      <w:r w:rsidR="000578CB">
        <w:rPr>
          <w:rFonts w:ascii="Calibri" w:hAnsi="Calibri" w:cs="Calibri"/>
        </w:rPr>
        <w:t xml:space="preserve">the </w:t>
      </w:r>
      <w:r w:rsidR="00E46683" w:rsidRPr="00006FBF">
        <w:rPr>
          <w:rFonts w:ascii="Calibri" w:hAnsi="Calibri" w:cs="Calibri"/>
        </w:rPr>
        <w:t>timeline</w:t>
      </w:r>
    </w:p>
    <w:p w14:paraId="71C4EE8A" w14:textId="77777777" w:rsidR="00AA6D2F" w:rsidRPr="00006FBF" w:rsidRDefault="00AA6D2F" w:rsidP="00115AAB">
      <w:pPr>
        <w:pStyle w:val="ListParagraph"/>
        <w:numPr>
          <w:ilvl w:val="1"/>
          <w:numId w:val="4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Strength and nature of a case</w:t>
      </w:r>
    </w:p>
    <w:p w14:paraId="32C39E7F" w14:textId="55022A4F" w:rsidR="0044749F" w:rsidRPr="00006FBF" w:rsidRDefault="00AA6D2F" w:rsidP="00115AAB">
      <w:pPr>
        <w:pStyle w:val="ListParagraph"/>
        <w:numPr>
          <w:ilvl w:val="1"/>
          <w:numId w:val="4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Potential success of the litigation</w:t>
      </w:r>
      <w:r w:rsidR="00B8434D">
        <w:rPr>
          <w:rFonts w:ascii="Calibri" w:hAnsi="Calibri" w:cs="Calibri"/>
          <w:lang w:val="en-US"/>
        </w:rPr>
        <w:t xml:space="preserve"> and </w:t>
      </w:r>
      <w:r w:rsidR="00E564AF">
        <w:rPr>
          <w:rFonts w:ascii="Calibri" w:hAnsi="Calibri" w:cs="Calibri"/>
          <w:lang w:val="en-US"/>
        </w:rPr>
        <w:t>c</w:t>
      </w:r>
      <w:r w:rsidR="00B8434D">
        <w:rPr>
          <w:rFonts w:ascii="Calibri" w:hAnsi="Calibri" w:cs="Calibri"/>
          <w:lang w:val="en-US"/>
        </w:rPr>
        <w:t>ourt alignment</w:t>
      </w:r>
    </w:p>
    <w:p w14:paraId="2B002037" w14:textId="5D11B3AD" w:rsidR="00AA6D2F" w:rsidRPr="00006FBF" w:rsidRDefault="0044749F" w:rsidP="00115AAB">
      <w:pPr>
        <w:pStyle w:val="ListParagraph"/>
        <w:numPr>
          <w:ilvl w:val="1"/>
          <w:numId w:val="4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Ability to get access to all necessary documents</w:t>
      </w:r>
    </w:p>
    <w:p w14:paraId="64E1EE19" w14:textId="3D4A259C" w:rsidR="00EB52BD" w:rsidRPr="007A6D74" w:rsidRDefault="00EB52BD" w:rsidP="00115AAB">
      <w:pPr>
        <w:pStyle w:val="ListParagraph"/>
        <w:numPr>
          <w:ilvl w:val="0"/>
          <w:numId w:val="45"/>
        </w:numPr>
        <w:spacing w:before="120" w:after="120" w:line="276" w:lineRule="auto"/>
        <w:contextualSpacing w:val="0"/>
        <w:rPr>
          <w:rStyle w:val="Emphasis"/>
        </w:rPr>
      </w:pPr>
      <w:r w:rsidRPr="007A6D74">
        <w:rPr>
          <w:rStyle w:val="Emphasis"/>
        </w:rPr>
        <w:t>Financial and human resources</w:t>
      </w:r>
    </w:p>
    <w:p w14:paraId="71B5F3E9" w14:textId="37F34E64" w:rsidR="00DA2D18" w:rsidRPr="00006FBF" w:rsidRDefault="00DA2D18" w:rsidP="00115AAB">
      <w:pPr>
        <w:pStyle w:val="ListParagraph"/>
        <w:numPr>
          <w:ilvl w:val="1"/>
          <w:numId w:val="4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Costs of intervention</w:t>
      </w:r>
      <w:r w:rsidR="00075A86">
        <w:rPr>
          <w:rFonts w:ascii="Calibri" w:hAnsi="Calibri" w:cs="Calibri"/>
        </w:rPr>
        <w:t xml:space="preserve"> vs budget available</w:t>
      </w:r>
    </w:p>
    <w:p w14:paraId="4BEF95EB" w14:textId="5E6DA8E9" w:rsidR="00DA2D18" w:rsidRPr="00006FBF" w:rsidRDefault="00DA2D18" w:rsidP="00115AAB">
      <w:pPr>
        <w:pStyle w:val="ListParagraph"/>
        <w:numPr>
          <w:ilvl w:val="1"/>
          <w:numId w:val="4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Workload of employees</w:t>
      </w:r>
    </w:p>
    <w:p w14:paraId="05648F32" w14:textId="4532DF3C" w:rsidR="00DA2D18" w:rsidRPr="00006FBF" w:rsidRDefault="00DA2D18" w:rsidP="00115AAB">
      <w:pPr>
        <w:pStyle w:val="ListParagraph"/>
        <w:numPr>
          <w:ilvl w:val="1"/>
          <w:numId w:val="4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Number of pending cases, including priority cases</w:t>
      </w:r>
    </w:p>
    <w:p w14:paraId="3C647B70" w14:textId="5C0CA027" w:rsidR="00AA6D2F" w:rsidRPr="007A6D74" w:rsidRDefault="00EB52BD" w:rsidP="00115AAB">
      <w:pPr>
        <w:pStyle w:val="ListParagraph"/>
        <w:numPr>
          <w:ilvl w:val="0"/>
          <w:numId w:val="44"/>
        </w:numPr>
        <w:spacing w:before="120" w:after="120" w:line="276" w:lineRule="auto"/>
        <w:contextualSpacing w:val="0"/>
        <w:rPr>
          <w:rStyle w:val="Emphasis"/>
        </w:rPr>
      </w:pPr>
      <w:r w:rsidRPr="007A6D74">
        <w:rPr>
          <w:rStyle w:val="Emphasis"/>
        </w:rPr>
        <w:t>Added value of the intervention</w:t>
      </w:r>
    </w:p>
    <w:p w14:paraId="4E6A5DDB" w14:textId="64E50E88" w:rsidR="00FB7D63" w:rsidRPr="002C2DE6" w:rsidRDefault="00AA6D2F" w:rsidP="00115AAB">
      <w:pPr>
        <w:pStyle w:val="ListParagraph"/>
        <w:numPr>
          <w:ilvl w:val="1"/>
          <w:numId w:val="4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2C2DE6">
        <w:rPr>
          <w:rFonts w:ascii="Calibri" w:hAnsi="Calibri" w:cs="Calibri"/>
        </w:rPr>
        <w:t>S</w:t>
      </w:r>
      <w:r w:rsidR="00FB7D63" w:rsidRPr="002C2DE6">
        <w:rPr>
          <w:rFonts w:ascii="Calibri" w:hAnsi="Calibri" w:cs="Calibri"/>
        </w:rPr>
        <w:t>pecific expertise of the E</w:t>
      </w:r>
      <w:r w:rsidR="00D0612F">
        <w:rPr>
          <w:rFonts w:ascii="Calibri" w:hAnsi="Calibri" w:cs="Calibri"/>
          <w:lang w:val="en-US"/>
        </w:rPr>
        <w:t>quality Body</w:t>
      </w:r>
      <w:r w:rsidR="002C2DE6" w:rsidRPr="002C2DE6">
        <w:rPr>
          <w:rFonts w:ascii="Calibri" w:hAnsi="Calibri" w:cs="Calibri"/>
          <w:lang w:val="en-US"/>
        </w:rPr>
        <w:t xml:space="preserve"> and </w:t>
      </w:r>
      <w:r w:rsidR="002C2DE6">
        <w:rPr>
          <w:rFonts w:ascii="Calibri" w:hAnsi="Calibri" w:cs="Calibri"/>
          <w:lang w:val="en-US"/>
        </w:rPr>
        <w:t>p</w:t>
      </w:r>
      <w:r w:rsidR="00FB7D63" w:rsidRPr="002C2DE6">
        <w:rPr>
          <w:rFonts w:ascii="Calibri" w:hAnsi="Calibri" w:cs="Calibri"/>
        </w:rPr>
        <w:t>ast experience with similar cases or legal issues</w:t>
      </w:r>
    </w:p>
    <w:p w14:paraId="7B407E15" w14:textId="15F4D498" w:rsidR="00F36D6C" w:rsidRPr="00C752B2" w:rsidRDefault="00F36D6C" w:rsidP="00115AAB">
      <w:pPr>
        <w:pStyle w:val="ListParagraph"/>
        <w:numPr>
          <w:ilvl w:val="1"/>
          <w:numId w:val="42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Alignment with strategic priorities </w:t>
      </w:r>
      <w:r w:rsidR="00B73B6E">
        <w:rPr>
          <w:rFonts w:ascii="Calibri" w:hAnsi="Calibri" w:cs="Calibri"/>
          <w:lang w:val="en-US"/>
        </w:rPr>
        <w:t>of the E</w:t>
      </w:r>
      <w:r w:rsidR="008F6B24">
        <w:rPr>
          <w:rFonts w:ascii="Calibri" w:hAnsi="Calibri" w:cs="Calibri"/>
          <w:lang w:val="en-US"/>
        </w:rPr>
        <w:t>quality Body</w:t>
      </w:r>
    </w:p>
    <w:p w14:paraId="2D71D553" w14:textId="1CB34063" w:rsidR="00146AE9" w:rsidRPr="00006FBF" w:rsidRDefault="00A037CF" w:rsidP="00115AAB">
      <w:pPr>
        <w:pStyle w:val="ListParagraph"/>
        <w:numPr>
          <w:ilvl w:val="1"/>
          <w:numId w:val="42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The a</w:t>
      </w:r>
      <w:r w:rsidR="00375346">
        <w:rPr>
          <w:rFonts w:ascii="Calibri" w:hAnsi="Calibri" w:cs="Calibri"/>
          <w:lang w:val="en-US"/>
        </w:rPr>
        <w:t>bility of a case</w:t>
      </w:r>
      <w:r w:rsidR="00146AE9">
        <w:rPr>
          <w:rFonts w:ascii="Calibri" w:hAnsi="Calibri" w:cs="Calibri"/>
          <w:lang w:val="en-US"/>
        </w:rPr>
        <w:t xml:space="preserve"> to develop the ‘arc’ of case law in a specific area</w:t>
      </w:r>
    </w:p>
    <w:p w14:paraId="5CEB95E0" w14:textId="067433A2" w:rsidR="005F7890" w:rsidRPr="007A6D74" w:rsidRDefault="005F7890" w:rsidP="00115AAB">
      <w:pPr>
        <w:pStyle w:val="ListParagraph"/>
        <w:numPr>
          <w:ilvl w:val="0"/>
          <w:numId w:val="39"/>
        </w:numPr>
        <w:spacing w:before="120" w:after="120" w:line="276" w:lineRule="auto"/>
        <w:contextualSpacing w:val="0"/>
        <w:rPr>
          <w:rStyle w:val="Emphasis"/>
        </w:rPr>
      </w:pPr>
      <w:r w:rsidRPr="007A6D74">
        <w:rPr>
          <w:rStyle w:val="Emphasis"/>
        </w:rPr>
        <w:t>Stage of the proceedings</w:t>
      </w:r>
    </w:p>
    <w:p w14:paraId="38F9EF97" w14:textId="0D214945" w:rsidR="008A3B19" w:rsidRPr="00006FBF" w:rsidRDefault="008A3B19" w:rsidP="00115AAB">
      <w:pPr>
        <w:pStyle w:val="ListParagraph"/>
        <w:numPr>
          <w:ilvl w:val="1"/>
          <w:numId w:val="4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Depending on the </w:t>
      </w:r>
      <w:r w:rsidR="0054241E">
        <w:rPr>
          <w:rFonts w:ascii="Calibri" w:hAnsi="Calibri" w:cs="Calibri"/>
        </w:rPr>
        <w:t>jurisdiction</w:t>
      </w:r>
      <w:r w:rsidR="00B62884">
        <w:rPr>
          <w:rFonts w:ascii="Calibri" w:hAnsi="Calibri" w:cs="Calibri"/>
        </w:rPr>
        <w:t xml:space="preserve"> and </w:t>
      </w:r>
      <w:r w:rsidR="00413B92">
        <w:rPr>
          <w:rFonts w:ascii="Calibri" w:hAnsi="Calibri" w:cs="Calibri"/>
        </w:rPr>
        <w:t>personal experience litigating</w:t>
      </w:r>
      <w:r w:rsidR="00FE6E85">
        <w:rPr>
          <w:rFonts w:ascii="Calibri" w:hAnsi="Calibri" w:cs="Calibri"/>
        </w:rPr>
        <w:t>,</w:t>
      </w:r>
      <w:r w:rsidRPr="00006FBF">
        <w:rPr>
          <w:rFonts w:ascii="Calibri" w:hAnsi="Calibri" w:cs="Calibri"/>
        </w:rPr>
        <w:t xml:space="preserve"> there might be arguments in favour </w:t>
      </w:r>
      <w:r w:rsidR="006576F4">
        <w:rPr>
          <w:rFonts w:ascii="Calibri" w:hAnsi="Calibri" w:cs="Calibri"/>
        </w:rPr>
        <w:t>of</w:t>
      </w:r>
      <w:r w:rsidR="006576F4" w:rsidRPr="00006FBF">
        <w:rPr>
          <w:rFonts w:ascii="Calibri" w:hAnsi="Calibri" w:cs="Calibri"/>
        </w:rPr>
        <w:t xml:space="preserve"> </w:t>
      </w:r>
      <w:r w:rsidRPr="00006FBF">
        <w:rPr>
          <w:rFonts w:ascii="Calibri" w:hAnsi="Calibri" w:cs="Calibri"/>
        </w:rPr>
        <w:t>interven</w:t>
      </w:r>
      <w:r w:rsidR="00DF28BE">
        <w:rPr>
          <w:rFonts w:ascii="Calibri" w:hAnsi="Calibri" w:cs="Calibri"/>
        </w:rPr>
        <w:t>ing</w:t>
      </w:r>
      <w:r w:rsidRPr="00006FBF">
        <w:rPr>
          <w:rFonts w:ascii="Calibri" w:hAnsi="Calibri" w:cs="Calibri"/>
        </w:rPr>
        <w:t xml:space="preserve"> at lower</w:t>
      </w:r>
      <w:r w:rsidR="009D7F39" w:rsidRPr="00006FBF">
        <w:rPr>
          <w:rFonts w:ascii="Calibri" w:hAnsi="Calibri" w:cs="Calibri"/>
        </w:rPr>
        <w:t xml:space="preserve"> or higher</w:t>
      </w:r>
      <w:r w:rsidRPr="00006FBF">
        <w:rPr>
          <w:rFonts w:ascii="Calibri" w:hAnsi="Calibri" w:cs="Calibri"/>
        </w:rPr>
        <w:t xml:space="preserve"> </w:t>
      </w:r>
      <w:r w:rsidR="006300B6">
        <w:rPr>
          <w:rFonts w:ascii="Calibri" w:hAnsi="Calibri" w:cs="Calibri"/>
        </w:rPr>
        <w:t>c</w:t>
      </w:r>
      <w:r w:rsidR="009D7F39" w:rsidRPr="00006FBF">
        <w:rPr>
          <w:rFonts w:ascii="Calibri" w:hAnsi="Calibri" w:cs="Calibri"/>
        </w:rPr>
        <w:t xml:space="preserve">ourts </w:t>
      </w:r>
    </w:p>
    <w:p w14:paraId="396B8194" w14:textId="32A2A80E" w:rsidR="00197990" w:rsidRPr="00006FBF" w:rsidRDefault="00197990" w:rsidP="00115AAB">
      <w:pPr>
        <w:pStyle w:val="Heading1"/>
        <w:jc w:val="left"/>
      </w:pPr>
      <w:bookmarkStart w:id="5" w:name="_Toc169273242"/>
      <w:r w:rsidRPr="00006FBF">
        <w:t xml:space="preserve">The </w:t>
      </w:r>
      <w:r w:rsidR="009B5427" w:rsidRPr="00443E8E">
        <w:t>leave</w:t>
      </w:r>
      <w:r w:rsidR="009B5427" w:rsidRPr="00006FBF">
        <w:t xml:space="preserve"> to intervene</w:t>
      </w:r>
      <w:bookmarkEnd w:id="5"/>
    </w:p>
    <w:p w14:paraId="0E188F6F" w14:textId="42A734A1" w:rsidR="00870041" w:rsidRDefault="005A73BE" w:rsidP="00115AAB">
      <w:pPr>
        <w:pStyle w:val="ListParagraph"/>
        <w:numPr>
          <w:ilvl w:val="0"/>
          <w:numId w:val="36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Strict d</w:t>
      </w:r>
      <w:r w:rsidR="001F336C">
        <w:rPr>
          <w:rFonts w:ascii="Calibri" w:hAnsi="Calibri" w:cs="Calibri"/>
        </w:rPr>
        <w:t>eadlines may apply</w:t>
      </w:r>
    </w:p>
    <w:p w14:paraId="24043237" w14:textId="2BD20DBC" w:rsidR="00AF650F" w:rsidRDefault="004C2FB3" w:rsidP="00115AAB">
      <w:pPr>
        <w:pStyle w:val="ListParagraph"/>
        <w:numPr>
          <w:ilvl w:val="0"/>
          <w:numId w:val="36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Brief</w:t>
      </w:r>
      <w:r w:rsidR="0042208C">
        <w:rPr>
          <w:rFonts w:ascii="Calibri" w:hAnsi="Calibri" w:cs="Calibri"/>
        </w:rPr>
        <w:t xml:space="preserve"> and succinct</w:t>
      </w:r>
      <w:r w:rsidR="008631C7">
        <w:rPr>
          <w:rFonts w:ascii="Calibri" w:hAnsi="Calibri" w:cs="Calibri"/>
        </w:rPr>
        <w:t xml:space="preserve"> </w:t>
      </w:r>
      <w:r w:rsidR="0042208C">
        <w:rPr>
          <w:rFonts w:ascii="Calibri" w:hAnsi="Calibri" w:cs="Calibri"/>
        </w:rPr>
        <w:t>–</w:t>
      </w:r>
      <w:r w:rsidR="00AF650F">
        <w:rPr>
          <w:rFonts w:ascii="Calibri" w:hAnsi="Calibri" w:cs="Calibri"/>
        </w:rPr>
        <w:t xml:space="preserve"> </w:t>
      </w:r>
      <w:r w:rsidR="0042208C">
        <w:rPr>
          <w:rFonts w:ascii="Calibri" w:hAnsi="Calibri" w:cs="Calibri"/>
        </w:rPr>
        <w:t>less is more</w:t>
      </w:r>
      <w:r w:rsidR="00D72CD9">
        <w:rPr>
          <w:rFonts w:ascii="Calibri" w:hAnsi="Calibri" w:cs="Calibri"/>
        </w:rPr>
        <w:t>,</w:t>
      </w:r>
      <w:r w:rsidR="003556DA">
        <w:rPr>
          <w:rFonts w:ascii="Calibri" w:hAnsi="Calibri" w:cs="Calibri"/>
        </w:rPr>
        <w:t xml:space="preserve"> </w:t>
      </w:r>
      <w:r w:rsidR="00AF650F">
        <w:rPr>
          <w:rFonts w:ascii="Calibri" w:hAnsi="Calibri" w:cs="Calibri"/>
        </w:rPr>
        <w:t xml:space="preserve">3-5 pages </w:t>
      </w:r>
    </w:p>
    <w:p w14:paraId="2459DBDD" w14:textId="35F21B0A" w:rsidR="004C2FB3" w:rsidRDefault="001F336C" w:rsidP="00115AAB">
      <w:pPr>
        <w:pStyle w:val="ListParagraph"/>
        <w:numPr>
          <w:ilvl w:val="0"/>
          <w:numId w:val="36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Content:</w:t>
      </w:r>
    </w:p>
    <w:p w14:paraId="13356F49" w14:textId="7CBE092B" w:rsidR="004C2FB3" w:rsidRDefault="00D72CD9" w:rsidP="00115AAB">
      <w:pPr>
        <w:pStyle w:val="ListParagraph"/>
        <w:numPr>
          <w:ilvl w:val="1"/>
          <w:numId w:val="38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1F336C">
        <w:rPr>
          <w:rFonts w:ascii="Calibri" w:hAnsi="Calibri" w:cs="Calibri"/>
        </w:rPr>
        <w:t>rief description of your E</w:t>
      </w:r>
      <w:r w:rsidR="00661107">
        <w:rPr>
          <w:rFonts w:ascii="Calibri" w:hAnsi="Calibri" w:cs="Calibri"/>
        </w:rPr>
        <w:t>quality Body</w:t>
      </w:r>
    </w:p>
    <w:p w14:paraId="1F0670AF" w14:textId="107E26D0" w:rsidR="004C2FB3" w:rsidRDefault="00866414" w:rsidP="00115AAB">
      <w:pPr>
        <w:pStyle w:val="ListParagraph"/>
        <w:numPr>
          <w:ilvl w:val="1"/>
          <w:numId w:val="38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Reasons for</w:t>
      </w:r>
      <w:r w:rsidR="001F336C">
        <w:rPr>
          <w:rFonts w:ascii="Calibri" w:hAnsi="Calibri" w:cs="Calibri"/>
        </w:rPr>
        <w:t xml:space="preserve"> interest in </w:t>
      </w:r>
      <w:r w:rsidR="004C2FB3">
        <w:rPr>
          <w:rFonts w:ascii="Calibri" w:hAnsi="Calibri" w:cs="Calibri"/>
        </w:rPr>
        <w:t>interv</w:t>
      </w:r>
      <w:r w:rsidR="00146AE9">
        <w:rPr>
          <w:rFonts w:ascii="Calibri" w:hAnsi="Calibri" w:cs="Calibri"/>
        </w:rPr>
        <w:t>ening</w:t>
      </w:r>
      <w:r w:rsidR="004C2FB3">
        <w:rPr>
          <w:rFonts w:ascii="Calibri" w:hAnsi="Calibri" w:cs="Calibri"/>
        </w:rPr>
        <w:t xml:space="preserve"> </w:t>
      </w:r>
    </w:p>
    <w:p w14:paraId="678180C5" w14:textId="34F590D6" w:rsidR="001F336C" w:rsidRDefault="00D72CD9" w:rsidP="00115AAB">
      <w:pPr>
        <w:pStyle w:val="ListParagraph"/>
        <w:numPr>
          <w:ilvl w:val="1"/>
          <w:numId w:val="38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4C2FB3">
        <w:rPr>
          <w:rFonts w:ascii="Calibri" w:hAnsi="Calibri" w:cs="Calibri"/>
        </w:rPr>
        <w:t xml:space="preserve">ow are you planning to assist the </w:t>
      </w:r>
      <w:r w:rsidR="006300B6">
        <w:rPr>
          <w:rFonts w:ascii="Calibri" w:hAnsi="Calibri" w:cs="Calibri"/>
        </w:rPr>
        <w:t>c</w:t>
      </w:r>
      <w:r w:rsidR="004C2FB3">
        <w:rPr>
          <w:rFonts w:ascii="Calibri" w:hAnsi="Calibri" w:cs="Calibri"/>
        </w:rPr>
        <w:t xml:space="preserve">ourt (general ideas, not details) </w:t>
      </w:r>
    </w:p>
    <w:p w14:paraId="74429436" w14:textId="0C2E2B69" w:rsidR="005659A9" w:rsidRPr="00006FBF" w:rsidRDefault="005659A9" w:rsidP="00115AAB">
      <w:pPr>
        <w:pStyle w:val="ListParagraph"/>
        <w:numPr>
          <w:ilvl w:val="0"/>
          <w:numId w:val="3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Correspond with the parties and the court</w:t>
      </w:r>
      <w:r w:rsidR="00FE6E85">
        <w:rPr>
          <w:rFonts w:ascii="Calibri" w:hAnsi="Calibri" w:cs="Calibri"/>
        </w:rPr>
        <w:t>,</w:t>
      </w:r>
      <w:r w:rsidR="007E49D4" w:rsidRPr="00006FBF">
        <w:rPr>
          <w:rFonts w:ascii="Calibri" w:hAnsi="Calibri" w:cs="Calibri"/>
        </w:rPr>
        <w:t xml:space="preserve"> try to receive all relevant </w:t>
      </w:r>
      <w:r w:rsidR="00CA560E" w:rsidRPr="00006FBF">
        <w:rPr>
          <w:rFonts w:ascii="Calibri" w:hAnsi="Calibri" w:cs="Calibri"/>
        </w:rPr>
        <w:t>documents</w:t>
      </w:r>
    </w:p>
    <w:p w14:paraId="50C1A2EA" w14:textId="010715AC" w:rsidR="00917400" w:rsidRPr="00006FBF" w:rsidRDefault="00917400" w:rsidP="00115AAB">
      <w:pPr>
        <w:pStyle w:val="ListParagraph"/>
        <w:numPr>
          <w:ilvl w:val="0"/>
          <w:numId w:val="3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Be </w:t>
      </w:r>
      <w:r w:rsidR="00722280">
        <w:rPr>
          <w:rFonts w:ascii="Calibri" w:hAnsi="Calibri" w:cs="Calibri"/>
        </w:rPr>
        <w:t>mindful of</w:t>
      </w:r>
      <w:r w:rsidRPr="00006FBF">
        <w:rPr>
          <w:rFonts w:ascii="Calibri" w:hAnsi="Calibri" w:cs="Calibri"/>
        </w:rPr>
        <w:t xml:space="preserve"> the timeline and start preparing the intervention</w:t>
      </w:r>
      <w:r w:rsidR="00146AE9">
        <w:rPr>
          <w:rFonts w:ascii="Calibri" w:hAnsi="Calibri" w:cs="Calibri"/>
        </w:rPr>
        <w:t xml:space="preserve"> asap, if necessary</w:t>
      </w:r>
      <w:r w:rsidRPr="00006FBF">
        <w:rPr>
          <w:rFonts w:ascii="Calibri" w:hAnsi="Calibri" w:cs="Calibri"/>
        </w:rPr>
        <w:t xml:space="preserve"> before you receive </w:t>
      </w:r>
      <w:r w:rsidR="006A1896">
        <w:rPr>
          <w:rFonts w:ascii="Calibri" w:hAnsi="Calibri" w:cs="Calibri"/>
          <w:lang w:val="en-US"/>
        </w:rPr>
        <w:t xml:space="preserve">approval </w:t>
      </w:r>
      <w:r w:rsidRPr="00006FBF">
        <w:rPr>
          <w:rFonts w:ascii="Calibri" w:hAnsi="Calibri" w:cs="Calibri"/>
        </w:rPr>
        <w:t>to intervene</w:t>
      </w:r>
    </w:p>
    <w:p w14:paraId="3BA40FA5" w14:textId="463D7D66" w:rsidR="00197990" w:rsidRPr="00006FBF" w:rsidRDefault="00197990" w:rsidP="00115AAB">
      <w:pPr>
        <w:pStyle w:val="Heading1"/>
        <w:jc w:val="left"/>
      </w:pPr>
      <w:bookmarkStart w:id="6" w:name="_Toc169273243"/>
      <w:r w:rsidRPr="004C2FB3">
        <w:t>The</w:t>
      </w:r>
      <w:r w:rsidRPr="00006FBF">
        <w:t xml:space="preserve"> content of the intervention</w:t>
      </w:r>
      <w:bookmarkEnd w:id="6"/>
      <w:r w:rsidRPr="00006FBF">
        <w:t xml:space="preserve"> </w:t>
      </w:r>
    </w:p>
    <w:p w14:paraId="3D0BB101" w14:textId="4A59A389" w:rsidR="008F19AD" w:rsidRDefault="008F19AD" w:rsidP="00115AAB">
      <w:pPr>
        <w:spacing w:before="120" w:after="120" w:line="276" w:lineRule="auto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The content of the intervention will depend on the </w:t>
      </w:r>
      <w:r w:rsidR="00B35C21" w:rsidRPr="00006FBF">
        <w:rPr>
          <w:rFonts w:ascii="Calibri" w:hAnsi="Calibri" w:cs="Calibri"/>
        </w:rPr>
        <w:t xml:space="preserve">type of intervention a court allows. </w:t>
      </w:r>
      <w:r w:rsidR="005A62F0">
        <w:rPr>
          <w:rFonts w:ascii="Calibri" w:hAnsi="Calibri" w:cs="Calibri"/>
        </w:rPr>
        <w:t>Equality Bodies need</w:t>
      </w:r>
      <w:r w:rsidR="00B35C21" w:rsidRPr="00006FBF">
        <w:rPr>
          <w:rFonts w:ascii="Calibri" w:hAnsi="Calibri" w:cs="Calibri"/>
        </w:rPr>
        <w:t xml:space="preserve"> to be aware </w:t>
      </w:r>
      <w:r w:rsidR="005442F4">
        <w:rPr>
          <w:rFonts w:ascii="Calibri" w:hAnsi="Calibri" w:cs="Calibri"/>
        </w:rPr>
        <w:t>whether an intervention</w:t>
      </w:r>
      <w:r w:rsidR="00B35C21" w:rsidRPr="00006FBF">
        <w:rPr>
          <w:rFonts w:ascii="Calibri" w:hAnsi="Calibri" w:cs="Calibri"/>
        </w:rPr>
        <w:t xml:space="preserve"> should </w:t>
      </w:r>
      <w:r w:rsidR="004F13AA" w:rsidRPr="00006FBF">
        <w:rPr>
          <w:rFonts w:ascii="Calibri" w:hAnsi="Calibri" w:cs="Calibri"/>
        </w:rPr>
        <w:t xml:space="preserve">include merely legal arguments or whether </w:t>
      </w:r>
      <w:r w:rsidR="004F13AA" w:rsidRPr="00006FBF">
        <w:rPr>
          <w:rFonts w:ascii="Calibri" w:hAnsi="Calibri" w:cs="Calibri"/>
        </w:rPr>
        <w:lastRenderedPageBreak/>
        <w:t>it can actually engage with the impact of the law in a specific situation</w:t>
      </w:r>
      <w:r w:rsidR="00A7263A">
        <w:rPr>
          <w:rFonts w:ascii="Calibri" w:hAnsi="Calibri" w:cs="Calibri"/>
        </w:rPr>
        <w:t>, i.e. the merits of the case</w:t>
      </w:r>
      <w:r w:rsidR="004F13AA" w:rsidRPr="00006FBF">
        <w:rPr>
          <w:rFonts w:ascii="Calibri" w:hAnsi="Calibri" w:cs="Calibri"/>
        </w:rPr>
        <w:t xml:space="preserve">. </w:t>
      </w:r>
      <w:r w:rsidR="004B04FD" w:rsidRPr="00006FBF">
        <w:rPr>
          <w:rFonts w:ascii="Calibri" w:hAnsi="Calibri" w:cs="Calibri"/>
        </w:rPr>
        <w:t xml:space="preserve">Depending on </w:t>
      </w:r>
      <w:r w:rsidR="00F93354" w:rsidRPr="00006FBF">
        <w:rPr>
          <w:rFonts w:ascii="Calibri" w:hAnsi="Calibri" w:cs="Calibri"/>
        </w:rPr>
        <w:t>the legal context in which you operate</w:t>
      </w:r>
      <w:r w:rsidR="004B04FD" w:rsidRPr="00006FBF">
        <w:rPr>
          <w:rFonts w:ascii="Calibri" w:hAnsi="Calibri" w:cs="Calibri"/>
        </w:rPr>
        <w:t xml:space="preserve">, you could consider the following: </w:t>
      </w:r>
    </w:p>
    <w:p w14:paraId="50659683" w14:textId="711AEFC2" w:rsidR="009E068B" w:rsidRPr="003B2346" w:rsidRDefault="009E068B" w:rsidP="00115AAB">
      <w:pPr>
        <w:pStyle w:val="Heading2"/>
        <w:jc w:val="left"/>
      </w:pPr>
      <w:bookmarkStart w:id="7" w:name="_Toc169273244"/>
      <w:r w:rsidRPr="003B2346">
        <w:t>Do</w:t>
      </w:r>
      <w:bookmarkEnd w:id="7"/>
    </w:p>
    <w:p w14:paraId="29FC35D3" w14:textId="0A012779" w:rsidR="0062132D" w:rsidRPr="0062132D" w:rsidRDefault="0062132D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003B13B8">
        <w:rPr>
          <w:rFonts w:ascii="Calibri" w:hAnsi="Calibri" w:cs="Calibri"/>
        </w:rPr>
        <w:t xml:space="preserve">Make the submission as clear as possible to ensure that your position is understood </w:t>
      </w:r>
    </w:p>
    <w:p w14:paraId="5B7778BE" w14:textId="0F1EC1C4" w:rsidR="00D978E2" w:rsidRDefault="00D978E2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003B13B8">
        <w:rPr>
          <w:rFonts w:ascii="Calibri" w:hAnsi="Calibri" w:cs="Calibri"/>
        </w:rPr>
        <w:t xml:space="preserve">Make sure that your intervention is aligned with </w:t>
      </w:r>
      <w:r w:rsidR="0014761F">
        <w:rPr>
          <w:rFonts w:ascii="Calibri" w:hAnsi="Calibri" w:cs="Calibri"/>
        </w:rPr>
        <w:t>your E</w:t>
      </w:r>
      <w:r w:rsidR="003C4B21">
        <w:rPr>
          <w:rFonts w:ascii="Calibri" w:hAnsi="Calibri" w:cs="Calibri"/>
        </w:rPr>
        <w:t>quality Body’s</w:t>
      </w:r>
      <w:r w:rsidRPr="003B13B8">
        <w:rPr>
          <w:rFonts w:ascii="Calibri" w:hAnsi="Calibri" w:cs="Calibri"/>
        </w:rPr>
        <w:t xml:space="preserve"> strategic </w:t>
      </w:r>
      <w:r w:rsidR="0014761F">
        <w:rPr>
          <w:rFonts w:ascii="Calibri" w:hAnsi="Calibri" w:cs="Calibri"/>
        </w:rPr>
        <w:t>and</w:t>
      </w:r>
      <w:r w:rsidRPr="003B13B8">
        <w:rPr>
          <w:rFonts w:ascii="Calibri" w:hAnsi="Calibri" w:cs="Calibri"/>
        </w:rPr>
        <w:t xml:space="preserve"> previous positions</w:t>
      </w:r>
    </w:p>
    <w:p w14:paraId="1832CC0C" w14:textId="3F72B208" w:rsidR="00C30F84" w:rsidRPr="00C30F84" w:rsidRDefault="00C30F84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003B13B8">
        <w:rPr>
          <w:rFonts w:ascii="Calibri" w:hAnsi="Calibri" w:cs="Calibri"/>
        </w:rPr>
        <w:t xml:space="preserve">Keep in mind the strategic goals and consequences which go beyond the individual case </w:t>
      </w:r>
    </w:p>
    <w:p w14:paraId="11E6BFA7" w14:textId="38300418" w:rsidR="00C565AD" w:rsidRPr="003B13B8" w:rsidRDefault="009E068B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003B13B8">
        <w:rPr>
          <w:rFonts w:ascii="Calibri" w:hAnsi="Calibri" w:cs="Calibri"/>
        </w:rPr>
        <w:t xml:space="preserve">Showcase the specific expertise and value of you as an </w:t>
      </w:r>
      <w:r w:rsidR="00B73B6E" w:rsidRPr="003B13B8">
        <w:rPr>
          <w:rFonts w:ascii="Calibri" w:hAnsi="Calibri" w:cs="Calibri"/>
          <w:lang w:val="en-US"/>
        </w:rPr>
        <w:t>E</w:t>
      </w:r>
      <w:r w:rsidR="00B527C6">
        <w:rPr>
          <w:rFonts w:ascii="Calibri" w:hAnsi="Calibri" w:cs="Calibri"/>
          <w:lang w:val="en-US"/>
        </w:rPr>
        <w:t>quality Body</w:t>
      </w:r>
      <w:r w:rsidRPr="003B13B8">
        <w:rPr>
          <w:rFonts w:ascii="Calibri" w:hAnsi="Calibri" w:cs="Calibri"/>
        </w:rPr>
        <w:t>, such as knowledge o</w:t>
      </w:r>
      <w:r w:rsidR="004874FC" w:rsidRPr="003B13B8">
        <w:rPr>
          <w:rFonts w:ascii="Calibri" w:hAnsi="Calibri" w:cs="Calibri"/>
          <w:lang w:val="en-US"/>
        </w:rPr>
        <w:t xml:space="preserve">n the application of different frameworks of </w:t>
      </w:r>
      <w:r w:rsidRPr="003B13B8">
        <w:rPr>
          <w:rFonts w:ascii="Calibri" w:hAnsi="Calibri" w:cs="Calibri"/>
        </w:rPr>
        <w:t>international</w:t>
      </w:r>
      <w:r w:rsidR="004874FC" w:rsidRPr="003B13B8">
        <w:rPr>
          <w:rFonts w:ascii="Calibri" w:hAnsi="Calibri" w:cs="Calibri"/>
          <w:lang w:val="en-US"/>
        </w:rPr>
        <w:t>/comparative law (consider submitting an information request through Equinet!)</w:t>
      </w:r>
    </w:p>
    <w:p w14:paraId="6ED87D3C" w14:textId="6669842E" w:rsidR="00310A72" w:rsidRPr="00310A72" w:rsidRDefault="002F08ED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Ensure your</w:t>
      </w:r>
      <w:r w:rsidR="00552B98" w:rsidRPr="003B13B8">
        <w:rPr>
          <w:rFonts w:ascii="Calibri" w:hAnsi="Calibri" w:cs="Calibri"/>
        </w:rPr>
        <w:t xml:space="preserve"> intervention </w:t>
      </w:r>
      <w:r>
        <w:rPr>
          <w:rFonts w:ascii="Calibri" w:hAnsi="Calibri" w:cs="Calibri"/>
          <w:lang w:val="en-US"/>
        </w:rPr>
        <w:t>has</w:t>
      </w:r>
      <w:r w:rsidR="00552B98" w:rsidRPr="003B13B8">
        <w:rPr>
          <w:rFonts w:ascii="Calibri" w:hAnsi="Calibri" w:cs="Calibri"/>
        </w:rPr>
        <w:t xml:space="preserve"> added value</w:t>
      </w:r>
      <w:r w:rsidR="002A205B">
        <w:rPr>
          <w:rFonts w:ascii="Calibri" w:hAnsi="Calibri" w:cs="Calibri"/>
        </w:rPr>
        <w:t>.</w:t>
      </w:r>
      <w:r w:rsidR="005E11C7">
        <w:rPr>
          <w:rFonts w:ascii="Calibri" w:hAnsi="Calibri" w:cs="Calibri"/>
        </w:rPr>
        <w:t xml:space="preserve"> </w:t>
      </w:r>
      <w:r w:rsidR="002A205B">
        <w:rPr>
          <w:rFonts w:ascii="Calibri" w:hAnsi="Calibri" w:cs="Calibri"/>
        </w:rPr>
        <w:t>Do</w:t>
      </w:r>
      <w:r w:rsidR="005E11C7">
        <w:rPr>
          <w:rFonts w:ascii="Calibri" w:hAnsi="Calibri" w:cs="Calibri"/>
        </w:rPr>
        <w:t xml:space="preserve"> not </w:t>
      </w:r>
      <w:r w:rsidR="00552B98" w:rsidRPr="003B13B8">
        <w:rPr>
          <w:rFonts w:ascii="Calibri" w:hAnsi="Calibri" w:cs="Calibri"/>
        </w:rPr>
        <w:t xml:space="preserve">just repeat </w:t>
      </w:r>
      <w:r w:rsidR="00146AE9">
        <w:rPr>
          <w:rFonts w:ascii="Calibri" w:hAnsi="Calibri" w:cs="Calibri"/>
        </w:rPr>
        <w:t xml:space="preserve">the legal arguments of the parties or </w:t>
      </w:r>
      <w:r w:rsidR="00552B98" w:rsidRPr="003B13B8">
        <w:rPr>
          <w:rFonts w:ascii="Calibri" w:hAnsi="Calibri" w:cs="Calibri"/>
        </w:rPr>
        <w:t>known facts</w:t>
      </w:r>
    </w:p>
    <w:p w14:paraId="4563B61F" w14:textId="50B061C2" w:rsidR="00C30F84" w:rsidRPr="00C30F84" w:rsidRDefault="00310A72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1772D6A3">
        <w:rPr>
          <w:rFonts w:ascii="Calibri" w:hAnsi="Calibri" w:cs="Calibri"/>
          <w:lang w:val="en-US"/>
        </w:rPr>
        <w:t xml:space="preserve">Assist the </w:t>
      </w:r>
      <w:r w:rsidR="006300B6" w:rsidRPr="1772D6A3">
        <w:rPr>
          <w:rFonts w:ascii="Calibri" w:hAnsi="Calibri" w:cs="Calibri"/>
          <w:lang w:val="en-US"/>
        </w:rPr>
        <w:t>c</w:t>
      </w:r>
      <w:r w:rsidRPr="1772D6A3">
        <w:rPr>
          <w:rFonts w:ascii="Calibri" w:hAnsi="Calibri" w:cs="Calibri"/>
          <w:lang w:val="en-US"/>
        </w:rPr>
        <w:t xml:space="preserve">ourt to make a decision </w:t>
      </w:r>
      <w:r w:rsidR="00146AE9" w:rsidRPr="1772D6A3">
        <w:rPr>
          <w:rFonts w:ascii="Calibri" w:hAnsi="Calibri" w:cs="Calibri"/>
        </w:rPr>
        <w:t>– be clear on the practical implications of your recommended outcome</w:t>
      </w:r>
      <w:r w:rsidR="7B6B015C" w:rsidRPr="1772D6A3">
        <w:rPr>
          <w:rFonts w:ascii="Calibri" w:hAnsi="Calibri" w:cs="Calibri"/>
        </w:rPr>
        <w:t xml:space="preserve"> and make sure that</w:t>
      </w:r>
      <w:r w:rsidR="00C30F84" w:rsidRPr="1772D6A3">
        <w:rPr>
          <w:rFonts w:ascii="Calibri" w:hAnsi="Calibri" w:cs="Calibri"/>
        </w:rPr>
        <w:t xml:space="preserve"> your submission and the arguments you bring </w:t>
      </w:r>
      <w:r w:rsidR="144916B9" w:rsidRPr="1772D6A3">
        <w:rPr>
          <w:rFonts w:ascii="Calibri" w:hAnsi="Calibri" w:cs="Calibri"/>
        </w:rPr>
        <w:t xml:space="preserve">are </w:t>
      </w:r>
      <w:r w:rsidR="00C30F84" w:rsidRPr="1772D6A3">
        <w:rPr>
          <w:rFonts w:ascii="Calibri" w:hAnsi="Calibri" w:cs="Calibri"/>
        </w:rPr>
        <w:t>clearly related to the specific case at hand</w:t>
      </w:r>
      <w:r w:rsidR="3DE493FF" w:rsidRPr="1772D6A3">
        <w:rPr>
          <w:rFonts w:ascii="Calibri" w:hAnsi="Calibri" w:cs="Calibri"/>
        </w:rPr>
        <w:t>. Consequently, y</w:t>
      </w:r>
      <w:r w:rsidR="00C30F84" w:rsidRPr="1772D6A3">
        <w:rPr>
          <w:rFonts w:ascii="Calibri" w:hAnsi="Calibri" w:cs="Calibri"/>
        </w:rPr>
        <w:t>ou should stay within the confines of the case as argued by the parties (unless the court expressly permits otherwise)</w:t>
      </w:r>
    </w:p>
    <w:p w14:paraId="07BAB52C" w14:textId="5A09C1FF" w:rsidR="00F97261" w:rsidRPr="003B13B8" w:rsidRDefault="00F97261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Intervene in the name of equality and human rights</w:t>
      </w:r>
    </w:p>
    <w:p w14:paraId="5BC712C4" w14:textId="7EA7309C" w:rsidR="00B52674" w:rsidRPr="00D978E2" w:rsidRDefault="0014761F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Add information related to legal interpretation and real-life or contextual information</w:t>
      </w:r>
    </w:p>
    <w:p w14:paraId="398301DE" w14:textId="35D5E232" w:rsidR="00D978E2" w:rsidRPr="003B13B8" w:rsidRDefault="00D978E2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Adapt the content and the way it is presented to the </w:t>
      </w:r>
      <w:r w:rsidR="00A40BAA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>ourt</w:t>
      </w:r>
    </w:p>
    <w:p w14:paraId="45273D4B" w14:textId="77777777" w:rsidR="00E12DEC" w:rsidRPr="003B13B8" w:rsidRDefault="00E12DEC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 w:rsidRPr="003B13B8">
        <w:rPr>
          <w:rFonts w:ascii="Calibri" w:hAnsi="Calibri" w:cs="Calibri"/>
        </w:rPr>
        <w:t xml:space="preserve">Consider and include questions asked by the court (if applicable) </w:t>
      </w:r>
    </w:p>
    <w:p w14:paraId="00A08473" w14:textId="4B4A3D42" w:rsidR="00E12DEC" w:rsidRPr="003B13B8" w:rsidRDefault="00675362" w:rsidP="00115AAB">
      <w:pPr>
        <w:pStyle w:val="ListParagraph"/>
        <w:numPr>
          <w:ilvl w:val="0"/>
          <w:numId w:val="51"/>
        </w:numPr>
        <w:spacing w:before="120" w:after="120" w:line="276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Consider coordinating</w:t>
      </w:r>
      <w:r w:rsidR="00E12DEC" w:rsidRPr="003B13B8">
        <w:rPr>
          <w:rFonts w:ascii="Calibri" w:hAnsi="Calibri" w:cs="Calibri"/>
        </w:rPr>
        <w:t xml:space="preserve"> with other interveners to make sure that interventions complement each other</w:t>
      </w:r>
    </w:p>
    <w:p w14:paraId="1EAB591A" w14:textId="77777777" w:rsidR="009E068B" w:rsidRPr="009E068B" w:rsidRDefault="009E068B" w:rsidP="00115AAB">
      <w:pPr>
        <w:pStyle w:val="Heading2"/>
        <w:jc w:val="left"/>
      </w:pPr>
      <w:bookmarkStart w:id="8" w:name="_Toc169273245"/>
      <w:r w:rsidRPr="009E068B">
        <w:t>Do not</w:t>
      </w:r>
      <w:bookmarkEnd w:id="8"/>
    </w:p>
    <w:p w14:paraId="644BF0E3" w14:textId="583593A2" w:rsidR="009E068B" w:rsidRPr="003C69EF" w:rsidRDefault="005422A0" w:rsidP="00115AAB">
      <w:pPr>
        <w:pStyle w:val="ListParagraph"/>
        <w:numPr>
          <w:ilvl w:val="0"/>
          <w:numId w:val="54"/>
        </w:numPr>
        <w:spacing w:before="120" w:after="120" w:line="276" w:lineRule="auto"/>
        <w:rPr>
          <w:rFonts w:ascii="Calibri" w:hAnsi="Calibri" w:cs="Calibri"/>
        </w:rPr>
      </w:pPr>
      <w:r w:rsidRPr="003C69EF">
        <w:rPr>
          <w:rFonts w:ascii="Calibri" w:hAnsi="Calibri" w:cs="Calibri"/>
        </w:rPr>
        <w:t>B</w:t>
      </w:r>
      <w:r w:rsidR="009E068B" w:rsidRPr="003C69EF">
        <w:rPr>
          <w:rFonts w:ascii="Calibri" w:hAnsi="Calibri" w:cs="Calibri"/>
        </w:rPr>
        <w:t xml:space="preserve">ring </w:t>
      </w:r>
      <w:r w:rsidR="00DE1D6B" w:rsidRPr="003C69EF">
        <w:rPr>
          <w:rFonts w:ascii="Calibri" w:hAnsi="Calibri" w:cs="Calibri"/>
          <w:lang w:val="en-US"/>
        </w:rPr>
        <w:t xml:space="preserve">irrelevant </w:t>
      </w:r>
      <w:r w:rsidR="009E068B" w:rsidRPr="003C69EF">
        <w:rPr>
          <w:rFonts w:ascii="Calibri" w:hAnsi="Calibri" w:cs="Calibri"/>
        </w:rPr>
        <w:t>legal arguments</w:t>
      </w:r>
      <w:r w:rsidR="0068599F" w:rsidRPr="003C69EF">
        <w:rPr>
          <w:rFonts w:ascii="Calibri" w:hAnsi="Calibri" w:cs="Calibri"/>
        </w:rPr>
        <w:t xml:space="preserve"> </w:t>
      </w:r>
      <w:r w:rsidR="003C50BB" w:rsidRPr="003C69EF">
        <w:rPr>
          <w:rFonts w:ascii="Calibri" w:hAnsi="Calibri" w:cs="Calibri"/>
        </w:rPr>
        <w:t xml:space="preserve">(even new legal arguments in some </w:t>
      </w:r>
      <w:r w:rsidR="00F57207" w:rsidRPr="003C69EF">
        <w:rPr>
          <w:rFonts w:ascii="Calibri" w:hAnsi="Calibri" w:cs="Calibri"/>
        </w:rPr>
        <w:t xml:space="preserve">legal </w:t>
      </w:r>
      <w:r w:rsidR="000C7971" w:rsidRPr="003C69EF">
        <w:rPr>
          <w:rFonts w:ascii="Calibri" w:hAnsi="Calibri" w:cs="Calibri"/>
        </w:rPr>
        <w:t>traditions</w:t>
      </w:r>
      <w:r w:rsidR="00F57207" w:rsidRPr="003C69EF">
        <w:rPr>
          <w:rFonts w:ascii="Calibri" w:hAnsi="Calibri" w:cs="Calibri"/>
        </w:rPr>
        <w:t xml:space="preserve">) </w:t>
      </w:r>
      <w:r w:rsidR="0068599F" w:rsidRPr="003C69EF">
        <w:rPr>
          <w:rFonts w:ascii="Calibri" w:hAnsi="Calibri" w:cs="Calibri"/>
        </w:rPr>
        <w:t>or arguments that are too general</w:t>
      </w:r>
    </w:p>
    <w:p w14:paraId="4AC5AEC7" w14:textId="3C9D33DC" w:rsidR="003D745A" w:rsidRPr="00D240CA" w:rsidRDefault="003D745A" w:rsidP="00115AAB">
      <w:pPr>
        <w:pStyle w:val="ListParagraph"/>
        <w:numPr>
          <w:ilvl w:val="0"/>
          <w:numId w:val="54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Clearly side with one of the parties</w:t>
      </w:r>
    </w:p>
    <w:p w14:paraId="50651160" w14:textId="6E801688" w:rsidR="009E068B" w:rsidRPr="00D240CA" w:rsidRDefault="005422A0" w:rsidP="00115AAB">
      <w:pPr>
        <w:pStyle w:val="ListParagraph"/>
        <w:numPr>
          <w:ilvl w:val="0"/>
          <w:numId w:val="54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>L</w:t>
      </w:r>
      <w:r w:rsidR="009E068B" w:rsidRPr="00D240CA">
        <w:rPr>
          <w:rFonts w:ascii="Calibri" w:hAnsi="Calibri" w:cs="Calibri"/>
        </w:rPr>
        <w:t>odge evidence</w:t>
      </w:r>
    </w:p>
    <w:p w14:paraId="3C18DC95" w14:textId="077BA4E9" w:rsidR="009E068B" w:rsidRPr="00D240CA" w:rsidRDefault="00B52674" w:rsidP="00115AAB">
      <w:pPr>
        <w:pStyle w:val="ListParagraph"/>
        <w:numPr>
          <w:ilvl w:val="0"/>
          <w:numId w:val="54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 xml:space="preserve">Rely on </w:t>
      </w:r>
      <w:r w:rsidR="00E12DEC" w:rsidRPr="00D240CA">
        <w:rPr>
          <w:rFonts w:ascii="Calibri" w:hAnsi="Calibri" w:cs="Calibri"/>
        </w:rPr>
        <w:t xml:space="preserve">theoretical or ethical arguments that are not backed by data </w:t>
      </w:r>
    </w:p>
    <w:p w14:paraId="79F22999" w14:textId="6C375A8C" w:rsidR="0022413C" w:rsidRPr="00006FBF" w:rsidRDefault="0022413C" w:rsidP="00115AAB">
      <w:pPr>
        <w:pStyle w:val="Heading1"/>
        <w:jc w:val="left"/>
      </w:pPr>
      <w:bookmarkStart w:id="9" w:name="_Toc169273246"/>
      <w:r w:rsidRPr="00443E8E">
        <w:t>Post</w:t>
      </w:r>
      <w:r w:rsidRPr="00006FBF">
        <w:t xml:space="preserve"> judgement</w:t>
      </w:r>
      <w:bookmarkEnd w:id="9"/>
    </w:p>
    <w:p w14:paraId="7B85BCA8" w14:textId="18D6FBF0" w:rsidR="0022413C" w:rsidRPr="00D240CA" w:rsidRDefault="00173916" w:rsidP="00115AAB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7A6D74">
        <w:rPr>
          <w:rStyle w:val="Emphasis"/>
        </w:rPr>
        <w:t>Publishing</w:t>
      </w:r>
      <w:r w:rsidRPr="00D240CA">
        <w:rPr>
          <w:rFonts w:ascii="Calibri" w:hAnsi="Calibri" w:cs="Calibri"/>
        </w:rPr>
        <w:t xml:space="preserve"> interventions maximises the impact beyond the individual case and </w:t>
      </w:r>
      <w:r w:rsidR="0022413C" w:rsidRPr="00D240CA">
        <w:rPr>
          <w:rFonts w:ascii="Calibri" w:hAnsi="Calibri" w:cs="Calibri"/>
        </w:rPr>
        <w:t>increase</w:t>
      </w:r>
      <w:r w:rsidRPr="00D240CA">
        <w:rPr>
          <w:rFonts w:ascii="Calibri" w:hAnsi="Calibri" w:cs="Calibri"/>
        </w:rPr>
        <w:t>s the</w:t>
      </w:r>
      <w:r w:rsidR="0022413C" w:rsidRPr="00D240CA">
        <w:rPr>
          <w:rFonts w:ascii="Calibri" w:hAnsi="Calibri" w:cs="Calibri"/>
        </w:rPr>
        <w:t xml:space="preserve"> visibility of your work</w:t>
      </w:r>
      <w:r w:rsidR="009144F0">
        <w:rPr>
          <w:rFonts w:ascii="Calibri" w:hAnsi="Calibri" w:cs="Calibri"/>
        </w:rPr>
        <w:t>, apart from</w:t>
      </w:r>
      <w:r w:rsidR="001F3FBE" w:rsidRPr="00D240CA">
        <w:rPr>
          <w:rFonts w:ascii="Calibri" w:hAnsi="Calibri" w:cs="Calibri"/>
        </w:rPr>
        <w:t xml:space="preserve"> act</w:t>
      </w:r>
      <w:r w:rsidR="009144F0">
        <w:rPr>
          <w:rFonts w:ascii="Calibri" w:hAnsi="Calibri" w:cs="Calibri"/>
        </w:rPr>
        <w:t>ing</w:t>
      </w:r>
      <w:r w:rsidR="001F3FBE" w:rsidRPr="00D240CA">
        <w:rPr>
          <w:rFonts w:ascii="Calibri" w:hAnsi="Calibri" w:cs="Calibri"/>
        </w:rPr>
        <w:t xml:space="preserve"> as a basis for future progress in the law</w:t>
      </w:r>
    </w:p>
    <w:p w14:paraId="42EAEFD6" w14:textId="6E286E49" w:rsidR="00C95E02" w:rsidRPr="00D240CA" w:rsidRDefault="001F3FBE" w:rsidP="00115AAB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 xml:space="preserve">Have a clear </w:t>
      </w:r>
      <w:r w:rsidRPr="007A6D74">
        <w:rPr>
          <w:rStyle w:val="Emphasis"/>
        </w:rPr>
        <w:t>communications</w:t>
      </w:r>
      <w:r w:rsidRPr="00D240CA">
        <w:rPr>
          <w:rFonts w:ascii="Calibri" w:hAnsi="Calibri" w:cs="Calibri"/>
        </w:rPr>
        <w:t xml:space="preserve"> strategy in place</w:t>
      </w:r>
      <w:r w:rsidR="00AF650F">
        <w:rPr>
          <w:rFonts w:ascii="Calibri" w:hAnsi="Calibri" w:cs="Calibri"/>
        </w:rPr>
        <w:t>, including a press release that should be sh</w:t>
      </w:r>
      <w:r w:rsidR="0009733D">
        <w:rPr>
          <w:rFonts w:ascii="Calibri" w:hAnsi="Calibri" w:cs="Calibri"/>
        </w:rPr>
        <w:t>a</w:t>
      </w:r>
      <w:r w:rsidR="00AF650F">
        <w:rPr>
          <w:rFonts w:ascii="Calibri" w:hAnsi="Calibri" w:cs="Calibri"/>
        </w:rPr>
        <w:t>red within 24 h</w:t>
      </w:r>
      <w:r w:rsidR="0009733D">
        <w:rPr>
          <w:rFonts w:ascii="Calibri" w:hAnsi="Calibri" w:cs="Calibri"/>
        </w:rPr>
        <w:t>ours</w:t>
      </w:r>
      <w:r w:rsidR="00AF650F">
        <w:rPr>
          <w:rFonts w:ascii="Calibri" w:hAnsi="Calibri" w:cs="Calibri"/>
        </w:rPr>
        <w:t xml:space="preserve"> from the judgment</w:t>
      </w:r>
      <w:r w:rsidR="007F2BC7" w:rsidRPr="00D240CA">
        <w:rPr>
          <w:rFonts w:ascii="Calibri" w:hAnsi="Calibri" w:cs="Calibri"/>
        </w:rPr>
        <w:t xml:space="preserve"> </w:t>
      </w:r>
    </w:p>
    <w:p w14:paraId="0FE3BDC6" w14:textId="14272848" w:rsidR="00465B6B" w:rsidRPr="00D240CA" w:rsidRDefault="003D0E10" w:rsidP="00115AAB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rPr>
          <w:rFonts w:ascii="Calibri" w:hAnsi="Calibri" w:cs="Calibri"/>
          <w:lang w:val="en-US"/>
        </w:rPr>
      </w:pPr>
      <w:r w:rsidRPr="00D240CA">
        <w:rPr>
          <w:rFonts w:ascii="Calibri" w:hAnsi="Calibri" w:cs="Calibri"/>
        </w:rPr>
        <w:t xml:space="preserve">Consider </w:t>
      </w:r>
      <w:r w:rsidR="003F6361">
        <w:rPr>
          <w:rFonts w:ascii="Calibri" w:hAnsi="Calibri" w:cs="Calibri"/>
        </w:rPr>
        <w:t xml:space="preserve">the </w:t>
      </w:r>
      <w:r w:rsidRPr="00D240CA">
        <w:rPr>
          <w:rFonts w:ascii="Calibri" w:hAnsi="Calibri" w:cs="Calibri"/>
        </w:rPr>
        <w:t>added value in continuing with a certain case</w:t>
      </w:r>
      <w:r w:rsidR="00465B6B" w:rsidRPr="00D240CA">
        <w:rPr>
          <w:rFonts w:ascii="Calibri" w:hAnsi="Calibri" w:cs="Calibri"/>
        </w:rPr>
        <w:t xml:space="preserve"> </w:t>
      </w:r>
      <w:r w:rsidR="006318D6" w:rsidRPr="00D240CA">
        <w:rPr>
          <w:rFonts w:ascii="Calibri" w:hAnsi="Calibri" w:cs="Calibri"/>
          <w:lang w:val="en-US"/>
        </w:rPr>
        <w:t>should it be appeale</w:t>
      </w:r>
      <w:r w:rsidR="00907DCF" w:rsidRPr="00D240CA">
        <w:rPr>
          <w:rFonts w:ascii="Calibri" w:hAnsi="Calibri" w:cs="Calibri"/>
          <w:lang w:val="en-US"/>
        </w:rPr>
        <w:t>d</w:t>
      </w:r>
    </w:p>
    <w:p w14:paraId="0A1820E7" w14:textId="143F824D" w:rsidR="00465B6B" w:rsidRPr="00006FBF" w:rsidRDefault="00465B6B" w:rsidP="00115AAB">
      <w:pPr>
        <w:pStyle w:val="Heading1"/>
        <w:jc w:val="left"/>
      </w:pPr>
      <w:bookmarkStart w:id="10" w:name="_Toc169273247"/>
      <w:r w:rsidRPr="00006FBF">
        <w:lastRenderedPageBreak/>
        <w:t xml:space="preserve">Special case: </w:t>
      </w:r>
      <w:r>
        <w:t xml:space="preserve">Defending </w:t>
      </w:r>
      <w:r w:rsidR="001C177B">
        <w:t>a</w:t>
      </w:r>
      <w:r>
        <w:t xml:space="preserve">dvice submitted to </w:t>
      </w:r>
      <w:r w:rsidR="001C177B">
        <w:t>c</w:t>
      </w:r>
      <w:r>
        <w:t xml:space="preserve">ourts orally at </w:t>
      </w:r>
      <w:r w:rsidR="001C177B">
        <w:t>c</w:t>
      </w:r>
      <w:r w:rsidRPr="00006FBF">
        <w:t>ourt</w:t>
      </w:r>
      <w:bookmarkEnd w:id="10"/>
    </w:p>
    <w:p w14:paraId="5AB2EB2C" w14:textId="6DC24A1B" w:rsidR="00465B6B" w:rsidRPr="00006FBF" w:rsidRDefault="00465B6B" w:rsidP="00115AAB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Most of the time</w:t>
      </w:r>
      <w:r w:rsidR="00CA0BE7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interventions are submitted in writing. Nonetheless, the E</w:t>
      </w:r>
      <w:r w:rsidR="00CA0BE7">
        <w:rPr>
          <w:rFonts w:ascii="Calibri" w:hAnsi="Calibri" w:cs="Calibri"/>
          <w:lang w:val="en-US"/>
        </w:rPr>
        <w:t>quality Body</w:t>
      </w:r>
      <w:r>
        <w:rPr>
          <w:rFonts w:ascii="Calibri" w:hAnsi="Calibri" w:cs="Calibri"/>
          <w:lang w:val="en-US"/>
        </w:rPr>
        <w:t xml:space="preserve"> may have an interest/be invited by the </w:t>
      </w:r>
      <w:r w:rsidR="002C442F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>ourt to p</w:t>
      </w:r>
      <w:r w:rsidRPr="00006FBF">
        <w:rPr>
          <w:rFonts w:ascii="Calibri" w:hAnsi="Calibri" w:cs="Calibri"/>
        </w:rPr>
        <w:t>resent interventions orally in court</w:t>
      </w:r>
      <w:r w:rsidR="00D90B65">
        <w:rPr>
          <w:rFonts w:ascii="Calibri" w:hAnsi="Calibri" w:cs="Calibri"/>
        </w:rPr>
        <w:t>. This</w:t>
      </w:r>
      <w:r w:rsidRPr="00006FBF">
        <w:rPr>
          <w:rFonts w:ascii="Calibri" w:hAnsi="Calibri" w:cs="Calibri"/>
        </w:rPr>
        <w:t xml:space="preserve"> can be an important factor in boosting the intervention. </w:t>
      </w:r>
      <w:r>
        <w:rPr>
          <w:rFonts w:ascii="Calibri" w:hAnsi="Calibri" w:cs="Calibri"/>
          <w:lang w:val="en-US"/>
        </w:rPr>
        <w:t xml:space="preserve">It </w:t>
      </w:r>
      <w:r w:rsidRPr="00006FBF">
        <w:rPr>
          <w:rFonts w:ascii="Calibri" w:hAnsi="Calibri" w:cs="Calibri"/>
        </w:rPr>
        <w:t xml:space="preserve">is </w:t>
      </w:r>
      <w:r w:rsidR="008C349B">
        <w:rPr>
          <w:rFonts w:ascii="Calibri" w:hAnsi="Calibri" w:cs="Calibri"/>
        </w:rPr>
        <w:t xml:space="preserve">therefore </w:t>
      </w:r>
      <w:r w:rsidRPr="00006FBF">
        <w:rPr>
          <w:rFonts w:ascii="Calibri" w:hAnsi="Calibri" w:cs="Calibri"/>
        </w:rPr>
        <w:t>important to keep in mind:</w:t>
      </w:r>
    </w:p>
    <w:p w14:paraId="55C7D8BB" w14:textId="36BF089B" w:rsidR="00877538" w:rsidRDefault="00877538" w:rsidP="00115AAB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Added value of an oral intervention</w:t>
      </w:r>
    </w:p>
    <w:p w14:paraId="7B12513F" w14:textId="16ACC88D" w:rsidR="00465B6B" w:rsidRDefault="00465B6B" w:rsidP="00115AAB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legislation regarding who can intervene orally </w:t>
      </w:r>
      <w:r w:rsidR="009F6A3E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6300B6">
        <w:rPr>
          <w:rFonts w:ascii="Calibri" w:hAnsi="Calibri" w:cs="Calibri"/>
        </w:rPr>
        <w:t>c</w:t>
      </w:r>
      <w:r>
        <w:rPr>
          <w:rFonts w:ascii="Calibri" w:hAnsi="Calibri" w:cs="Calibri"/>
        </w:rPr>
        <w:t>ourt</w:t>
      </w:r>
    </w:p>
    <w:p w14:paraId="04BA85D6" w14:textId="53861FA5" w:rsidR="00FA6DDC" w:rsidRPr="00FA6DDC" w:rsidRDefault="00FA6DDC" w:rsidP="00115AAB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The speaking order and time, considering that interveners often get little time to speak</w:t>
      </w:r>
      <w:r>
        <w:rPr>
          <w:rFonts w:ascii="Calibri" w:hAnsi="Calibri" w:cs="Calibri"/>
        </w:rPr>
        <w:t>. The Equality Body may wish to avoid a speaking order that suggests they are intervening on the side of one of the parties (e.g. speaking right after the claimant and before the defendant)</w:t>
      </w:r>
    </w:p>
    <w:p w14:paraId="08C3D9BF" w14:textId="650F1BAA" w:rsidR="00465B6B" w:rsidRPr="00006FBF" w:rsidRDefault="00465B6B" w:rsidP="00115AAB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How to deal with a change in the direction of the case</w:t>
      </w:r>
      <w:r w:rsidR="004E640A">
        <w:rPr>
          <w:rFonts w:ascii="Calibri" w:hAnsi="Calibri" w:cs="Calibri"/>
        </w:rPr>
        <w:t xml:space="preserve"> that happens during the oral hearing</w:t>
      </w:r>
    </w:p>
    <w:p w14:paraId="5C85319A" w14:textId="77777777" w:rsidR="00465B6B" w:rsidRPr="00006FBF" w:rsidRDefault="00465B6B" w:rsidP="00115AAB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How to deal with questions from the court</w:t>
      </w:r>
    </w:p>
    <w:p w14:paraId="7CCCCA24" w14:textId="11155262" w:rsidR="00465B6B" w:rsidRPr="00006FBF" w:rsidRDefault="004E782A" w:rsidP="00115AAB">
      <w:pPr>
        <w:pStyle w:val="ListParagraph"/>
        <w:numPr>
          <w:ilvl w:val="1"/>
          <w:numId w:val="25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Consider guidance </w:t>
      </w:r>
      <w:r w:rsidR="00071B95">
        <w:rPr>
          <w:rFonts w:ascii="Calibri" w:hAnsi="Calibri" w:cs="Calibri"/>
          <w:lang w:val="en-US"/>
        </w:rPr>
        <w:t xml:space="preserve">delivered </w:t>
      </w:r>
      <w:r>
        <w:rPr>
          <w:rFonts w:ascii="Calibri" w:hAnsi="Calibri" w:cs="Calibri"/>
          <w:lang w:val="en-US"/>
        </w:rPr>
        <w:t xml:space="preserve">by the </w:t>
      </w:r>
      <w:r w:rsidR="006300B6"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  <w:lang w:val="en-US"/>
        </w:rPr>
        <w:t xml:space="preserve">ourt </w:t>
      </w:r>
      <w:r w:rsidR="00465B6B" w:rsidRPr="00006FBF">
        <w:rPr>
          <w:rFonts w:ascii="Calibri" w:hAnsi="Calibri" w:cs="Calibri"/>
        </w:rPr>
        <w:t>prior to the intervention</w:t>
      </w:r>
    </w:p>
    <w:p w14:paraId="4FB55167" w14:textId="7B83957E" w:rsidR="003D0E10" w:rsidRDefault="00465B6B" w:rsidP="00115AAB">
      <w:pPr>
        <w:pStyle w:val="ListParagraph"/>
        <w:numPr>
          <w:ilvl w:val="1"/>
          <w:numId w:val="25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Make sure that in replying to questions, you do not accidentally contradict prior positions</w:t>
      </w:r>
    </w:p>
    <w:p w14:paraId="3DE91559" w14:textId="4963BF55" w:rsidR="000A3686" w:rsidRPr="00036D32" w:rsidRDefault="000A3686" w:rsidP="00115AAB">
      <w:pPr>
        <w:pStyle w:val="ListParagraph"/>
        <w:numPr>
          <w:ilvl w:val="1"/>
          <w:numId w:val="25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Prepare for the unexpected</w:t>
      </w:r>
      <w:r w:rsidR="00FA6DD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Try to predict different directions the hearing may take</w:t>
      </w:r>
      <w:r w:rsidR="002B397A">
        <w:rPr>
          <w:rFonts w:ascii="Calibri" w:hAnsi="Calibri" w:cs="Calibri"/>
        </w:rPr>
        <w:t xml:space="preserve"> to minimise the need for </w:t>
      </w:r>
      <w:r w:rsidR="001D0303">
        <w:rPr>
          <w:rFonts w:ascii="Calibri" w:hAnsi="Calibri" w:cs="Calibri"/>
        </w:rPr>
        <w:t>improvisation</w:t>
      </w:r>
    </w:p>
    <w:p w14:paraId="3B12A427" w14:textId="03ACFDCA" w:rsidR="00197990" w:rsidRPr="008C7D90" w:rsidRDefault="00197990" w:rsidP="00115AAB">
      <w:pPr>
        <w:pStyle w:val="Heading1"/>
        <w:jc w:val="left"/>
      </w:pPr>
      <w:bookmarkStart w:id="11" w:name="_Toc169273248"/>
      <w:r w:rsidRPr="00006FBF">
        <w:t xml:space="preserve">Special case: Amicus </w:t>
      </w:r>
      <w:r w:rsidR="00FA6DDC">
        <w:t>C</w:t>
      </w:r>
      <w:r w:rsidRPr="00006FBF">
        <w:t>uriae in front of the European Court of Human Rights</w:t>
      </w:r>
      <w:bookmarkEnd w:id="11"/>
    </w:p>
    <w:p w14:paraId="024F1D54" w14:textId="298828F2" w:rsidR="00927245" w:rsidRDefault="00927245" w:rsidP="00115AAB">
      <w:pPr>
        <w:pStyle w:val="Heading2"/>
        <w:jc w:val="left"/>
      </w:pPr>
      <w:bookmarkStart w:id="12" w:name="_Toc169273249"/>
      <w:r>
        <w:t>Amicus curiae</w:t>
      </w:r>
      <w:bookmarkEnd w:id="12"/>
    </w:p>
    <w:p w14:paraId="1979D80C" w14:textId="429934B3" w:rsidR="005455B1" w:rsidRDefault="005455B1" w:rsidP="00115AAB">
      <w:pPr>
        <w:spacing w:before="120" w:after="120" w:line="276" w:lineRule="auto"/>
      </w:pPr>
      <w:r>
        <w:t>As an Equality Body</w:t>
      </w:r>
      <w:r w:rsidR="000934A8">
        <w:t>,</w:t>
      </w:r>
      <w:r>
        <w:t xml:space="preserve"> you do not have to be granted intervening powers or legal standing at the national level to submit an intervention to the EC</w:t>
      </w:r>
      <w:r w:rsidR="009144F0">
        <w:t>t</w:t>
      </w:r>
      <w:r>
        <w:t xml:space="preserve">HR. </w:t>
      </w:r>
    </w:p>
    <w:p w14:paraId="31C199AC" w14:textId="536D0C33" w:rsidR="00FD662B" w:rsidRPr="007A6D74" w:rsidRDefault="00FD662B" w:rsidP="00115AAB">
      <w:pPr>
        <w:spacing w:before="120" w:after="120" w:line="276" w:lineRule="auto"/>
        <w:rPr>
          <w:rStyle w:val="Emphasis"/>
        </w:rPr>
      </w:pPr>
      <w:r w:rsidRPr="007A6D74">
        <w:rPr>
          <w:rStyle w:val="Emphasis"/>
        </w:rPr>
        <w:t>Timeline</w:t>
      </w:r>
    </w:p>
    <w:p w14:paraId="06E2B6F5" w14:textId="77A3FCE5" w:rsidR="00FD662B" w:rsidRPr="00D240CA" w:rsidRDefault="00FD662B" w:rsidP="00115AAB">
      <w:pPr>
        <w:pStyle w:val="ListParagraph"/>
        <w:numPr>
          <w:ilvl w:val="0"/>
          <w:numId w:val="2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>The deadline for the request to intervene is 12 weeks after the communication of the case</w:t>
      </w:r>
    </w:p>
    <w:p w14:paraId="03257FCA" w14:textId="0AC278A9" w:rsidR="00FD662B" w:rsidRPr="00D240CA" w:rsidRDefault="00FD662B" w:rsidP="00115AAB">
      <w:pPr>
        <w:pStyle w:val="ListParagraph"/>
        <w:numPr>
          <w:ilvl w:val="0"/>
          <w:numId w:val="2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 xml:space="preserve">The deadline to draft the submission is </w:t>
      </w:r>
      <w:r w:rsidR="002E5C46">
        <w:rPr>
          <w:rFonts w:ascii="Calibri" w:hAnsi="Calibri" w:cs="Calibri"/>
        </w:rPr>
        <w:t xml:space="preserve">typically </w:t>
      </w:r>
      <w:r w:rsidRPr="00D240CA">
        <w:rPr>
          <w:rFonts w:ascii="Calibri" w:hAnsi="Calibri" w:cs="Calibri"/>
        </w:rPr>
        <w:t xml:space="preserve">3 weeks after the request </w:t>
      </w:r>
      <w:r w:rsidR="0068313D">
        <w:rPr>
          <w:rFonts w:ascii="Calibri" w:hAnsi="Calibri" w:cs="Calibri"/>
        </w:rPr>
        <w:t>is</w:t>
      </w:r>
      <w:r w:rsidRPr="00D240CA">
        <w:rPr>
          <w:rFonts w:ascii="Calibri" w:hAnsi="Calibri" w:cs="Calibri"/>
        </w:rPr>
        <w:t xml:space="preserve"> granted</w:t>
      </w:r>
    </w:p>
    <w:p w14:paraId="210AC439" w14:textId="16606E3E" w:rsidR="000575F6" w:rsidRPr="00D240CA" w:rsidRDefault="000575F6" w:rsidP="00115AAB">
      <w:pPr>
        <w:pStyle w:val="ListParagraph"/>
        <w:numPr>
          <w:ilvl w:val="0"/>
          <w:numId w:val="26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>It is possible to ask for more time</w:t>
      </w:r>
      <w:r w:rsidR="00344596">
        <w:rPr>
          <w:rFonts w:ascii="Calibri" w:hAnsi="Calibri" w:cs="Calibri"/>
        </w:rPr>
        <w:t>,</w:t>
      </w:r>
      <w:r w:rsidRPr="00D240CA">
        <w:rPr>
          <w:rFonts w:ascii="Calibri" w:hAnsi="Calibri" w:cs="Calibri"/>
        </w:rPr>
        <w:t xml:space="preserve"> however, </w:t>
      </w:r>
      <w:r w:rsidR="00445340" w:rsidRPr="00D240CA">
        <w:rPr>
          <w:rFonts w:ascii="Calibri" w:hAnsi="Calibri" w:cs="Calibri"/>
        </w:rPr>
        <w:t>the decision on this lies under the discretion of the Court</w:t>
      </w:r>
    </w:p>
    <w:p w14:paraId="312927B2" w14:textId="314BAA02" w:rsidR="00445340" w:rsidRPr="00D240CA" w:rsidRDefault="00445340" w:rsidP="00115AAB">
      <w:pPr>
        <w:spacing w:before="120" w:after="120" w:line="276" w:lineRule="auto"/>
        <w:rPr>
          <w:rFonts w:ascii="Calibri" w:hAnsi="Calibri" w:cs="Calibri"/>
        </w:rPr>
      </w:pPr>
      <w:r w:rsidRPr="007A6D74">
        <w:rPr>
          <w:rStyle w:val="Emphasis"/>
        </w:rPr>
        <w:t>Language</w:t>
      </w:r>
      <w:r w:rsidR="00003308" w:rsidRPr="005332FA">
        <w:rPr>
          <w:rFonts w:ascii="Calibri" w:hAnsi="Calibri" w:cs="Calibri"/>
        </w:rPr>
        <w:t>:</w:t>
      </w:r>
      <w:r w:rsidR="00003308" w:rsidRPr="00D240CA">
        <w:rPr>
          <w:rFonts w:ascii="Calibri" w:hAnsi="Calibri" w:cs="Calibri"/>
        </w:rPr>
        <w:t xml:space="preserve"> </w:t>
      </w:r>
      <w:r w:rsidRPr="00D240CA">
        <w:rPr>
          <w:rFonts w:ascii="Calibri" w:hAnsi="Calibri" w:cs="Calibri"/>
        </w:rPr>
        <w:t>English or French</w:t>
      </w:r>
    </w:p>
    <w:p w14:paraId="57BC1C7C" w14:textId="124449B7" w:rsidR="00445340" w:rsidRPr="00D240CA" w:rsidRDefault="00511260" w:rsidP="00115AAB">
      <w:pPr>
        <w:spacing w:before="120" w:after="120" w:line="276" w:lineRule="auto"/>
        <w:rPr>
          <w:rFonts w:ascii="Calibri" w:hAnsi="Calibri" w:cs="Calibri"/>
        </w:rPr>
      </w:pPr>
      <w:r w:rsidRPr="007A6D74">
        <w:rPr>
          <w:rStyle w:val="Emphasis"/>
        </w:rPr>
        <w:t>Length</w:t>
      </w:r>
      <w:r w:rsidR="00AF2BCB" w:rsidRPr="005332FA">
        <w:rPr>
          <w:rFonts w:ascii="Calibri" w:hAnsi="Calibri" w:cs="Calibri"/>
        </w:rPr>
        <w:t>:</w:t>
      </w:r>
      <w:r w:rsidR="00AF2BCB" w:rsidRPr="00D240CA">
        <w:rPr>
          <w:rFonts w:ascii="Calibri" w:hAnsi="Calibri" w:cs="Calibri"/>
        </w:rPr>
        <w:t xml:space="preserve"> M</w:t>
      </w:r>
      <w:r w:rsidR="006437AE" w:rsidRPr="00D240CA">
        <w:rPr>
          <w:rFonts w:ascii="Calibri" w:hAnsi="Calibri" w:cs="Calibri"/>
        </w:rPr>
        <w:t>aximum 10 pages, excluding annexes</w:t>
      </w:r>
      <w:r w:rsidR="008A4121">
        <w:rPr>
          <w:rFonts w:ascii="Calibri" w:hAnsi="Calibri" w:cs="Calibri"/>
        </w:rPr>
        <w:t xml:space="preserve"> </w:t>
      </w:r>
      <w:r w:rsidR="00AF2BCB" w:rsidRPr="00D240CA">
        <w:rPr>
          <w:rFonts w:ascii="Calibri" w:hAnsi="Calibri" w:cs="Calibri"/>
        </w:rPr>
        <w:t>(</w:t>
      </w:r>
      <w:r w:rsidR="008A4121">
        <w:rPr>
          <w:rFonts w:ascii="Calibri" w:hAnsi="Calibri" w:cs="Calibri"/>
        </w:rPr>
        <w:t xml:space="preserve">use </w:t>
      </w:r>
      <w:r w:rsidR="00AF2BCB" w:rsidRPr="00D240CA">
        <w:rPr>
          <w:rFonts w:ascii="Calibri" w:hAnsi="Calibri" w:cs="Calibri"/>
        </w:rPr>
        <w:t>endnotes instead of footnotes</w:t>
      </w:r>
      <w:r w:rsidR="008A4121">
        <w:rPr>
          <w:rFonts w:ascii="Calibri" w:hAnsi="Calibri" w:cs="Calibri"/>
        </w:rPr>
        <w:t>!</w:t>
      </w:r>
      <w:r w:rsidRPr="00D240CA">
        <w:rPr>
          <w:rFonts w:ascii="Calibri" w:hAnsi="Calibri" w:cs="Calibri"/>
        </w:rPr>
        <w:t>)</w:t>
      </w:r>
    </w:p>
    <w:p w14:paraId="4BA84215" w14:textId="2A85FCFC" w:rsidR="006437AE" w:rsidRPr="007A6D74" w:rsidRDefault="006437AE" w:rsidP="00115AAB">
      <w:pPr>
        <w:spacing w:before="120" w:after="120" w:line="276" w:lineRule="auto"/>
        <w:rPr>
          <w:rStyle w:val="Emphasis"/>
        </w:rPr>
      </w:pPr>
      <w:r w:rsidRPr="007A6D74">
        <w:rPr>
          <w:rStyle w:val="Emphasis"/>
        </w:rPr>
        <w:t>Manner of filing</w:t>
      </w:r>
    </w:p>
    <w:p w14:paraId="7302C32C" w14:textId="74BFDD11" w:rsidR="006437AE" w:rsidRPr="00D240CA" w:rsidRDefault="006437AE" w:rsidP="00115AAB">
      <w:pPr>
        <w:pStyle w:val="ListParagraph"/>
        <w:numPr>
          <w:ilvl w:val="0"/>
          <w:numId w:val="2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t>Both the request to intervene and the submission must be sent by fax and</w:t>
      </w:r>
      <w:r w:rsidR="008A4121">
        <w:rPr>
          <w:rFonts w:ascii="Calibri" w:hAnsi="Calibri" w:cs="Calibri"/>
        </w:rPr>
        <w:t>/or</w:t>
      </w:r>
      <w:r w:rsidRPr="00D240CA">
        <w:rPr>
          <w:rFonts w:ascii="Calibri" w:hAnsi="Calibri" w:cs="Calibri"/>
        </w:rPr>
        <w:t xml:space="preserve"> post to the Court</w:t>
      </w:r>
    </w:p>
    <w:p w14:paraId="5F7077E0" w14:textId="12E7073A" w:rsidR="006437AE" w:rsidRPr="00D240CA" w:rsidRDefault="006437AE" w:rsidP="00115AAB">
      <w:pPr>
        <w:pStyle w:val="ListParagraph"/>
        <w:numPr>
          <w:ilvl w:val="0"/>
          <w:numId w:val="2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240CA">
        <w:rPr>
          <w:rFonts w:ascii="Calibri" w:hAnsi="Calibri" w:cs="Calibri"/>
        </w:rPr>
        <w:lastRenderedPageBreak/>
        <w:t xml:space="preserve">Ask the Court in the request to intervene </w:t>
      </w:r>
      <w:r w:rsidR="00344596">
        <w:rPr>
          <w:rFonts w:ascii="Calibri" w:hAnsi="Calibri" w:cs="Calibri"/>
        </w:rPr>
        <w:t>to</w:t>
      </w:r>
      <w:r w:rsidRPr="00D240CA">
        <w:rPr>
          <w:rFonts w:ascii="Calibri" w:hAnsi="Calibri" w:cs="Calibri"/>
        </w:rPr>
        <w:t xml:space="preserve"> also communicate via email to receive information quicker</w:t>
      </w:r>
    </w:p>
    <w:p w14:paraId="3A4B8CAA" w14:textId="77777777" w:rsidR="00C4626B" w:rsidRPr="00006FBF" w:rsidRDefault="00C4626B" w:rsidP="00115AAB">
      <w:pPr>
        <w:pStyle w:val="Heading2"/>
        <w:jc w:val="left"/>
      </w:pPr>
      <w:bookmarkStart w:id="13" w:name="_Toc169273250"/>
      <w:r w:rsidRPr="00006FBF">
        <w:t>Content of the intervention</w:t>
      </w:r>
      <w:bookmarkEnd w:id="13"/>
    </w:p>
    <w:p w14:paraId="7F60307E" w14:textId="7BDE5333" w:rsidR="00C4626B" w:rsidRPr="00006FBF" w:rsidRDefault="00C4626B" w:rsidP="00115AAB">
      <w:pPr>
        <w:pStyle w:val="ListParagraph"/>
        <w:numPr>
          <w:ilvl w:val="0"/>
          <w:numId w:val="28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The intervention should not include any comments on the fact</w:t>
      </w:r>
      <w:r w:rsidR="0033719A">
        <w:rPr>
          <w:rFonts w:ascii="Calibri" w:hAnsi="Calibri" w:cs="Calibri"/>
        </w:rPr>
        <w:t>s</w:t>
      </w:r>
      <w:r w:rsidRPr="00006FBF">
        <w:rPr>
          <w:rFonts w:ascii="Calibri" w:hAnsi="Calibri" w:cs="Calibri"/>
        </w:rPr>
        <w:t xml:space="preserve"> or merits of the case</w:t>
      </w:r>
    </w:p>
    <w:p w14:paraId="283150B4" w14:textId="77777777" w:rsidR="00C4626B" w:rsidRPr="00006FBF" w:rsidRDefault="00C4626B" w:rsidP="00115AAB">
      <w:pPr>
        <w:pStyle w:val="ListParagraph"/>
        <w:numPr>
          <w:ilvl w:val="0"/>
          <w:numId w:val="28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The intervention can provide</w:t>
      </w:r>
    </w:p>
    <w:p w14:paraId="06F1D7D8" w14:textId="77777777" w:rsidR="00C4626B" w:rsidRPr="00006FBF" w:rsidRDefault="00C4626B" w:rsidP="00115AAB">
      <w:pPr>
        <w:pStyle w:val="ListParagraph"/>
        <w:numPr>
          <w:ilvl w:val="1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Information on the interpretation of international norms by other jurisdictions</w:t>
      </w:r>
    </w:p>
    <w:p w14:paraId="06F233C4" w14:textId="77777777" w:rsidR="00C4626B" w:rsidRPr="00006FBF" w:rsidRDefault="00C4626B" w:rsidP="00115AAB">
      <w:pPr>
        <w:pStyle w:val="ListParagraph"/>
        <w:numPr>
          <w:ilvl w:val="1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Information through comparative law</w:t>
      </w:r>
    </w:p>
    <w:p w14:paraId="14B8A5D2" w14:textId="77777777" w:rsidR="00C4626B" w:rsidRPr="00006FBF" w:rsidRDefault="00C4626B" w:rsidP="00115AAB">
      <w:pPr>
        <w:pStyle w:val="ListParagraph"/>
        <w:numPr>
          <w:ilvl w:val="1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Information on the law and practice at the national level</w:t>
      </w:r>
    </w:p>
    <w:p w14:paraId="0ABE24F0" w14:textId="77777777" w:rsidR="00C4626B" w:rsidRPr="00006FBF" w:rsidRDefault="00C4626B" w:rsidP="00115AAB">
      <w:pPr>
        <w:pStyle w:val="ListParagraph"/>
        <w:numPr>
          <w:ilvl w:val="1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Information on relevant data, statistics and the situation on the ground</w:t>
      </w:r>
    </w:p>
    <w:p w14:paraId="3B9BAEC7" w14:textId="507DD19A" w:rsidR="00C4626B" w:rsidRPr="00F1260F" w:rsidRDefault="00C4626B" w:rsidP="00115AAB">
      <w:pPr>
        <w:pStyle w:val="ListParagraph"/>
        <w:numPr>
          <w:ilvl w:val="0"/>
          <w:numId w:val="29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The intervention </w:t>
      </w:r>
      <w:r>
        <w:rPr>
          <w:rFonts w:ascii="Calibri" w:hAnsi="Calibri" w:cs="Calibri"/>
        </w:rPr>
        <w:t xml:space="preserve">should link the principles to </w:t>
      </w:r>
      <w:r w:rsidRPr="00006FBF">
        <w:rPr>
          <w:rFonts w:ascii="Calibri" w:hAnsi="Calibri" w:cs="Calibri"/>
        </w:rPr>
        <w:t>the Court’s own precedents</w:t>
      </w:r>
      <w:r>
        <w:rPr>
          <w:rFonts w:ascii="Calibri" w:hAnsi="Calibri" w:cs="Calibri"/>
        </w:rPr>
        <w:t xml:space="preserve"> where possible </w:t>
      </w:r>
    </w:p>
    <w:p w14:paraId="0476EAD5" w14:textId="0474A0AD" w:rsidR="006437AE" w:rsidRPr="00006FBF" w:rsidRDefault="006437AE" w:rsidP="00115AAB">
      <w:pPr>
        <w:pStyle w:val="Heading2"/>
        <w:jc w:val="left"/>
      </w:pPr>
      <w:bookmarkStart w:id="14" w:name="_Toc169273251"/>
      <w:r w:rsidRPr="00006FBF">
        <w:t>Interventions under Rule 9</w:t>
      </w:r>
      <w:bookmarkEnd w:id="14"/>
    </w:p>
    <w:p w14:paraId="2AA11CD3" w14:textId="3C3E1E53" w:rsidR="00F25931" w:rsidRPr="00006FBF" w:rsidRDefault="00F25931" w:rsidP="00115AAB">
      <w:pPr>
        <w:spacing w:before="120" w:after="120" w:line="276" w:lineRule="auto"/>
        <w:rPr>
          <w:rFonts w:ascii="Calibri" w:hAnsi="Calibri" w:cs="Calibri"/>
        </w:rPr>
      </w:pPr>
      <w:r w:rsidRPr="00006FBF">
        <w:rPr>
          <w:rFonts w:ascii="Calibri" w:hAnsi="Calibri" w:cs="Calibri"/>
        </w:rPr>
        <w:t xml:space="preserve">Under Rule 9, National Human Rights Institutions and Civil Society Organisations may submit to the Committee of Ministers </w:t>
      </w:r>
      <w:hyperlink r:id="rId16" w:anchor="{%2244361690%22:[0]}" w:history="1">
        <w:r w:rsidRPr="00006FBF">
          <w:rPr>
            <w:rStyle w:val="Hyperlink"/>
          </w:rPr>
          <w:t>communications</w:t>
        </w:r>
      </w:hyperlink>
      <w:r w:rsidRPr="00006FBF">
        <w:rPr>
          <w:rFonts w:ascii="Calibri" w:hAnsi="Calibri" w:cs="Calibri"/>
        </w:rPr>
        <w:t xml:space="preserve"> with regard to the execution of judgments according to Article 46(2) ECHR. When drafting the submission, you </w:t>
      </w:r>
      <w:r w:rsidR="0022413C" w:rsidRPr="00006FBF">
        <w:rPr>
          <w:rFonts w:ascii="Calibri" w:hAnsi="Calibri" w:cs="Calibri"/>
        </w:rPr>
        <w:t>should include:</w:t>
      </w:r>
    </w:p>
    <w:p w14:paraId="2B5CBB4E" w14:textId="754884C8" w:rsidR="006437AE" w:rsidRPr="00006FBF" w:rsidRDefault="0022413C" w:rsidP="00115AAB">
      <w:pPr>
        <w:pStyle w:val="ListParagraph"/>
        <w:numPr>
          <w:ilvl w:val="0"/>
          <w:numId w:val="31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A brief description of the case</w:t>
      </w:r>
    </w:p>
    <w:p w14:paraId="7428FAAC" w14:textId="7B77FB34" w:rsidR="0022413C" w:rsidRPr="00006FBF" w:rsidRDefault="0022413C" w:rsidP="00115AAB">
      <w:pPr>
        <w:pStyle w:val="ListParagraph"/>
        <w:numPr>
          <w:ilvl w:val="0"/>
          <w:numId w:val="31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The aim of the communication</w:t>
      </w:r>
    </w:p>
    <w:p w14:paraId="53DE4A0C" w14:textId="0B35C2AB" w:rsidR="0022413C" w:rsidRPr="00006FBF" w:rsidRDefault="00661107" w:rsidP="00115AAB">
      <w:pPr>
        <w:pStyle w:val="ListParagraph"/>
        <w:numPr>
          <w:ilvl w:val="0"/>
          <w:numId w:val="31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 r</w:t>
      </w:r>
      <w:r w:rsidR="0022413C" w:rsidRPr="00006FBF">
        <w:rPr>
          <w:rFonts w:ascii="Calibri" w:hAnsi="Calibri" w:cs="Calibri"/>
        </w:rPr>
        <w:t>espon</w:t>
      </w:r>
      <w:r w:rsidR="002843B4">
        <w:rPr>
          <w:rFonts w:ascii="Calibri" w:hAnsi="Calibri" w:cs="Calibri"/>
        </w:rPr>
        <w:t>se</w:t>
      </w:r>
      <w:r w:rsidR="0022413C" w:rsidRPr="00006FBF">
        <w:rPr>
          <w:rFonts w:ascii="Calibri" w:hAnsi="Calibri" w:cs="Calibri"/>
        </w:rPr>
        <w:t xml:space="preserve"> to the State’s action plan</w:t>
      </w:r>
    </w:p>
    <w:p w14:paraId="358A53BB" w14:textId="6F502BB0" w:rsidR="0022413C" w:rsidRPr="00006FBF" w:rsidRDefault="0022413C" w:rsidP="00115AAB">
      <w:pPr>
        <w:pStyle w:val="ListParagraph"/>
        <w:numPr>
          <w:ilvl w:val="0"/>
          <w:numId w:val="31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006FBF">
        <w:rPr>
          <w:rFonts w:ascii="Calibri" w:hAnsi="Calibri" w:cs="Calibri"/>
        </w:rPr>
        <w:t>Which actions you are proposing</w:t>
      </w:r>
    </w:p>
    <w:p w14:paraId="49F0C5C2" w14:textId="1120D021" w:rsidR="00F1260F" w:rsidRDefault="00F1260F" w:rsidP="00115AAB">
      <w:pPr>
        <w:pStyle w:val="Heading1"/>
        <w:jc w:val="left"/>
      </w:pPr>
      <w:bookmarkStart w:id="15" w:name="_Toc169273252"/>
      <w:r>
        <w:t>Other useful resources</w:t>
      </w:r>
      <w:bookmarkEnd w:id="15"/>
      <w:r>
        <w:t xml:space="preserve"> </w:t>
      </w:r>
    </w:p>
    <w:p w14:paraId="0F597134" w14:textId="07C37BA6" w:rsidR="00F1260F" w:rsidRPr="00103FC3" w:rsidRDefault="008C7D90" w:rsidP="00115AAB">
      <w:pPr>
        <w:pStyle w:val="ListParagraph"/>
        <w:numPr>
          <w:ilvl w:val="0"/>
          <w:numId w:val="32"/>
        </w:numPr>
        <w:spacing w:before="120" w:after="120" w:line="276" w:lineRule="auto"/>
        <w:contextualSpacing w:val="0"/>
        <w:rPr>
          <w:rFonts w:ascii="Calibri" w:hAnsi="Calibri" w:cs="Calibri"/>
          <w:lang w:val="en-US"/>
        </w:rPr>
      </w:pPr>
      <w:r w:rsidRPr="00704CA6">
        <w:rPr>
          <w:rFonts w:ascii="Calibri" w:hAnsi="Calibri" w:cs="Calibri"/>
        </w:rPr>
        <w:t>ECtHR Practice Direction -Third-party intervention under Article 36 §2 of the Convention or under Article 3, second sentence, of Protocol No. 16</w:t>
      </w:r>
    </w:p>
    <w:p w14:paraId="104AE525" w14:textId="4B9C723D" w:rsidR="008C7D90" w:rsidRPr="00472698" w:rsidRDefault="00C75FAD" w:rsidP="00115AAB">
      <w:pPr>
        <w:pStyle w:val="ListParagraph"/>
        <w:numPr>
          <w:ilvl w:val="0"/>
          <w:numId w:val="32"/>
        </w:numPr>
        <w:spacing w:before="120" w:after="120" w:line="276" w:lineRule="auto"/>
        <w:contextualSpacing w:val="0"/>
        <w:rPr>
          <w:rFonts w:ascii="Calibri" w:hAnsi="Calibri" w:cs="Calibri"/>
          <w:lang w:val="en-US"/>
        </w:rPr>
      </w:pPr>
      <w:r w:rsidRPr="00103FC3">
        <w:rPr>
          <w:rFonts w:ascii="Calibri" w:hAnsi="Calibri" w:cs="Calibri"/>
        </w:rPr>
        <w:t xml:space="preserve">Frédérique AST, </w:t>
      </w:r>
      <w:hyperlink r:id="rId17" w:anchor=":~:text=The%20role%20of%20Equality%20Bodies%20as%20amicus%20curiae%20in%20Europe8,national%20courts%20as%20amicus%20curiae." w:history="1">
        <w:r w:rsidRPr="00103FC3">
          <w:rPr>
            <w:rStyle w:val="Hyperlink"/>
          </w:rPr>
          <w:t>Equality Bodies as Amicus Curiae Guidelines to the Moldovan Equality Council for Preventing and Eliminating Discrimination and Ensuring Equality to Write an Amicus Curiae Brief</w:t>
        </w:r>
      </w:hyperlink>
      <w:r w:rsidRPr="00103FC3">
        <w:rPr>
          <w:rFonts w:ascii="Calibri" w:hAnsi="Calibri" w:cs="Calibri"/>
          <w:lang w:val="en-US"/>
        </w:rPr>
        <w:t xml:space="preserve">, </w:t>
      </w:r>
      <w:r w:rsidRPr="00103FC3">
        <w:rPr>
          <w:rFonts w:ascii="Calibri" w:hAnsi="Calibri" w:cs="Calibri"/>
        </w:rPr>
        <w:t>Council of Europe</w:t>
      </w:r>
    </w:p>
    <w:p w14:paraId="3C94EF49" w14:textId="29523E7B" w:rsidR="00472698" w:rsidRPr="00103FC3" w:rsidRDefault="00472698" w:rsidP="00115AAB">
      <w:pPr>
        <w:pStyle w:val="ListParagraph"/>
        <w:numPr>
          <w:ilvl w:val="0"/>
          <w:numId w:val="32"/>
        </w:numPr>
        <w:spacing w:before="120" w:after="120" w:line="276" w:lineRule="auto"/>
        <w:contextualSpacing w:val="0"/>
        <w:rPr>
          <w:rFonts w:ascii="Calibri" w:hAnsi="Calibri" w:cs="Calibri"/>
          <w:lang w:val="en-US"/>
        </w:rPr>
      </w:pPr>
      <w:r w:rsidRPr="00472698">
        <w:rPr>
          <w:rFonts w:ascii="Calibri" w:hAnsi="Calibri" w:cs="Calibri"/>
        </w:rPr>
        <w:t xml:space="preserve">Equinet, </w:t>
      </w:r>
      <w:hyperlink r:id="rId18" w:history="1">
        <w:r w:rsidRPr="00472698">
          <w:rPr>
            <w:rStyle w:val="Hyperlink"/>
          </w:rPr>
          <w:t>Strategic Litigation Handbook</w:t>
        </w:r>
      </w:hyperlink>
    </w:p>
    <w:sectPr w:rsidR="00472698" w:rsidRPr="0010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E7BD0" w14:textId="77777777" w:rsidR="00332A85" w:rsidRDefault="00332A85" w:rsidP="00933A80">
      <w:pPr>
        <w:spacing w:after="0" w:line="240" w:lineRule="auto"/>
      </w:pPr>
      <w:r>
        <w:separator/>
      </w:r>
    </w:p>
    <w:p w14:paraId="2C50B9DF" w14:textId="77777777" w:rsidR="00332A85" w:rsidRDefault="00332A85"/>
  </w:endnote>
  <w:endnote w:type="continuationSeparator" w:id="0">
    <w:p w14:paraId="444F6EC3" w14:textId="77777777" w:rsidR="00332A85" w:rsidRDefault="00332A85" w:rsidP="00933A80">
      <w:pPr>
        <w:spacing w:after="0" w:line="240" w:lineRule="auto"/>
      </w:pPr>
      <w:r>
        <w:continuationSeparator/>
      </w:r>
    </w:p>
    <w:p w14:paraId="3659186A" w14:textId="77777777" w:rsidR="00332A85" w:rsidRDefault="00332A85"/>
  </w:endnote>
  <w:endnote w:type="continuationNotice" w:id="1">
    <w:p w14:paraId="12B9B089" w14:textId="77777777" w:rsidR="00332A85" w:rsidRDefault="00332A85">
      <w:pPr>
        <w:spacing w:after="0" w:line="240" w:lineRule="auto"/>
      </w:pPr>
    </w:p>
    <w:p w14:paraId="78B62194" w14:textId="77777777" w:rsidR="00332A85" w:rsidRDefault="00332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9D48" w14:textId="099DB6A1" w:rsidR="00A83A5E" w:rsidRPr="000B4873" w:rsidRDefault="00DB276F" w:rsidP="000B4873">
    <w:pPr>
      <w:pStyle w:val="Footer"/>
      <w:jc w:val="right"/>
      <w:rPr>
        <w:color w:val="22489E"/>
      </w:rPr>
    </w:pPr>
    <w:r w:rsidRPr="006D43B2">
      <w:rPr>
        <w:rFonts w:ascii="DINPro-Bold" w:hAnsi="DINPro-Bold"/>
        <w:noProof/>
        <w:color w:val="22489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53267" wp14:editId="23A342B8">
              <wp:simplePos x="0" y="0"/>
              <wp:positionH relativeFrom="column">
                <wp:posOffset>5797550</wp:posOffset>
              </wp:positionH>
              <wp:positionV relativeFrom="paragraph">
                <wp:posOffset>38830</wp:posOffset>
              </wp:positionV>
              <wp:extent cx="10160" cy="900000"/>
              <wp:effectExtent l="19050" t="19050" r="27940" b="33655"/>
              <wp:wrapNone/>
              <wp:docPr id="700201869" name="Straight Connector 7002018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60" cy="900000"/>
                      </a:xfrm>
                      <a:prstGeom prst="line">
                        <a:avLst/>
                      </a:prstGeom>
                      <a:ln w="38100">
                        <a:solidFill>
                          <a:srgbClr val="2248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989898" id="Straight Connector 700201869" o:spid="_x0000_s1026" alt="&quot;&quot;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5pt,3.05pt" to="457.3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" strokecolor="#22489e" strokeweight="3pt">
              <v:stroke joinstyle="miter"/>
            </v:line>
          </w:pict>
        </mc:Fallback>
      </mc:AlternateContent>
    </w:r>
    <w:sdt>
      <w:sdtPr>
        <w:id w:val="-1488317136"/>
        <w:docPartObj>
          <w:docPartGallery w:val="Page Numbers (Bottom of Page)"/>
          <w:docPartUnique/>
        </w:docPartObj>
      </w:sdtPr>
      <w:sdtEndPr>
        <w:rPr>
          <w:noProof/>
          <w:color w:val="22489E"/>
        </w:rPr>
      </w:sdtEndPr>
      <w:sdtContent>
        <w:r w:rsidR="000B4873" w:rsidRPr="006D43B2">
          <w:rPr>
            <w:rFonts w:ascii="DINPro-Bold" w:hAnsi="DINPro-Bold"/>
            <w:color w:val="22489E"/>
          </w:rPr>
          <w:fldChar w:fldCharType="begin"/>
        </w:r>
        <w:r w:rsidR="000B4873" w:rsidRPr="006D43B2">
          <w:rPr>
            <w:rFonts w:ascii="DINPro-Bold" w:hAnsi="DINPro-Bold"/>
            <w:color w:val="22489E"/>
          </w:rPr>
          <w:instrText xml:space="preserve"> PAGE   \* MERGEFORMAT </w:instrText>
        </w:r>
        <w:r w:rsidR="000B4873" w:rsidRPr="006D43B2">
          <w:rPr>
            <w:rFonts w:ascii="DINPro-Bold" w:hAnsi="DINPro-Bold"/>
            <w:color w:val="22489E"/>
          </w:rPr>
          <w:fldChar w:fldCharType="separate"/>
        </w:r>
        <w:r w:rsidR="000B4873">
          <w:rPr>
            <w:rFonts w:ascii="DINPro-Bold" w:hAnsi="DINPro-Bold"/>
            <w:color w:val="22489E"/>
          </w:rPr>
          <w:t>1</w:t>
        </w:r>
        <w:r w:rsidR="000B4873" w:rsidRPr="006D43B2">
          <w:rPr>
            <w:rFonts w:ascii="DINPro-Bold" w:hAnsi="DINPro-Bold"/>
            <w:noProof/>
            <w:color w:val="22489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DA06" w14:textId="77777777" w:rsidR="00332A85" w:rsidRDefault="00332A85" w:rsidP="00933A80">
      <w:pPr>
        <w:spacing w:after="0" w:line="240" w:lineRule="auto"/>
      </w:pPr>
      <w:r>
        <w:separator/>
      </w:r>
    </w:p>
    <w:p w14:paraId="7D591C93" w14:textId="77777777" w:rsidR="00332A85" w:rsidRDefault="00332A85"/>
  </w:footnote>
  <w:footnote w:type="continuationSeparator" w:id="0">
    <w:p w14:paraId="425115A4" w14:textId="77777777" w:rsidR="00332A85" w:rsidRDefault="00332A85" w:rsidP="00933A80">
      <w:pPr>
        <w:spacing w:after="0" w:line="240" w:lineRule="auto"/>
      </w:pPr>
      <w:r>
        <w:continuationSeparator/>
      </w:r>
    </w:p>
    <w:p w14:paraId="3BB81AA2" w14:textId="77777777" w:rsidR="00332A85" w:rsidRDefault="00332A85"/>
  </w:footnote>
  <w:footnote w:type="continuationNotice" w:id="1">
    <w:p w14:paraId="2BA74A11" w14:textId="77777777" w:rsidR="00332A85" w:rsidRDefault="00332A85">
      <w:pPr>
        <w:spacing w:after="0" w:line="240" w:lineRule="auto"/>
      </w:pPr>
    </w:p>
    <w:p w14:paraId="4BD12CBE" w14:textId="77777777" w:rsidR="00332A85" w:rsidRDefault="00332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3B0" w14:textId="644498DF" w:rsidR="00C9324F" w:rsidRPr="00C9324F" w:rsidRDefault="00C9324F" w:rsidP="00C9324F">
    <w:pPr>
      <w:pStyle w:val="Header"/>
      <w:jc w:val="center"/>
    </w:pPr>
    <w:r>
      <w:rPr>
        <w:noProof/>
      </w:rPr>
      <w:drawing>
        <wp:inline distT="0" distB="0" distL="0" distR="0" wp14:anchorId="36A99461" wp14:editId="22AE2043">
          <wp:extent cx="1536065" cy="609600"/>
          <wp:effectExtent l="0" t="0" r="0" b="0"/>
          <wp:docPr id="1956597432" name="Picture 1" descr="Equine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72655" name="Picture 1" descr="Equinet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6.9pt;height:120pt" o:bullet="t">
        <v:imagedata r:id="rId1" o:title="blue wave"/>
      </v:shape>
    </w:pict>
  </w:numPicBullet>
  <w:abstractNum w:abstractNumId="0" w15:restartNumberingAfterBreak="0">
    <w:nsid w:val="00C2474B"/>
    <w:multiLevelType w:val="hybridMultilevel"/>
    <w:tmpl w:val="9E1893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9A8"/>
    <w:multiLevelType w:val="hybridMultilevel"/>
    <w:tmpl w:val="4DE82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90A"/>
    <w:multiLevelType w:val="hybridMultilevel"/>
    <w:tmpl w:val="B6600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16211"/>
    <w:multiLevelType w:val="hybridMultilevel"/>
    <w:tmpl w:val="E60042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D46"/>
    <w:multiLevelType w:val="hybridMultilevel"/>
    <w:tmpl w:val="56BE51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365"/>
    <w:multiLevelType w:val="hybridMultilevel"/>
    <w:tmpl w:val="9532280A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C2C8F"/>
    <w:multiLevelType w:val="hybridMultilevel"/>
    <w:tmpl w:val="487ACD86"/>
    <w:lvl w:ilvl="0" w:tplc="E45E8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8377F"/>
    <w:multiLevelType w:val="hybridMultilevel"/>
    <w:tmpl w:val="88EC29B2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4038"/>
    <w:multiLevelType w:val="hybridMultilevel"/>
    <w:tmpl w:val="2D9892F4"/>
    <w:lvl w:ilvl="0" w:tplc="616285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41E72"/>
    <w:multiLevelType w:val="hybridMultilevel"/>
    <w:tmpl w:val="6FE2A242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879C6"/>
    <w:multiLevelType w:val="hybridMultilevel"/>
    <w:tmpl w:val="9C40E044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44CF8"/>
    <w:multiLevelType w:val="hybridMultilevel"/>
    <w:tmpl w:val="EF0C2004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6139"/>
    <w:multiLevelType w:val="hybridMultilevel"/>
    <w:tmpl w:val="E6FC051C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E06EA"/>
    <w:multiLevelType w:val="hybridMultilevel"/>
    <w:tmpl w:val="E1E6F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6237F"/>
    <w:multiLevelType w:val="hybridMultilevel"/>
    <w:tmpl w:val="C7B61D26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C05"/>
    <w:multiLevelType w:val="hybridMultilevel"/>
    <w:tmpl w:val="6A4432D2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C3C6A"/>
    <w:multiLevelType w:val="hybridMultilevel"/>
    <w:tmpl w:val="E5CA0A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F30AB"/>
    <w:multiLevelType w:val="hybridMultilevel"/>
    <w:tmpl w:val="5F40A7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11139"/>
    <w:multiLevelType w:val="hybridMultilevel"/>
    <w:tmpl w:val="AB5A3B3A"/>
    <w:lvl w:ilvl="0" w:tplc="B2AAD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23699"/>
    <w:multiLevelType w:val="hybridMultilevel"/>
    <w:tmpl w:val="B8AA04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F1504"/>
    <w:multiLevelType w:val="hybridMultilevel"/>
    <w:tmpl w:val="6374F1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16923"/>
    <w:multiLevelType w:val="hybridMultilevel"/>
    <w:tmpl w:val="5458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F02E4"/>
    <w:multiLevelType w:val="hybridMultilevel"/>
    <w:tmpl w:val="453C8C7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44C3"/>
    <w:multiLevelType w:val="hybridMultilevel"/>
    <w:tmpl w:val="FA6EE972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B4110"/>
    <w:multiLevelType w:val="hybridMultilevel"/>
    <w:tmpl w:val="CDE2DA2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F85792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35595"/>
    <w:multiLevelType w:val="hybridMultilevel"/>
    <w:tmpl w:val="7BC4B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255C2"/>
    <w:multiLevelType w:val="hybridMultilevel"/>
    <w:tmpl w:val="C81EC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C2DB7"/>
    <w:multiLevelType w:val="hybridMultilevel"/>
    <w:tmpl w:val="8132EAB8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8388C"/>
    <w:multiLevelType w:val="hybridMultilevel"/>
    <w:tmpl w:val="A782AF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21476"/>
    <w:multiLevelType w:val="hybridMultilevel"/>
    <w:tmpl w:val="F1DACAD6"/>
    <w:lvl w:ilvl="0" w:tplc="E45E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5C1C"/>
    <w:multiLevelType w:val="hybridMultilevel"/>
    <w:tmpl w:val="BB4021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77BB5"/>
    <w:multiLevelType w:val="hybridMultilevel"/>
    <w:tmpl w:val="0CDA534C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202C4"/>
    <w:multiLevelType w:val="hybridMultilevel"/>
    <w:tmpl w:val="965EFF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720A3"/>
    <w:multiLevelType w:val="hybridMultilevel"/>
    <w:tmpl w:val="89620B4A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64D4F"/>
    <w:multiLevelType w:val="hybridMultilevel"/>
    <w:tmpl w:val="711E0E78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C749C"/>
    <w:multiLevelType w:val="hybridMultilevel"/>
    <w:tmpl w:val="9642113E"/>
    <w:lvl w:ilvl="0" w:tplc="61628566">
      <w:start w:val="1"/>
      <w:numFmt w:val="bullet"/>
      <w:lvlText w:val="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D0002"/>
    <w:multiLevelType w:val="hybridMultilevel"/>
    <w:tmpl w:val="4FD4E5DA"/>
    <w:lvl w:ilvl="0" w:tplc="61628566">
      <w:start w:val="1"/>
      <w:numFmt w:val="bullet"/>
      <w:lvlText w:val="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5D6456"/>
    <w:multiLevelType w:val="hybridMultilevel"/>
    <w:tmpl w:val="A43E668A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E661C4"/>
    <w:multiLevelType w:val="hybridMultilevel"/>
    <w:tmpl w:val="E1008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13D64"/>
    <w:multiLevelType w:val="hybridMultilevel"/>
    <w:tmpl w:val="A1F48A88"/>
    <w:lvl w:ilvl="0" w:tplc="61628566">
      <w:start w:val="1"/>
      <w:numFmt w:val="bullet"/>
      <w:lvlText w:val="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873A81"/>
    <w:multiLevelType w:val="hybridMultilevel"/>
    <w:tmpl w:val="56B4C588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BD1ED0"/>
    <w:multiLevelType w:val="hybridMultilevel"/>
    <w:tmpl w:val="8EA035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2F6"/>
    <w:multiLevelType w:val="hybridMultilevel"/>
    <w:tmpl w:val="89225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85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A672D"/>
    <w:multiLevelType w:val="hybridMultilevel"/>
    <w:tmpl w:val="CF9623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0407C"/>
    <w:multiLevelType w:val="hybridMultilevel"/>
    <w:tmpl w:val="60CC0B7E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64491A"/>
    <w:multiLevelType w:val="hybridMultilevel"/>
    <w:tmpl w:val="EE524C38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3A6A79"/>
    <w:multiLevelType w:val="hybridMultilevel"/>
    <w:tmpl w:val="851C0E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342279"/>
    <w:multiLevelType w:val="hybridMultilevel"/>
    <w:tmpl w:val="78B674C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9B51FC"/>
    <w:multiLevelType w:val="hybridMultilevel"/>
    <w:tmpl w:val="0E0EA5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F277D"/>
    <w:multiLevelType w:val="hybridMultilevel"/>
    <w:tmpl w:val="882EE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  <w:color w:val="000068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C0E6C"/>
    <w:multiLevelType w:val="hybridMultilevel"/>
    <w:tmpl w:val="05284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C694F"/>
    <w:multiLevelType w:val="hybridMultilevel"/>
    <w:tmpl w:val="A760998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8545E4"/>
    <w:multiLevelType w:val="hybridMultilevel"/>
    <w:tmpl w:val="59241866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616C73"/>
    <w:multiLevelType w:val="hybridMultilevel"/>
    <w:tmpl w:val="7E6A30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B71333"/>
    <w:multiLevelType w:val="hybridMultilevel"/>
    <w:tmpl w:val="3C588E10"/>
    <w:lvl w:ilvl="0" w:tplc="616285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68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2759">
    <w:abstractNumId w:val="53"/>
  </w:num>
  <w:num w:numId="2" w16cid:durableId="1667972600">
    <w:abstractNumId w:val="50"/>
  </w:num>
  <w:num w:numId="3" w16cid:durableId="2138794885">
    <w:abstractNumId w:val="3"/>
  </w:num>
  <w:num w:numId="4" w16cid:durableId="75370310">
    <w:abstractNumId w:val="16"/>
  </w:num>
  <w:num w:numId="5" w16cid:durableId="856623031">
    <w:abstractNumId w:val="30"/>
  </w:num>
  <w:num w:numId="6" w16cid:durableId="1025598482">
    <w:abstractNumId w:val="32"/>
  </w:num>
  <w:num w:numId="7" w16cid:durableId="1949194339">
    <w:abstractNumId w:val="34"/>
  </w:num>
  <w:num w:numId="8" w16cid:durableId="887032084">
    <w:abstractNumId w:val="43"/>
  </w:num>
  <w:num w:numId="9" w16cid:durableId="714277939">
    <w:abstractNumId w:val="48"/>
  </w:num>
  <w:num w:numId="10" w16cid:durableId="736438875">
    <w:abstractNumId w:val="19"/>
  </w:num>
  <w:num w:numId="11" w16cid:durableId="1317150672">
    <w:abstractNumId w:val="26"/>
  </w:num>
  <w:num w:numId="12" w16cid:durableId="759644720">
    <w:abstractNumId w:val="41"/>
  </w:num>
  <w:num w:numId="13" w16cid:durableId="1041393731">
    <w:abstractNumId w:val="46"/>
  </w:num>
  <w:num w:numId="14" w16cid:durableId="1463383190">
    <w:abstractNumId w:val="21"/>
  </w:num>
  <w:num w:numId="15" w16cid:durableId="705760948">
    <w:abstractNumId w:val="24"/>
  </w:num>
  <w:num w:numId="16" w16cid:durableId="704477597">
    <w:abstractNumId w:val="22"/>
  </w:num>
  <w:num w:numId="17" w16cid:durableId="346294603">
    <w:abstractNumId w:val="47"/>
  </w:num>
  <w:num w:numId="18" w16cid:durableId="606159790">
    <w:abstractNumId w:val="51"/>
  </w:num>
  <w:num w:numId="19" w16cid:durableId="1421831755">
    <w:abstractNumId w:val="1"/>
  </w:num>
  <w:num w:numId="20" w16cid:durableId="1991130081">
    <w:abstractNumId w:val="0"/>
  </w:num>
  <w:num w:numId="21" w16cid:durableId="1823542576">
    <w:abstractNumId w:val="13"/>
  </w:num>
  <w:num w:numId="22" w16cid:durableId="1276601035">
    <w:abstractNumId w:val="38"/>
  </w:num>
  <w:num w:numId="23" w16cid:durableId="320037227">
    <w:abstractNumId w:val="6"/>
  </w:num>
  <w:num w:numId="24" w16cid:durableId="367492844">
    <w:abstractNumId w:val="29"/>
  </w:num>
  <w:num w:numId="25" w16cid:durableId="837577402">
    <w:abstractNumId w:val="40"/>
  </w:num>
  <w:num w:numId="26" w16cid:durableId="134221135">
    <w:abstractNumId w:val="27"/>
  </w:num>
  <w:num w:numId="27" w16cid:durableId="948125434">
    <w:abstractNumId w:val="33"/>
  </w:num>
  <w:num w:numId="28" w16cid:durableId="1752002192">
    <w:abstractNumId w:val="10"/>
  </w:num>
  <w:num w:numId="29" w16cid:durableId="628048462">
    <w:abstractNumId w:val="12"/>
  </w:num>
  <w:num w:numId="30" w16cid:durableId="1897741673">
    <w:abstractNumId w:val="20"/>
  </w:num>
  <w:num w:numId="31" w16cid:durableId="928386935">
    <w:abstractNumId w:val="23"/>
  </w:num>
  <w:num w:numId="32" w16cid:durableId="388263619">
    <w:abstractNumId w:val="31"/>
  </w:num>
  <w:num w:numId="33" w16cid:durableId="1797019888">
    <w:abstractNumId w:val="15"/>
  </w:num>
  <w:num w:numId="34" w16cid:durableId="1784953311">
    <w:abstractNumId w:val="39"/>
  </w:num>
  <w:num w:numId="35" w16cid:durableId="1861578437">
    <w:abstractNumId w:val="36"/>
  </w:num>
  <w:num w:numId="36" w16cid:durableId="1045561648">
    <w:abstractNumId w:val="5"/>
  </w:num>
  <w:num w:numId="37" w16cid:durableId="1730152250">
    <w:abstractNumId w:val="14"/>
  </w:num>
  <w:num w:numId="38" w16cid:durableId="279537105">
    <w:abstractNumId w:val="49"/>
  </w:num>
  <w:num w:numId="39" w16cid:durableId="125852572">
    <w:abstractNumId w:val="44"/>
  </w:num>
  <w:num w:numId="40" w16cid:durableId="1896575788">
    <w:abstractNumId w:val="25"/>
  </w:num>
  <w:num w:numId="41" w16cid:durableId="621574580">
    <w:abstractNumId w:val="42"/>
  </w:num>
  <w:num w:numId="42" w16cid:durableId="1727756988">
    <w:abstractNumId w:val="2"/>
  </w:num>
  <w:num w:numId="43" w16cid:durableId="1358236369">
    <w:abstractNumId w:val="17"/>
  </w:num>
  <w:num w:numId="44" w16cid:durableId="140511890">
    <w:abstractNumId w:val="52"/>
  </w:num>
  <w:num w:numId="45" w16cid:durableId="999163987">
    <w:abstractNumId w:val="45"/>
  </w:num>
  <w:num w:numId="46" w16cid:durableId="1072193326">
    <w:abstractNumId w:val="4"/>
  </w:num>
  <w:num w:numId="47" w16cid:durableId="1908806021">
    <w:abstractNumId w:val="18"/>
  </w:num>
  <w:num w:numId="48" w16cid:durableId="1171214185">
    <w:abstractNumId w:val="9"/>
  </w:num>
  <w:num w:numId="49" w16cid:durableId="1128012024">
    <w:abstractNumId w:val="54"/>
  </w:num>
  <w:num w:numId="50" w16cid:durableId="1961304367">
    <w:abstractNumId w:val="37"/>
  </w:num>
  <w:num w:numId="51" w16cid:durableId="1757088748">
    <w:abstractNumId w:val="8"/>
  </w:num>
  <w:num w:numId="52" w16cid:durableId="1239628555">
    <w:abstractNumId w:val="35"/>
  </w:num>
  <w:num w:numId="53" w16cid:durableId="358629081">
    <w:abstractNumId w:val="28"/>
  </w:num>
  <w:num w:numId="54" w16cid:durableId="292519510">
    <w:abstractNumId w:val="11"/>
  </w:num>
  <w:num w:numId="55" w16cid:durableId="102842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A5"/>
    <w:rsid w:val="00003308"/>
    <w:rsid w:val="0000554D"/>
    <w:rsid w:val="00006FBF"/>
    <w:rsid w:val="00010381"/>
    <w:rsid w:val="000106EE"/>
    <w:rsid w:val="00015EAC"/>
    <w:rsid w:val="000330BB"/>
    <w:rsid w:val="00035B65"/>
    <w:rsid w:val="00036D32"/>
    <w:rsid w:val="0004268D"/>
    <w:rsid w:val="00042D66"/>
    <w:rsid w:val="000472A5"/>
    <w:rsid w:val="00052FC8"/>
    <w:rsid w:val="000575F6"/>
    <w:rsid w:val="000578CB"/>
    <w:rsid w:val="00057DAF"/>
    <w:rsid w:val="00067D35"/>
    <w:rsid w:val="00071B95"/>
    <w:rsid w:val="000731EC"/>
    <w:rsid w:val="00073A8C"/>
    <w:rsid w:val="00075A86"/>
    <w:rsid w:val="00082C59"/>
    <w:rsid w:val="0008472F"/>
    <w:rsid w:val="000911F7"/>
    <w:rsid w:val="000934A8"/>
    <w:rsid w:val="00094E58"/>
    <w:rsid w:val="0009733D"/>
    <w:rsid w:val="000A3686"/>
    <w:rsid w:val="000B4873"/>
    <w:rsid w:val="000B4F15"/>
    <w:rsid w:val="000C4653"/>
    <w:rsid w:val="000C73CF"/>
    <w:rsid w:val="000C7971"/>
    <w:rsid w:val="000E6818"/>
    <w:rsid w:val="000F0531"/>
    <w:rsid w:val="000F2137"/>
    <w:rsid w:val="00103FC3"/>
    <w:rsid w:val="00104BC7"/>
    <w:rsid w:val="00112AF0"/>
    <w:rsid w:val="00115AAB"/>
    <w:rsid w:val="00120A80"/>
    <w:rsid w:val="001365F9"/>
    <w:rsid w:val="00137AF2"/>
    <w:rsid w:val="00146AE9"/>
    <w:rsid w:val="0014761F"/>
    <w:rsid w:val="001477EF"/>
    <w:rsid w:val="00147863"/>
    <w:rsid w:val="001538AC"/>
    <w:rsid w:val="00153E7A"/>
    <w:rsid w:val="00163EFF"/>
    <w:rsid w:val="00166139"/>
    <w:rsid w:val="00166423"/>
    <w:rsid w:val="00173916"/>
    <w:rsid w:val="001755D0"/>
    <w:rsid w:val="001846BD"/>
    <w:rsid w:val="00184C63"/>
    <w:rsid w:val="00190C05"/>
    <w:rsid w:val="0019179E"/>
    <w:rsid w:val="00195DE8"/>
    <w:rsid w:val="00197990"/>
    <w:rsid w:val="001A1C90"/>
    <w:rsid w:val="001A682E"/>
    <w:rsid w:val="001B0182"/>
    <w:rsid w:val="001C177B"/>
    <w:rsid w:val="001C71E6"/>
    <w:rsid w:val="001D0303"/>
    <w:rsid w:val="001E4989"/>
    <w:rsid w:val="001E6F57"/>
    <w:rsid w:val="001F336C"/>
    <w:rsid w:val="001F3FBE"/>
    <w:rsid w:val="001F418D"/>
    <w:rsid w:val="001F4233"/>
    <w:rsid w:val="001F6F32"/>
    <w:rsid w:val="0022209D"/>
    <w:rsid w:val="0022413C"/>
    <w:rsid w:val="00224F7F"/>
    <w:rsid w:val="00224FD3"/>
    <w:rsid w:val="002350B9"/>
    <w:rsid w:val="00261617"/>
    <w:rsid w:val="002726D6"/>
    <w:rsid w:val="002767A2"/>
    <w:rsid w:val="002843B4"/>
    <w:rsid w:val="00290217"/>
    <w:rsid w:val="00291178"/>
    <w:rsid w:val="002A205B"/>
    <w:rsid w:val="002A7BFD"/>
    <w:rsid w:val="002B397A"/>
    <w:rsid w:val="002C2DE6"/>
    <w:rsid w:val="002C442F"/>
    <w:rsid w:val="002D69F3"/>
    <w:rsid w:val="002E5C46"/>
    <w:rsid w:val="002F08ED"/>
    <w:rsid w:val="00310A72"/>
    <w:rsid w:val="00311B35"/>
    <w:rsid w:val="00317491"/>
    <w:rsid w:val="00326839"/>
    <w:rsid w:val="00332A85"/>
    <w:rsid w:val="00335699"/>
    <w:rsid w:val="0033719A"/>
    <w:rsid w:val="003407F8"/>
    <w:rsid w:val="00344596"/>
    <w:rsid w:val="00352D18"/>
    <w:rsid w:val="003556DA"/>
    <w:rsid w:val="00371003"/>
    <w:rsid w:val="00372A28"/>
    <w:rsid w:val="00375346"/>
    <w:rsid w:val="00391F9C"/>
    <w:rsid w:val="00395078"/>
    <w:rsid w:val="003A7C3C"/>
    <w:rsid w:val="003B13B8"/>
    <w:rsid w:val="003B2346"/>
    <w:rsid w:val="003B7BD5"/>
    <w:rsid w:val="003B7C0D"/>
    <w:rsid w:val="003C1A1D"/>
    <w:rsid w:val="003C4B21"/>
    <w:rsid w:val="003C50BB"/>
    <w:rsid w:val="003C69EF"/>
    <w:rsid w:val="003C737F"/>
    <w:rsid w:val="003D0E10"/>
    <w:rsid w:val="003D745A"/>
    <w:rsid w:val="003E4570"/>
    <w:rsid w:val="003F4097"/>
    <w:rsid w:val="003F54EC"/>
    <w:rsid w:val="003F6361"/>
    <w:rsid w:val="00413B92"/>
    <w:rsid w:val="00413D0E"/>
    <w:rsid w:val="0042208C"/>
    <w:rsid w:val="004338D1"/>
    <w:rsid w:val="00436CBD"/>
    <w:rsid w:val="00441861"/>
    <w:rsid w:val="00443E8E"/>
    <w:rsid w:val="00443F01"/>
    <w:rsid w:val="00445340"/>
    <w:rsid w:val="0044749F"/>
    <w:rsid w:val="004635DA"/>
    <w:rsid w:val="00463CCB"/>
    <w:rsid w:val="00465B6B"/>
    <w:rsid w:val="004700D6"/>
    <w:rsid w:val="0047086E"/>
    <w:rsid w:val="00472698"/>
    <w:rsid w:val="00482A8E"/>
    <w:rsid w:val="0048468F"/>
    <w:rsid w:val="004874FC"/>
    <w:rsid w:val="004876EB"/>
    <w:rsid w:val="00496D31"/>
    <w:rsid w:val="004B04FD"/>
    <w:rsid w:val="004B43E0"/>
    <w:rsid w:val="004B4741"/>
    <w:rsid w:val="004C2FB3"/>
    <w:rsid w:val="004C430A"/>
    <w:rsid w:val="004D6E49"/>
    <w:rsid w:val="004E640A"/>
    <w:rsid w:val="004E782A"/>
    <w:rsid w:val="004F13AA"/>
    <w:rsid w:val="004F7CE8"/>
    <w:rsid w:val="0050437A"/>
    <w:rsid w:val="00511260"/>
    <w:rsid w:val="005139CE"/>
    <w:rsid w:val="005332FA"/>
    <w:rsid w:val="00534FE6"/>
    <w:rsid w:val="00542212"/>
    <w:rsid w:val="005422A0"/>
    <w:rsid w:val="0054241E"/>
    <w:rsid w:val="00543D4C"/>
    <w:rsid w:val="005442F4"/>
    <w:rsid w:val="005455B1"/>
    <w:rsid w:val="0055185C"/>
    <w:rsid w:val="00552B19"/>
    <w:rsid w:val="00552B98"/>
    <w:rsid w:val="00555C18"/>
    <w:rsid w:val="005659A9"/>
    <w:rsid w:val="00575E5E"/>
    <w:rsid w:val="005770E6"/>
    <w:rsid w:val="005812EC"/>
    <w:rsid w:val="00590169"/>
    <w:rsid w:val="005A1603"/>
    <w:rsid w:val="005A62F0"/>
    <w:rsid w:val="005A73BE"/>
    <w:rsid w:val="005B3026"/>
    <w:rsid w:val="005D24AB"/>
    <w:rsid w:val="005D57C0"/>
    <w:rsid w:val="005D748F"/>
    <w:rsid w:val="005E11C7"/>
    <w:rsid w:val="005E35BC"/>
    <w:rsid w:val="005E5FBD"/>
    <w:rsid w:val="005E6353"/>
    <w:rsid w:val="005F7890"/>
    <w:rsid w:val="00602678"/>
    <w:rsid w:val="0062132D"/>
    <w:rsid w:val="00622E69"/>
    <w:rsid w:val="006300B6"/>
    <w:rsid w:val="006318D6"/>
    <w:rsid w:val="00640A3C"/>
    <w:rsid w:val="006437AE"/>
    <w:rsid w:val="00644054"/>
    <w:rsid w:val="006576F4"/>
    <w:rsid w:val="00661107"/>
    <w:rsid w:val="00662630"/>
    <w:rsid w:val="00662A50"/>
    <w:rsid w:val="00663152"/>
    <w:rsid w:val="00666666"/>
    <w:rsid w:val="0067009B"/>
    <w:rsid w:val="00671CBA"/>
    <w:rsid w:val="00675362"/>
    <w:rsid w:val="006753C7"/>
    <w:rsid w:val="0068313D"/>
    <w:rsid w:val="00683F93"/>
    <w:rsid w:val="0068599F"/>
    <w:rsid w:val="00686588"/>
    <w:rsid w:val="0069152A"/>
    <w:rsid w:val="0069561E"/>
    <w:rsid w:val="006A123E"/>
    <w:rsid w:val="006A1896"/>
    <w:rsid w:val="006B2879"/>
    <w:rsid w:val="006C2A7C"/>
    <w:rsid w:val="006C5694"/>
    <w:rsid w:val="006D27D7"/>
    <w:rsid w:val="006D78FF"/>
    <w:rsid w:val="006F1F3F"/>
    <w:rsid w:val="00702143"/>
    <w:rsid w:val="00704CA6"/>
    <w:rsid w:val="007060D7"/>
    <w:rsid w:val="00717124"/>
    <w:rsid w:val="00722280"/>
    <w:rsid w:val="0072278C"/>
    <w:rsid w:val="00730B44"/>
    <w:rsid w:val="00747059"/>
    <w:rsid w:val="00757558"/>
    <w:rsid w:val="0076001D"/>
    <w:rsid w:val="007611E6"/>
    <w:rsid w:val="00761B0D"/>
    <w:rsid w:val="00767C04"/>
    <w:rsid w:val="00772991"/>
    <w:rsid w:val="007863DA"/>
    <w:rsid w:val="00794BE2"/>
    <w:rsid w:val="007A1659"/>
    <w:rsid w:val="007A26C9"/>
    <w:rsid w:val="007A4676"/>
    <w:rsid w:val="007A6D74"/>
    <w:rsid w:val="007A6EC6"/>
    <w:rsid w:val="007B4C96"/>
    <w:rsid w:val="007C6BED"/>
    <w:rsid w:val="007D631C"/>
    <w:rsid w:val="007E0463"/>
    <w:rsid w:val="007E1479"/>
    <w:rsid w:val="007E49D4"/>
    <w:rsid w:val="007E5796"/>
    <w:rsid w:val="007F2BC7"/>
    <w:rsid w:val="007F58FC"/>
    <w:rsid w:val="008010B8"/>
    <w:rsid w:val="00802D5B"/>
    <w:rsid w:val="008030FD"/>
    <w:rsid w:val="0080396C"/>
    <w:rsid w:val="00803E39"/>
    <w:rsid w:val="00840A34"/>
    <w:rsid w:val="00841354"/>
    <w:rsid w:val="00845257"/>
    <w:rsid w:val="008631C7"/>
    <w:rsid w:val="008662BE"/>
    <w:rsid w:val="00866414"/>
    <w:rsid w:val="00870041"/>
    <w:rsid w:val="00872524"/>
    <w:rsid w:val="0087596D"/>
    <w:rsid w:val="0087649A"/>
    <w:rsid w:val="00877538"/>
    <w:rsid w:val="00877883"/>
    <w:rsid w:val="008921CA"/>
    <w:rsid w:val="0089503B"/>
    <w:rsid w:val="00897E44"/>
    <w:rsid w:val="008A3B19"/>
    <w:rsid w:val="008A4121"/>
    <w:rsid w:val="008B4676"/>
    <w:rsid w:val="008B491A"/>
    <w:rsid w:val="008C2ABB"/>
    <w:rsid w:val="008C349B"/>
    <w:rsid w:val="008C7D90"/>
    <w:rsid w:val="008D4850"/>
    <w:rsid w:val="008E0D37"/>
    <w:rsid w:val="008F19AD"/>
    <w:rsid w:val="008F2D4E"/>
    <w:rsid w:val="008F6B24"/>
    <w:rsid w:val="00900341"/>
    <w:rsid w:val="00902947"/>
    <w:rsid w:val="00907DCF"/>
    <w:rsid w:val="009144F0"/>
    <w:rsid w:val="00917400"/>
    <w:rsid w:val="00927245"/>
    <w:rsid w:val="00933A80"/>
    <w:rsid w:val="00944A2C"/>
    <w:rsid w:val="00945368"/>
    <w:rsid w:val="0095328B"/>
    <w:rsid w:val="009539D4"/>
    <w:rsid w:val="0095685F"/>
    <w:rsid w:val="0097060C"/>
    <w:rsid w:val="00980BF2"/>
    <w:rsid w:val="009902CA"/>
    <w:rsid w:val="0099415F"/>
    <w:rsid w:val="009B16EB"/>
    <w:rsid w:val="009B1E04"/>
    <w:rsid w:val="009B5427"/>
    <w:rsid w:val="009C20BF"/>
    <w:rsid w:val="009C76CF"/>
    <w:rsid w:val="009D709F"/>
    <w:rsid w:val="009D7F39"/>
    <w:rsid w:val="009E068B"/>
    <w:rsid w:val="009E27AD"/>
    <w:rsid w:val="009F034E"/>
    <w:rsid w:val="009F6A3E"/>
    <w:rsid w:val="00A0242E"/>
    <w:rsid w:val="00A0259B"/>
    <w:rsid w:val="00A037CF"/>
    <w:rsid w:val="00A06B52"/>
    <w:rsid w:val="00A12CE9"/>
    <w:rsid w:val="00A2797D"/>
    <w:rsid w:val="00A3184C"/>
    <w:rsid w:val="00A40430"/>
    <w:rsid w:val="00A40BAA"/>
    <w:rsid w:val="00A7263A"/>
    <w:rsid w:val="00A72E5F"/>
    <w:rsid w:val="00A83A5E"/>
    <w:rsid w:val="00A84DD7"/>
    <w:rsid w:val="00AA6D2F"/>
    <w:rsid w:val="00AA789F"/>
    <w:rsid w:val="00AA7EF2"/>
    <w:rsid w:val="00AB28FA"/>
    <w:rsid w:val="00AB2AFE"/>
    <w:rsid w:val="00AB4725"/>
    <w:rsid w:val="00AB6F06"/>
    <w:rsid w:val="00AB7F8A"/>
    <w:rsid w:val="00AC60EC"/>
    <w:rsid w:val="00AC68AA"/>
    <w:rsid w:val="00AE7CBA"/>
    <w:rsid w:val="00AF00EF"/>
    <w:rsid w:val="00AF2BCB"/>
    <w:rsid w:val="00AF39AC"/>
    <w:rsid w:val="00AF650F"/>
    <w:rsid w:val="00B0225D"/>
    <w:rsid w:val="00B12AD7"/>
    <w:rsid w:val="00B130C3"/>
    <w:rsid w:val="00B23D97"/>
    <w:rsid w:val="00B33643"/>
    <w:rsid w:val="00B35C21"/>
    <w:rsid w:val="00B45961"/>
    <w:rsid w:val="00B52674"/>
    <w:rsid w:val="00B527C6"/>
    <w:rsid w:val="00B606D0"/>
    <w:rsid w:val="00B62884"/>
    <w:rsid w:val="00B73B6E"/>
    <w:rsid w:val="00B77231"/>
    <w:rsid w:val="00B77836"/>
    <w:rsid w:val="00B81988"/>
    <w:rsid w:val="00B8434D"/>
    <w:rsid w:val="00B94326"/>
    <w:rsid w:val="00BA3056"/>
    <w:rsid w:val="00BA7EFE"/>
    <w:rsid w:val="00BB5E5B"/>
    <w:rsid w:val="00BD7064"/>
    <w:rsid w:val="00BD755F"/>
    <w:rsid w:val="00BF031C"/>
    <w:rsid w:val="00BF1146"/>
    <w:rsid w:val="00BF40E1"/>
    <w:rsid w:val="00C04745"/>
    <w:rsid w:val="00C0483B"/>
    <w:rsid w:val="00C1131A"/>
    <w:rsid w:val="00C133DE"/>
    <w:rsid w:val="00C2026C"/>
    <w:rsid w:val="00C30F84"/>
    <w:rsid w:val="00C3291D"/>
    <w:rsid w:val="00C34AC6"/>
    <w:rsid w:val="00C41EDB"/>
    <w:rsid w:val="00C4626B"/>
    <w:rsid w:val="00C565AD"/>
    <w:rsid w:val="00C64A64"/>
    <w:rsid w:val="00C71F75"/>
    <w:rsid w:val="00C74239"/>
    <w:rsid w:val="00C752B2"/>
    <w:rsid w:val="00C75CEC"/>
    <w:rsid w:val="00C75FAD"/>
    <w:rsid w:val="00C762C1"/>
    <w:rsid w:val="00C77197"/>
    <w:rsid w:val="00C80C23"/>
    <w:rsid w:val="00C9324F"/>
    <w:rsid w:val="00C95E02"/>
    <w:rsid w:val="00C95FEF"/>
    <w:rsid w:val="00C97F04"/>
    <w:rsid w:val="00CA0BE7"/>
    <w:rsid w:val="00CA560E"/>
    <w:rsid w:val="00CA725C"/>
    <w:rsid w:val="00CB1272"/>
    <w:rsid w:val="00CD3E24"/>
    <w:rsid w:val="00CF298D"/>
    <w:rsid w:val="00CF2AE6"/>
    <w:rsid w:val="00CF4369"/>
    <w:rsid w:val="00CF59DD"/>
    <w:rsid w:val="00CF6309"/>
    <w:rsid w:val="00D0612F"/>
    <w:rsid w:val="00D116E7"/>
    <w:rsid w:val="00D16328"/>
    <w:rsid w:val="00D240CA"/>
    <w:rsid w:val="00D3681E"/>
    <w:rsid w:val="00D411A2"/>
    <w:rsid w:val="00D5767F"/>
    <w:rsid w:val="00D612C9"/>
    <w:rsid w:val="00D635A8"/>
    <w:rsid w:val="00D72CD9"/>
    <w:rsid w:val="00D750A6"/>
    <w:rsid w:val="00D90B65"/>
    <w:rsid w:val="00D978E2"/>
    <w:rsid w:val="00DA2D18"/>
    <w:rsid w:val="00DA449A"/>
    <w:rsid w:val="00DA6A6E"/>
    <w:rsid w:val="00DB276F"/>
    <w:rsid w:val="00DB48CD"/>
    <w:rsid w:val="00DB6196"/>
    <w:rsid w:val="00DC2ACF"/>
    <w:rsid w:val="00DD5A1B"/>
    <w:rsid w:val="00DE1D6B"/>
    <w:rsid w:val="00DE4788"/>
    <w:rsid w:val="00DF28BE"/>
    <w:rsid w:val="00E12DEC"/>
    <w:rsid w:val="00E135FD"/>
    <w:rsid w:val="00E25B68"/>
    <w:rsid w:val="00E26541"/>
    <w:rsid w:val="00E3052F"/>
    <w:rsid w:val="00E361C7"/>
    <w:rsid w:val="00E43A48"/>
    <w:rsid w:val="00E456B7"/>
    <w:rsid w:val="00E463D7"/>
    <w:rsid w:val="00E46683"/>
    <w:rsid w:val="00E47D16"/>
    <w:rsid w:val="00E54C8B"/>
    <w:rsid w:val="00E564AF"/>
    <w:rsid w:val="00E60848"/>
    <w:rsid w:val="00E62B8D"/>
    <w:rsid w:val="00E63139"/>
    <w:rsid w:val="00E649F3"/>
    <w:rsid w:val="00E7348B"/>
    <w:rsid w:val="00EA4FC4"/>
    <w:rsid w:val="00EB50E2"/>
    <w:rsid w:val="00EB52BD"/>
    <w:rsid w:val="00ED2127"/>
    <w:rsid w:val="00EE0405"/>
    <w:rsid w:val="00EF2070"/>
    <w:rsid w:val="00EF2C97"/>
    <w:rsid w:val="00EF4A08"/>
    <w:rsid w:val="00EF5B0A"/>
    <w:rsid w:val="00F01D12"/>
    <w:rsid w:val="00F0743D"/>
    <w:rsid w:val="00F1260F"/>
    <w:rsid w:val="00F25091"/>
    <w:rsid w:val="00F257E3"/>
    <w:rsid w:val="00F25931"/>
    <w:rsid w:val="00F27D61"/>
    <w:rsid w:val="00F36D6C"/>
    <w:rsid w:val="00F57207"/>
    <w:rsid w:val="00F576EA"/>
    <w:rsid w:val="00F742BF"/>
    <w:rsid w:val="00F746D0"/>
    <w:rsid w:val="00F74875"/>
    <w:rsid w:val="00F841AF"/>
    <w:rsid w:val="00F848D9"/>
    <w:rsid w:val="00F93354"/>
    <w:rsid w:val="00F97261"/>
    <w:rsid w:val="00FA6DDC"/>
    <w:rsid w:val="00FB2048"/>
    <w:rsid w:val="00FB50A4"/>
    <w:rsid w:val="00FB5A52"/>
    <w:rsid w:val="00FB7D63"/>
    <w:rsid w:val="00FD06FA"/>
    <w:rsid w:val="00FD662B"/>
    <w:rsid w:val="00FE576D"/>
    <w:rsid w:val="00FE641A"/>
    <w:rsid w:val="00FE65E6"/>
    <w:rsid w:val="00FE6E85"/>
    <w:rsid w:val="00FF3FF0"/>
    <w:rsid w:val="00FF4D3F"/>
    <w:rsid w:val="00FF4DAC"/>
    <w:rsid w:val="00FF7C26"/>
    <w:rsid w:val="00FF7ECD"/>
    <w:rsid w:val="144916B9"/>
    <w:rsid w:val="1772D6A3"/>
    <w:rsid w:val="3DE493FF"/>
    <w:rsid w:val="5818EB55"/>
    <w:rsid w:val="7B6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448CAA"/>
  <w15:chartTrackingRefBased/>
  <w15:docId w15:val="{5D5A6BD9-07F0-4842-B202-EB7FDB8B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CA725C"/>
    <w:pPr>
      <w:spacing w:before="240" w:after="240"/>
      <w:outlineLvl w:val="0"/>
    </w:pPr>
    <w:rPr>
      <w:sz w:val="32"/>
      <w:szCs w:val="32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B2346"/>
    <w:pPr>
      <w:jc w:val="both"/>
      <w:outlineLvl w:val="1"/>
    </w:pPr>
    <w:rPr>
      <w:rFonts w:ascii="DINPro-Bold" w:hAnsi="DINPro-Bold"/>
      <w:color w:val="22489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25C"/>
    <w:rPr>
      <w:rFonts w:ascii="DINPro-Bold" w:eastAsiaTheme="majorEastAsia" w:hAnsi="DINPro-Bold" w:cstheme="majorBidi"/>
      <w:color w:val="22489E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346"/>
    <w:rPr>
      <w:rFonts w:ascii="DINPro-Bold" w:eastAsiaTheme="majorEastAsia" w:hAnsi="DINPro-Bold" w:cstheme="majorBidi"/>
      <w:color w:val="22489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7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7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124"/>
    <w:pPr>
      <w:jc w:val="both"/>
    </w:pPr>
    <w:rPr>
      <w:rFonts w:ascii="DINPro-Bold" w:hAnsi="DINPro-Bold"/>
      <w:color w:val="22489E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17124"/>
    <w:rPr>
      <w:rFonts w:ascii="DINPro-Bold" w:hAnsi="DINPro-Bold"/>
      <w:color w:val="22489E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4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2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A64"/>
    <w:rPr>
      <w:rFonts w:ascii="Calibri" w:hAnsi="Calibri" w:cs="Calibri"/>
      <w:color w:val="215E99" w:themeColor="text2" w:themeTint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9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A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A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A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58"/>
  </w:style>
  <w:style w:type="paragraph" w:styleId="Footer">
    <w:name w:val="footer"/>
    <w:basedOn w:val="Normal"/>
    <w:link w:val="FooterChar"/>
    <w:uiPriority w:val="99"/>
    <w:unhideWhenUsed/>
    <w:rsid w:val="0075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58"/>
  </w:style>
  <w:style w:type="character" w:styleId="CommentReference">
    <w:name w:val="annotation reference"/>
    <w:basedOn w:val="DefaultParagraphFont"/>
    <w:uiPriority w:val="99"/>
    <w:semiHidden/>
    <w:unhideWhenUsed/>
    <w:rsid w:val="009B5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85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F4A0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182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E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C95FE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58F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F3FF0"/>
    <w:pPr>
      <w:spacing w:after="0"/>
      <w:jc w:val="left"/>
      <w:outlineLvl w:val="9"/>
    </w:pPr>
    <w:rPr>
      <w:rFonts w:asciiTheme="majorHAnsi" w:hAnsiTheme="majorHAnsi"/>
      <w:color w:val="0F4761" w:themeColor="accent1" w:themeShade="BF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F3F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3FF0"/>
    <w:pPr>
      <w:spacing w:after="100"/>
      <w:ind w:left="220"/>
    </w:pPr>
  </w:style>
  <w:style w:type="character" w:styleId="Emphasis">
    <w:name w:val="Emphasis"/>
    <w:uiPriority w:val="20"/>
    <w:qFormat/>
    <w:rsid w:val="007A6D74"/>
    <w:rPr>
      <w:rFonts w:ascii="Calibri" w:hAnsi="Calibri" w:cs="Calibri"/>
      <w:shd w:val="clear" w:color="auto" w:fill="DEDD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quineteurope.org/strategic-litigation-handboo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rm.coe.int/equality-bodies-as-amicus-curiae/16809320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e.int/en/web/execution/nhri-n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quineteurope.org/eb/cp-slug-22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quineteurope.org/what-are-equality-bodies/standards-for-equality-bodi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neteurope.org/publications/litigation-powers-of-equality-bo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f4851-1fe8-4378-a6d9-5967d98f316b" xsi:nil="true"/>
    <lcf76f155ced4ddcb4097134ff3c332f xmlns="5dcaf206-b009-4658-99e1-4d638e44d8f5">
      <Terms xmlns="http://schemas.microsoft.com/office/infopath/2007/PartnerControls"/>
    </lcf76f155ced4ddcb4097134ff3c332f>
    <URL xmlns="5dcaf206-b009-4658-99e1-4d638e44d8f5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9" ma:contentTypeDescription="Create a new document." ma:contentTypeScope="" ma:versionID="24c4f0fb971506cb32eded772314e1f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6de88571e738abf75a08d6972eb71fed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1b2610-8ca3-4954-baf1-f497d7f4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178bd2-4b36-41f2-9a25-ef564fee8ee7}" ma:internalName="TaxCatchAll" ma:showField="CatchAllData" ma:web="1fbf4851-1fe8-4378-a6d9-5967d98f3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8BA5-3A9D-4B4B-A698-6696A46574F8}">
  <ds:schemaRefs>
    <ds:schemaRef ds:uri="http://schemas.microsoft.com/office/2006/metadata/properties"/>
    <ds:schemaRef ds:uri="http://schemas.microsoft.com/office/infopath/2007/PartnerControls"/>
    <ds:schemaRef ds:uri="1fbf4851-1fe8-4378-a6d9-5967d98f316b"/>
    <ds:schemaRef ds:uri="5dcaf206-b009-4658-99e1-4d638e44d8f5"/>
  </ds:schemaRefs>
</ds:datastoreItem>
</file>

<file path=customXml/itemProps2.xml><?xml version="1.0" encoding="utf-8"?>
<ds:datastoreItem xmlns:ds="http://schemas.openxmlformats.org/officeDocument/2006/customXml" ds:itemID="{ACB0DB3A-4718-4D6B-8EF6-D7259D0F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A7AF8-FDB6-4935-8FEA-4C18997F5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A1084-B6A6-4A7D-8A1A-39F8DED9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8690</Characters>
  <Application>Microsoft Office Word</Application>
  <DocSecurity>0</DocSecurity>
  <Lines>184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Links>
    <vt:vector size="126" baseType="variant">
      <vt:variant>
        <vt:i4>917508</vt:i4>
      </vt:variant>
      <vt:variant>
        <vt:i4>105</vt:i4>
      </vt:variant>
      <vt:variant>
        <vt:i4>0</vt:i4>
      </vt:variant>
      <vt:variant>
        <vt:i4>5</vt:i4>
      </vt:variant>
      <vt:variant>
        <vt:lpwstr>https://equineteurope.org/strategic-litigation-handbook/</vt:lpwstr>
      </vt:variant>
      <vt:variant>
        <vt:lpwstr/>
      </vt:variant>
      <vt:variant>
        <vt:i4>655429</vt:i4>
      </vt:variant>
      <vt:variant>
        <vt:i4>102</vt:i4>
      </vt:variant>
      <vt:variant>
        <vt:i4>0</vt:i4>
      </vt:variant>
      <vt:variant>
        <vt:i4>5</vt:i4>
      </vt:variant>
      <vt:variant>
        <vt:lpwstr>https://rm.coe.int/equality-bodies-as-amicus-curiae/1680932030</vt:lpwstr>
      </vt:variant>
      <vt:variant>
        <vt:lpwstr>:~:text=The%20role%20of%20Equality%20Bodies%20as%20amicus%20curiae%20in%20Europe8,national%20courts%20as%20amicus%20curiae.</vt:lpwstr>
      </vt:variant>
      <vt:variant>
        <vt:i4>7012366</vt:i4>
      </vt:variant>
      <vt:variant>
        <vt:i4>99</vt:i4>
      </vt:variant>
      <vt:variant>
        <vt:i4>0</vt:i4>
      </vt:variant>
      <vt:variant>
        <vt:i4>5</vt:i4>
      </vt:variant>
      <vt:variant>
        <vt:lpwstr>file://C:\\Users\mama\Downloads\PD_Third_Party_intervention_ENG (2).pdf</vt:lpwstr>
      </vt:variant>
      <vt:variant>
        <vt:lpwstr/>
      </vt:variant>
      <vt:variant>
        <vt:i4>4259916</vt:i4>
      </vt:variant>
      <vt:variant>
        <vt:i4>96</vt:i4>
      </vt:variant>
      <vt:variant>
        <vt:i4>0</vt:i4>
      </vt:variant>
      <vt:variant>
        <vt:i4>5</vt:i4>
      </vt:variant>
      <vt:variant>
        <vt:lpwstr>https://www.coe.int/en/web/execution/nhri-ngo</vt:lpwstr>
      </vt:variant>
      <vt:variant>
        <vt:lpwstr>{%2244361690%22:[0]}</vt:lpwstr>
      </vt:variant>
      <vt:variant>
        <vt:i4>196614</vt:i4>
      </vt:variant>
      <vt:variant>
        <vt:i4>93</vt:i4>
      </vt:variant>
      <vt:variant>
        <vt:i4>0</vt:i4>
      </vt:variant>
      <vt:variant>
        <vt:i4>5</vt:i4>
      </vt:variant>
      <vt:variant>
        <vt:lpwstr>https://equineteurope.org/what-are-equality-bodies/standards-for-equality-bodies/</vt:lpwstr>
      </vt:variant>
      <vt:variant>
        <vt:lpwstr/>
      </vt:variant>
      <vt:variant>
        <vt:i4>5505031</vt:i4>
      </vt:variant>
      <vt:variant>
        <vt:i4>90</vt:i4>
      </vt:variant>
      <vt:variant>
        <vt:i4>0</vt:i4>
      </vt:variant>
      <vt:variant>
        <vt:i4>5</vt:i4>
      </vt:variant>
      <vt:variant>
        <vt:lpwstr>https://equineteurope.org/publications/litigation-powers-of-equality-bodies/</vt:lpwstr>
      </vt:variant>
      <vt:variant>
        <vt:lpwstr/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_Toc169271852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_Toc169271851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_Toc169271850</vt:lpwstr>
      </vt:variant>
      <vt:variant>
        <vt:i4>1441847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_Toc169271849</vt:lpwstr>
      </vt:variant>
      <vt:variant>
        <vt:i4>1441847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_Toc169271848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_Toc169271847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_Toc169271846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_Toc169271845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_Toc169271844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_Toc169271843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_Toc169271842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_Toc169271841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_Toc169271840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_Toc169271839</vt:lpwstr>
      </vt:variant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https://equineteurope.org/eb/cp-slug-22/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Maier</dc:creator>
  <cp:keywords/>
  <dc:description/>
  <cp:lastModifiedBy>Chiara d'Agni</cp:lastModifiedBy>
  <cp:revision>107</cp:revision>
  <dcterms:created xsi:type="dcterms:W3CDTF">2024-06-07T10:35:00Z</dcterms:created>
  <dcterms:modified xsi:type="dcterms:W3CDTF">2024-06-14T14:43:00Z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  <property fmtid="{D5CDD505-2E9C-101B-9397-08002B2CF9AE}" pid="3" name="MediaServiceImageTags">
    <vt:lpwstr/>
  </property>
  <property fmtid="{D5CDD505-2E9C-101B-9397-08002B2CF9AE}" pid="4" name="GrammarlyDocumentId">
    <vt:lpwstr>2a6ffe88de134f12e10714378e05660a646ac6ba2314d3fa454f2fa712e08f65</vt:lpwstr>
  </property>
</Properties>
</file>