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82A35" w14:textId="77777777" w:rsidR="00762C3A" w:rsidRPr="009C70BC" w:rsidRDefault="005C0653" w:rsidP="00762C3A">
      <w:pPr>
        <w:autoSpaceDE w:val="0"/>
        <w:autoSpaceDN w:val="0"/>
        <w:adjustRightInd w:val="0"/>
        <w:spacing w:after="0" w:line="240" w:lineRule="auto"/>
        <w:rPr>
          <w:rFonts w:ascii="DINPro-Bold" w:hAnsi="DINPro-Bold" w:cs="DINPro-Bold"/>
          <w:color w:val="2A3E90"/>
          <w:sz w:val="48"/>
          <w:szCs w:val="48"/>
        </w:rPr>
      </w:pPr>
      <w:r>
        <w:rPr>
          <w:rStyle w:val="normaltextrun"/>
          <w:rFonts w:asciiTheme="minorHAnsi" w:eastAsia="Segoe UI" w:hAnsiTheme="minorHAnsi" w:cstheme="minorHAnsi"/>
          <w:lang w:val="en-GB"/>
        </w:rPr>
        <w:t xml:space="preserve"> </w:t>
      </w:r>
      <w:r w:rsidR="00762C3A" w:rsidRPr="009C70BC">
        <w:rPr>
          <w:rFonts w:ascii="DINPro-Bold" w:hAnsi="DINPro-Bold" w:cs="DINPro-Bold"/>
          <w:color w:val="2A3E90"/>
          <w:sz w:val="48"/>
          <w:szCs w:val="48"/>
        </w:rPr>
        <w:t>Equinet</w:t>
      </w:r>
    </w:p>
    <w:p w14:paraId="50E82153" w14:textId="77777777" w:rsidR="00762C3A" w:rsidRDefault="00762C3A" w:rsidP="00762C3A">
      <w:pPr>
        <w:autoSpaceDE w:val="0"/>
        <w:autoSpaceDN w:val="0"/>
        <w:adjustRightInd w:val="0"/>
        <w:spacing w:before="360" w:after="360" w:line="240" w:lineRule="auto"/>
        <w:rPr>
          <w:rFonts w:ascii="DINPro-Bold" w:hAnsi="DINPro-Bold" w:cs="DINPro-Bold"/>
          <w:color w:val="2A3E90"/>
          <w:sz w:val="48"/>
          <w:szCs w:val="48"/>
        </w:rPr>
      </w:pPr>
      <w:r w:rsidRPr="00FC6394">
        <w:rPr>
          <w:rFonts w:ascii="DINPro-Bold" w:hAnsi="DINPro-Bold" w:cs="DINPro-Bold"/>
          <w:color w:val="2A3E90"/>
          <w:sz w:val="48"/>
          <w:szCs w:val="48"/>
        </w:rPr>
        <w:t>Equality Bodies protecting the rights of rainbow families on the move</w:t>
      </w:r>
    </w:p>
    <w:p w14:paraId="74534078" w14:textId="77777777" w:rsidR="00762C3A" w:rsidRDefault="00762C3A" w:rsidP="00762C3A">
      <w:pPr>
        <w:autoSpaceDE w:val="0"/>
        <w:autoSpaceDN w:val="0"/>
        <w:adjustRightInd w:val="0"/>
        <w:spacing w:before="360" w:after="360" w:line="240" w:lineRule="auto"/>
        <w:rPr>
          <w:rFonts w:ascii="DINPro-Bold" w:hAnsi="DINPro-Bold" w:cs="DINPro-Bold"/>
          <w:color w:val="2A3E90"/>
          <w:sz w:val="48"/>
          <w:szCs w:val="48"/>
        </w:rPr>
      </w:pPr>
      <w:r>
        <w:rPr>
          <w:rFonts w:ascii="DINPro-Bold" w:hAnsi="DINPro-Bold" w:cs="DINPro-Bold"/>
          <w:color w:val="2A3E90"/>
          <w:sz w:val="48"/>
          <w:szCs w:val="48"/>
        </w:rPr>
        <w:t>An Equinet Report</w:t>
      </w:r>
    </w:p>
    <w:p w14:paraId="38DD3B33" w14:textId="77777777" w:rsidR="00762C3A" w:rsidRPr="009C70BC" w:rsidRDefault="00762C3A" w:rsidP="00762C3A">
      <w:pPr>
        <w:autoSpaceDE w:val="0"/>
        <w:autoSpaceDN w:val="0"/>
        <w:adjustRightInd w:val="0"/>
        <w:spacing w:before="480" w:after="480" w:line="240" w:lineRule="auto"/>
        <w:rPr>
          <w:rFonts w:ascii="DINPro-Light" w:hAnsi="DINPro-Light" w:cs="DINPro-Light"/>
          <w:color w:val="2A3E90"/>
          <w:sz w:val="76"/>
          <w:szCs w:val="76"/>
        </w:rPr>
      </w:pPr>
      <w:r w:rsidRPr="009C70BC">
        <w:rPr>
          <w:rFonts w:ascii="DINPro-Light" w:hAnsi="DINPro-Light" w:cs="DINPro-Light"/>
          <w:color w:val="2A3E90"/>
          <w:sz w:val="76"/>
          <w:szCs w:val="76"/>
        </w:rPr>
        <w:t>2023</w:t>
      </w:r>
    </w:p>
    <w:p w14:paraId="763EAEDA" w14:textId="3962F020" w:rsidR="00762C3A" w:rsidRPr="009C70BC" w:rsidRDefault="00753687" w:rsidP="00753687">
      <w:pPr>
        <w:autoSpaceDE w:val="0"/>
        <w:autoSpaceDN w:val="0"/>
        <w:adjustRightInd w:val="0"/>
        <w:spacing w:after="0" w:line="240" w:lineRule="auto"/>
        <w:rPr>
          <w:rFonts w:ascii="DINPro-Light" w:hAnsi="DINPro-Light" w:cs="DINPro-Light"/>
          <w:color w:val="2A3E90"/>
          <w:sz w:val="36"/>
          <w:szCs w:val="36"/>
        </w:rPr>
      </w:pPr>
      <w:r w:rsidRPr="00372600">
        <w:rPr>
          <w:rFonts w:ascii="DIN-LightItalicAlt" w:hAnsi="DIN-LightItalicAlt" w:cs="DIN-LightItalicAlt"/>
          <w:i/>
          <w:iCs/>
          <w:sz w:val="36"/>
          <w:szCs w:val="36"/>
        </w:rPr>
        <w:t>B</w:t>
      </w:r>
      <w:r w:rsidR="00762C3A" w:rsidRPr="00372600">
        <w:rPr>
          <w:rFonts w:ascii="DIN-LightItalicAlt" w:hAnsi="DIN-LightItalicAlt" w:cs="DIN-LightItalicAlt"/>
          <w:i/>
          <w:iCs/>
          <w:sz w:val="36"/>
          <w:szCs w:val="36"/>
        </w:rPr>
        <w:t>y</w:t>
      </w:r>
      <w:r>
        <w:rPr>
          <w:rFonts w:ascii="DINPro-Light" w:hAnsi="DINPro-Light" w:cs="DINPro-Light"/>
          <w:color w:val="2A3E90"/>
          <w:sz w:val="36"/>
          <w:szCs w:val="36"/>
        </w:rPr>
        <w:t xml:space="preserve"> </w:t>
      </w:r>
      <w:r w:rsidRPr="00753687">
        <w:rPr>
          <w:rFonts w:ascii="DINPro-Light" w:hAnsi="DINPro-Light" w:cs="DINPro-Light"/>
          <w:color w:val="2A3E90"/>
          <w:sz w:val="36"/>
          <w:szCs w:val="36"/>
        </w:rPr>
        <w:t>Equinet’s Cluster on Rainbow Families on the Mov</w:t>
      </w:r>
      <w:r>
        <w:rPr>
          <w:rFonts w:ascii="DINPro-Light" w:hAnsi="DINPro-Light" w:cs="DINPro-Light"/>
          <w:color w:val="2A3E90"/>
          <w:sz w:val="36"/>
          <w:szCs w:val="36"/>
        </w:rPr>
        <w:t>e</w:t>
      </w:r>
    </w:p>
    <w:p w14:paraId="5DC6C992" w14:textId="77777777" w:rsidR="00762C3A" w:rsidRPr="009C70BC" w:rsidRDefault="00762C3A" w:rsidP="00762C3A">
      <w:pPr>
        <w:spacing w:line="240" w:lineRule="auto"/>
        <w:rPr>
          <w:rFonts w:ascii="DINPro-Light" w:hAnsi="DINPro-Light" w:cs="DINPro-Light"/>
          <w:color w:val="2A3E90"/>
          <w:sz w:val="36"/>
          <w:szCs w:val="36"/>
        </w:rPr>
      </w:pPr>
    </w:p>
    <w:p w14:paraId="2E2FC0EE" w14:textId="77777777" w:rsidR="00762C3A" w:rsidRPr="00A65085" w:rsidRDefault="00762C3A" w:rsidP="00762C3A">
      <w:pPr>
        <w:autoSpaceDE w:val="0"/>
        <w:autoSpaceDN w:val="0"/>
        <w:adjustRightInd w:val="0"/>
        <w:spacing w:after="0" w:line="240" w:lineRule="auto"/>
        <w:rPr>
          <w:rFonts w:ascii="DINPro-Bold" w:hAnsi="DINPro-Bold" w:cs="DINPro-Bold"/>
          <w:color w:val="2A3E90"/>
          <w:sz w:val="40"/>
          <w:szCs w:val="40"/>
        </w:rPr>
      </w:pPr>
      <w:r w:rsidRPr="009C70BC">
        <w:rPr>
          <w:rFonts w:ascii="DINPro-Bold" w:hAnsi="DINPro-Bold" w:cs="DINPro-Bold"/>
          <w:color w:val="2A3E90"/>
          <w:sz w:val="40"/>
          <w:szCs w:val="40"/>
        </w:rPr>
        <w:t>Co-funded by the European Union</w:t>
      </w:r>
    </w:p>
    <w:p w14:paraId="545265C6" w14:textId="79092A99" w:rsidR="002974A0" w:rsidRPr="00932771" w:rsidRDefault="002974A0" w:rsidP="002974A0">
      <w:pPr>
        <w:pStyle w:val="paragraph"/>
        <w:spacing w:before="0" w:beforeAutospacing="0" w:after="0" w:afterAutospacing="0"/>
        <w:textAlignment w:val="baseline"/>
        <w:rPr>
          <w:rStyle w:val="normaltextrun"/>
          <w:rFonts w:asciiTheme="minorHAnsi" w:eastAsia="Segoe UI" w:hAnsiTheme="minorHAnsi" w:cstheme="minorHAnsi"/>
          <w:sz w:val="22"/>
          <w:szCs w:val="22"/>
          <w:lang w:val="en-US"/>
        </w:rPr>
        <w:sectPr w:rsidR="002974A0" w:rsidRPr="00932771" w:rsidSect="006C1178">
          <w:headerReference w:type="default" r:id="rId12"/>
          <w:footerReference w:type="default" r:id="rId13"/>
          <w:pgSz w:w="11906" w:h="16838"/>
          <w:pgMar w:top="1440" w:right="1440" w:bottom="1440" w:left="1440" w:header="708" w:footer="708" w:gutter="0"/>
          <w:cols w:space="708"/>
          <w:docGrid w:linePitch="360"/>
        </w:sectPr>
      </w:pPr>
    </w:p>
    <w:p w14:paraId="6394EE2F" w14:textId="269F7527" w:rsidR="002A2BE0" w:rsidRDefault="00630713" w:rsidP="002A2BE0">
      <w:pPr>
        <w:pStyle w:val="paragraph"/>
        <w:spacing w:before="0" w:beforeAutospacing="0" w:after="0" w:afterAutospacing="0"/>
        <w:textAlignment w:val="baseline"/>
        <w:rPr>
          <w:rStyle w:val="eop"/>
          <w:rFonts w:asciiTheme="minorHAnsi" w:eastAsia="Segoe UI" w:hAnsiTheme="minorHAnsi" w:cstheme="minorBidi"/>
          <w:sz w:val="22"/>
          <w:szCs w:val="22"/>
          <w:lang w:val="en-US"/>
        </w:rPr>
      </w:pPr>
      <w:r>
        <w:rPr>
          <w:rStyle w:val="normaltextrun"/>
          <w:rFonts w:asciiTheme="minorHAnsi" w:eastAsia="Segoe UI" w:hAnsiTheme="minorHAnsi" w:cstheme="minorBidi"/>
          <w:sz w:val="22"/>
          <w:szCs w:val="22"/>
          <w:lang w:val="en-GB"/>
        </w:rPr>
        <w:lastRenderedPageBreak/>
        <w:t>“</w:t>
      </w:r>
      <w:r w:rsidR="002A2BE0">
        <w:rPr>
          <w:rStyle w:val="normaltextrun"/>
          <w:rFonts w:asciiTheme="minorHAnsi" w:eastAsia="Segoe UI" w:hAnsiTheme="minorHAnsi" w:cstheme="minorBidi"/>
          <w:sz w:val="22"/>
          <w:szCs w:val="22"/>
          <w:lang w:val="en-GB"/>
        </w:rPr>
        <w:t xml:space="preserve">Equality Bodies protecting the rights of rainbow families on the move” is </w:t>
      </w:r>
      <w:r w:rsidR="002A2BE0" w:rsidRPr="10D2A517">
        <w:rPr>
          <w:rStyle w:val="normaltextrun"/>
          <w:rFonts w:asciiTheme="minorHAnsi" w:eastAsia="Segoe UI" w:hAnsiTheme="minorHAnsi" w:cstheme="minorBidi"/>
          <w:sz w:val="22"/>
          <w:szCs w:val="22"/>
          <w:lang w:val="en-GB"/>
        </w:rPr>
        <w:t>published by Equinet, European Network of Equality Bodies. Equinet brings together 48 organisations from across Europe which are empowered to counteract discrimination as national Equality Bodies across the range of grounds including age, disability, gender, race or ethnic origin, religion or belief, and sexual orientation.</w:t>
      </w:r>
      <w:r w:rsidR="002A2BE0" w:rsidRPr="10D2A517">
        <w:rPr>
          <w:rStyle w:val="eop"/>
          <w:rFonts w:asciiTheme="minorHAnsi" w:eastAsia="Segoe UI" w:hAnsiTheme="minorHAnsi" w:cstheme="minorBidi"/>
          <w:sz w:val="22"/>
          <w:szCs w:val="22"/>
          <w:lang w:val="en-US"/>
        </w:rPr>
        <w:t>  </w:t>
      </w:r>
    </w:p>
    <w:p w14:paraId="6382621B" w14:textId="77777777" w:rsidR="002A2BE0" w:rsidRDefault="002A2BE0" w:rsidP="002A2BE0">
      <w:pPr>
        <w:pStyle w:val="paragraph"/>
        <w:spacing w:before="0" w:beforeAutospacing="0" w:after="0" w:afterAutospacing="0"/>
        <w:textAlignment w:val="baseline"/>
        <w:rPr>
          <w:rStyle w:val="eop"/>
          <w:rFonts w:asciiTheme="minorHAnsi" w:eastAsia="Segoe UI" w:hAnsiTheme="minorHAnsi" w:cstheme="minorBidi"/>
          <w:sz w:val="22"/>
          <w:szCs w:val="22"/>
          <w:lang w:val="en-US"/>
        </w:rPr>
      </w:pPr>
    </w:p>
    <w:p w14:paraId="1BFA8844" w14:textId="55D0CF44" w:rsidR="002A2BE0" w:rsidRPr="005F5381" w:rsidRDefault="002A2BE0" w:rsidP="002A2BE0">
      <w:pPr>
        <w:pStyle w:val="paragraph"/>
        <w:spacing w:before="0" w:beforeAutospacing="0" w:after="0" w:afterAutospacing="0"/>
        <w:textAlignment w:val="baseline"/>
        <w:rPr>
          <w:rFonts w:asciiTheme="minorHAnsi" w:eastAsia="Segoe UI" w:hAnsiTheme="minorHAnsi" w:cstheme="minorBidi"/>
          <w:sz w:val="22"/>
          <w:szCs w:val="22"/>
          <w:lang w:val="en-US"/>
        </w:rPr>
      </w:pPr>
      <w:r w:rsidRPr="005F5381">
        <w:rPr>
          <w:rStyle w:val="normaltextrun"/>
          <w:rFonts w:asciiTheme="minorHAnsi" w:eastAsia="Segoe UI" w:hAnsiTheme="minorHAnsi" w:cstheme="minorHAnsi"/>
          <w:b/>
          <w:bCs/>
          <w:sz w:val="22"/>
          <w:szCs w:val="22"/>
          <w:lang w:val="en-GB"/>
        </w:rPr>
        <w:t>Equinet members</w:t>
      </w:r>
      <w:r w:rsidRPr="005F5381">
        <w:rPr>
          <w:rStyle w:val="normaltextrun"/>
          <w:rFonts w:asciiTheme="minorHAnsi" w:eastAsia="Segoe UI" w:hAnsiTheme="minorHAnsi" w:cstheme="minorHAnsi"/>
          <w:sz w:val="22"/>
          <w:szCs w:val="22"/>
          <w:lang w:val="en-GB"/>
        </w:rPr>
        <w:t xml:space="preserve">: Commissioner for the Protection from Discrimination, </w:t>
      </w:r>
      <w:r w:rsidRPr="005F5381">
        <w:rPr>
          <w:rStyle w:val="normaltextrun"/>
          <w:rFonts w:asciiTheme="minorHAnsi" w:eastAsia="Segoe UI" w:hAnsiTheme="minorHAnsi" w:cstheme="minorHAnsi"/>
          <w:b/>
          <w:bCs/>
          <w:sz w:val="22"/>
          <w:szCs w:val="22"/>
          <w:lang w:val="en-GB"/>
        </w:rPr>
        <w:t>Albania</w:t>
      </w:r>
      <w:r w:rsidRPr="005F5381">
        <w:rPr>
          <w:rStyle w:val="normaltextrun"/>
          <w:rFonts w:asciiTheme="minorHAnsi" w:eastAsia="Segoe UI" w:hAnsiTheme="minorHAnsi" w:cstheme="minorHAnsi"/>
          <w:sz w:val="22"/>
          <w:szCs w:val="22"/>
          <w:lang w:val="en-GB"/>
        </w:rPr>
        <w:t xml:space="preserve"> | Austrian Disability Ombudsman, </w:t>
      </w:r>
      <w:r w:rsidRPr="005F5381">
        <w:rPr>
          <w:rStyle w:val="normaltextrun"/>
          <w:rFonts w:asciiTheme="minorHAnsi" w:eastAsia="Segoe UI" w:hAnsiTheme="minorHAnsi" w:cstheme="minorHAnsi"/>
          <w:b/>
          <w:bCs/>
          <w:sz w:val="22"/>
          <w:szCs w:val="22"/>
          <w:lang w:val="en-GB"/>
        </w:rPr>
        <w:t>Austria</w:t>
      </w:r>
      <w:r w:rsidRPr="005F5381">
        <w:rPr>
          <w:rStyle w:val="normaltextrun"/>
          <w:rFonts w:asciiTheme="minorHAnsi" w:eastAsia="Segoe UI" w:hAnsiTheme="minorHAnsi" w:cstheme="minorHAnsi"/>
          <w:sz w:val="22"/>
          <w:szCs w:val="22"/>
          <w:lang w:val="en-GB"/>
        </w:rPr>
        <w:t xml:space="preserve"> | Ombud for Equal Treatment, </w:t>
      </w:r>
      <w:r w:rsidRPr="005F5381">
        <w:rPr>
          <w:rStyle w:val="normaltextrun"/>
          <w:rFonts w:asciiTheme="minorHAnsi" w:eastAsia="Segoe UI" w:hAnsiTheme="minorHAnsi" w:cstheme="minorHAnsi"/>
          <w:b/>
          <w:bCs/>
          <w:sz w:val="22"/>
          <w:szCs w:val="22"/>
          <w:lang w:val="en-GB"/>
        </w:rPr>
        <w:t>Austria</w:t>
      </w:r>
      <w:r w:rsidRPr="005F5381">
        <w:rPr>
          <w:rStyle w:val="normaltextrun"/>
          <w:rFonts w:asciiTheme="minorHAnsi" w:eastAsia="Segoe UI" w:hAnsiTheme="minorHAnsi" w:cstheme="minorHAnsi"/>
          <w:sz w:val="22"/>
          <w:szCs w:val="22"/>
          <w:lang w:val="en-GB"/>
        </w:rPr>
        <w:t xml:space="preserve"> | Unia (Interfederal Centre for Equal Opportunities), </w:t>
      </w:r>
      <w:r w:rsidRPr="005F5381">
        <w:rPr>
          <w:rStyle w:val="normaltextrun"/>
          <w:rFonts w:asciiTheme="minorHAnsi" w:eastAsia="Segoe UI" w:hAnsiTheme="minorHAnsi" w:cstheme="minorHAnsi"/>
          <w:b/>
          <w:bCs/>
          <w:sz w:val="22"/>
          <w:szCs w:val="22"/>
          <w:lang w:val="en-GB"/>
        </w:rPr>
        <w:t>Belgium</w:t>
      </w:r>
      <w:r w:rsidRPr="005F5381">
        <w:rPr>
          <w:rStyle w:val="normaltextrun"/>
          <w:rFonts w:asciiTheme="minorHAnsi" w:eastAsia="Segoe UI" w:hAnsiTheme="minorHAnsi" w:cstheme="minorHAnsi"/>
          <w:sz w:val="22"/>
          <w:szCs w:val="22"/>
          <w:lang w:val="en-GB"/>
        </w:rPr>
        <w:t xml:space="preserve"> | Institute for Equality between Women and Men, </w:t>
      </w:r>
      <w:r w:rsidRPr="005F5381">
        <w:rPr>
          <w:rStyle w:val="normaltextrun"/>
          <w:rFonts w:asciiTheme="minorHAnsi" w:eastAsia="Segoe UI" w:hAnsiTheme="minorHAnsi" w:cstheme="minorHAnsi"/>
          <w:b/>
          <w:bCs/>
          <w:sz w:val="22"/>
          <w:szCs w:val="22"/>
          <w:lang w:val="en-GB"/>
        </w:rPr>
        <w:t>Belgium</w:t>
      </w:r>
      <w:r w:rsidRPr="005F5381">
        <w:rPr>
          <w:rStyle w:val="normaltextrun"/>
          <w:rFonts w:asciiTheme="minorHAnsi" w:eastAsia="Segoe UI" w:hAnsiTheme="minorHAnsi" w:cstheme="minorHAnsi"/>
          <w:sz w:val="22"/>
          <w:szCs w:val="22"/>
          <w:lang w:val="en-GB"/>
        </w:rPr>
        <w:t xml:space="preserve"> | Institution of Human Rights Ombudsman, </w:t>
      </w:r>
      <w:r w:rsidRPr="005F5381">
        <w:rPr>
          <w:rStyle w:val="normaltextrun"/>
          <w:rFonts w:asciiTheme="minorHAnsi" w:eastAsia="Segoe UI" w:hAnsiTheme="minorHAnsi" w:cstheme="minorHAnsi"/>
          <w:b/>
          <w:bCs/>
          <w:sz w:val="22"/>
          <w:szCs w:val="22"/>
          <w:lang w:val="en-GB"/>
        </w:rPr>
        <w:t>Bosnia and Herzegovina</w:t>
      </w:r>
      <w:r w:rsidRPr="005F5381">
        <w:rPr>
          <w:rStyle w:val="normaltextrun"/>
          <w:rFonts w:asciiTheme="minorHAnsi" w:eastAsia="Segoe UI" w:hAnsiTheme="minorHAnsi" w:cstheme="minorHAnsi"/>
          <w:sz w:val="22"/>
          <w:szCs w:val="22"/>
          <w:lang w:val="en-GB"/>
        </w:rPr>
        <w:t xml:space="preserve"> | Commission for Protection against Discrimination,</w:t>
      </w:r>
      <w:r w:rsidRPr="005F5381">
        <w:rPr>
          <w:rStyle w:val="normaltextrun"/>
          <w:rFonts w:asciiTheme="minorHAnsi" w:eastAsia="Segoe UI" w:hAnsiTheme="minorHAnsi" w:cstheme="minorHAnsi"/>
          <w:b/>
          <w:bCs/>
          <w:sz w:val="22"/>
          <w:szCs w:val="22"/>
          <w:lang w:val="en-GB"/>
        </w:rPr>
        <w:t xml:space="preserve"> Bulgaria</w:t>
      </w:r>
      <w:r w:rsidRPr="005F5381">
        <w:rPr>
          <w:rStyle w:val="normaltextrun"/>
          <w:rFonts w:asciiTheme="minorHAnsi" w:eastAsia="Segoe UI" w:hAnsiTheme="minorHAnsi" w:cstheme="minorHAnsi"/>
          <w:sz w:val="22"/>
          <w:szCs w:val="22"/>
          <w:lang w:val="en-GB"/>
        </w:rPr>
        <w:t xml:space="preserve"> | Ombuds</w:t>
      </w:r>
      <w:r>
        <w:rPr>
          <w:rStyle w:val="normaltextrun"/>
          <w:rFonts w:asciiTheme="minorHAnsi" w:eastAsia="Segoe UI" w:hAnsiTheme="minorHAnsi" w:cstheme="minorHAnsi"/>
          <w:sz w:val="22"/>
          <w:szCs w:val="22"/>
          <w:lang w:val="en-GB"/>
        </w:rPr>
        <w:t>wo</w:t>
      </w:r>
      <w:r w:rsidRPr="005F5381">
        <w:rPr>
          <w:rStyle w:val="normaltextrun"/>
          <w:rFonts w:asciiTheme="minorHAnsi" w:eastAsia="Segoe UI" w:hAnsiTheme="minorHAnsi" w:cstheme="minorHAnsi"/>
          <w:sz w:val="22"/>
          <w:szCs w:val="22"/>
          <w:lang w:val="en-GB"/>
        </w:rPr>
        <w:t>man</w:t>
      </w:r>
      <w:r>
        <w:rPr>
          <w:rStyle w:val="normaltextrun"/>
          <w:rFonts w:asciiTheme="minorHAnsi" w:eastAsia="Segoe UI" w:hAnsiTheme="minorHAnsi" w:cstheme="minorHAnsi"/>
          <w:sz w:val="22"/>
          <w:szCs w:val="22"/>
          <w:lang w:val="en-GB"/>
        </w:rPr>
        <w:t xml:space="preserve"> of the Republic of Croatia</w:t>
      </w:r>
      <w:r w:rsidRPr="005F5381">
        <w:rPr>
          <w:rStyle w:val="normaltextrun"/>
          <w:rFonts w:asciiTheme="minorHAnsi" w:eastAsia="Segoe UI" w:hAnsiTheme="minorHAnsi" w:cstheme="minorHAnsi"/>
          <w:sz w:val="22"/>
          <w:szCs w:val="22"/>
          <w:lang w:val="en-GB"/>
        </w:rPr>
        <w:t>,</w:t>
      </w:r>
      <w:r w:rsidRPr="005F5381">
        <w:rPr>
          <w:rStyle w:val="normaltextrun"/>
          <w:rFonts w:asciiTheme="minorHAnsi" w:eastAsia="Segoe UI" w:hAnsiTheme="minorHAnsi" w:cstheme="minorHAnsi"/>
          <w:b/>
          <w:bCs/>
          <w:sz w:val="22"/>
          <w:szCs w:val="22"/>
          <w:lang w:val="en-GB"/>
        </w:rPr>
        <w:t xml:space="preserve"> Croatia</w:t>
      </w:r>
      <w:r w:rsidRPr="005F5381">
        <w:rPr>
          <w:rStyle w:val="normaltextrun"/>
          <w:rFonts w:asciiTheme="minorHAnsi" w:eastAsia="Segoe UI" w:hAnsiTheme="minorHAnsi" w:cstheme="minorHAnsi"/>
          <w:sz w:val="22"/>
          <w:szCs w:val="22"/>
          <w:lang w:val="en-GB"/>
        </w:rPr>
        <w:t xml:space="preserve"> | Ombudsperson for Gender Equality,</w:t>
      </w:r>
      <w:r w:rsidRPr="005F5381">
        <w:rPr>
          <w:rStyle w:val="normaltextrun"/>
          <w:rFonts w:asciiTheme="minorHAnsi" w:eastAsia="Segoe UI" w:hAnsiTheme="minorHAnsi" w:cstheme="minorHAnsi"/>
          <w:b/>
          <w:bCs/>
          <w:sz w:val="22"/>
          <w:szCs w:val="22"/>
          <w:lang w:val="en-GB"/>
        </w:rPr>
        <w:t xml:space="preserve"> Croatia</w:t>
      </w:r>
      <w:r w:rsidRPr="005F5381">
        <w:rPr>
          <w:rStyle w:val="normaltextrun"/>
          <w:rFonts w:asciiTheme="minorHAnsi" w:eastAsia="Segoe UI" w:hAnsiTheme="minorHAnsi" w:cstheme="minorHAnsi"/>
          <w:sz w:val="22"/>
          <w:szCs w:val="22"/>
          <w:lang w:val="en-GB"/>
        </w:rPr>
        <w:t xml:space="preserve"> | Ombudswoman for Persons with Disabilities, </w:t>
      </w:r>
      <w:r w:rsidRPr="005F5381">
        <w:rPr>
          <w:rStyle w:val="normaltextrun"/>
          <w:rFonts w:asciiTheme="minorHAnsi" w:eastAsia="Segoe UI" w:hAnsiTheme="minorHAnsi" w:cstheme="minorHAnsi"/>
          <w:b/>
          <w:bCs/>
          <w:sz w:val="22"/>
          <w:szCs w:val="22"/>
          <w:lang w:val="en-GB"/>
        </w:rPr>
        <w:t>Croatia</w:t>
      </w:r>
      <w:r w:rsidRPr="005F5381">
        <w:rPr>
          <w:rStyle w:val="normaltextrun"/>
          <w:rFonts w:asciiTheme="minorHAnsi" w:eastAsia="Segoe UI" w:hAnsiTheme="minorHAnsi" w:cstheme="minorHAnsi"/>
          <w:sz w:val="22"/>
          <w:szCs w:val="22"/>
          <w:lang w:val="en-GB"/>
        </w:rPr>
        <w:t xml:space="preserve"> | Office of the Commissioner for Administration and the Protection of Human Rights (Ombudsman), </w:t>
      </w:r>
      <w:r w:rsidRPr="005F5381">
        <w:rPr>
          <w:rStyle w:val="normaltextrun"/>
          <w:rFonts w:asciiTheme="minorHAnsi" w:eastAsia="Segoe UI" w:hAnsiTheme="minorHAnsi" w:cstheme="minorHAnsi"/>
          <w:b/>
          <w:bCs/>
          <w:sz w:val="22"/>
          <w:szCs w:val="22"/>
          <w:lang w:val="en-GB"/>
        </w:rPr>
        <w:t>Cyprus</w:t>
      </w:r>
      <w:r w:rsidRPr="005F5381">
        <w:rPr>
          <w:rStyle w:val="normaltextrun"/>
          <w:rFonts w:asciiTheme="minorHAnsi" w:eastAsia="Segoe UI" w:hAnsiTheme="minorHAnsi" w:cstheme="minorHAnsi"/>
          <w:sz w:val="22"/>
          <w:szCs w:val="22"/>
          <w:lang w:val="en-GB"/>
        </w:rPr>
        <w:t xml:space="preserve"> | Office of the Public Defender of Rights, </w:t>
      </w:r>
      <w:r w:rsidRPr="005F5381">
        <w:rPr>
          <w:rStyle w:val="normaltextrun"/>
          <w:rFonts w:asciiTheme="minorHAnsi" w:eastAsia="Segoe UI" w:hAnsiTheme="minorHAnsi" w:cstheme="minorHAnsi"/>
          <w:b/>
          <w:bCs/>
          <w:sz w:val="22"/>
          <w:szCs w:val="22"/>
          <w:lang w:val="en-GB"/>
        </w:rPr>
        <w:t xml:space="preserve">Czech Republic </w:t>
      </w:r>
      <w:r w:rsidRPr="005F5381">
        <w:rPr>
          <w:rStyle w:val="normaltextrun"/>
          <w:rFonts w:asciiTheme="minorHAnsi" w:eastAsia="Segoe UI" w:hAnsiTheme="minorHAnsi" w:cstheme="minorHAnsi"/>
          <w:sz w:val="22"/>
          <w:szCs w:val="22"/>
          <w:lang w:val="en-GB"/>
        </w:rPr>
        <w:t xml:space="preserve">| Danish Institute for Human Rights, </w:t>
      </w:r>
      <w:r w:rsidRPr="005F5381">
        <w:rPr>
          <w:rStyle w:val="normaltextrun"/>
          <w:rFonts w:asciiTheme="minorHAnsi" w:eastAsia="Segoe UI" w:hAnsiTheme="minorHAnsi" w:cstheme="minorHAnsi"/>
          <w:b/>
          <w:bCs/>
          <w:sz w:val="22"/>
          <w:szCs w:val="22"/>
          <w:lang w:val="en-GB"/>
        </w:rPr>
        <w:t>Denmark</w:t>
      </w:r>
      <w:r w:rsidRPr="005F5381">
        <w:rPr>
          <w:rStyle w:val="normaltextrun"/>
          <w:rFonts w:asciiTheme="minorHAnsi" w:eastAsia="Segoe UI" w:hAnsiTheme="minorHAnsi" w:cstheme="minorHAnsi"/>
          <w:sz w:val="22"/>
          <w:szCs w:val="22"/>
          <w:lang w:val="en-GB"/>
        </w:rPr>
        <w:t xml:space="preserve"> | Gender Equality and Equal Treatment Commissioner, </w:t>
      </w:r>
      <w:r w:rsidRPr="005F5381">
        <w:rPr>
          <w:rStyle w:val="normaltextrun"/>
          <w:rFonts w:asciiTheme="minorHAnsi" w:eastAsia="Segoe UI" w:hAnsiTheme="minorHAnsi" w:cstheme="minorHAnsi"/>
          <w:b/>
          <w:bCs/>
          <w:sz w:val="22"/>
          <w:szCs w:val="22"/>
          <w:lang w:val="en-GB"/>
        </w:rPr>
        <w:t>Estonia</w:t>
      </w:r>
      <w:r w:rsidRPr="005F5381">
        <w:rPr>
          <w:rStyle w:val="normaltextrun"/>
          <w:rFonts w:asciiTheme="minorHAnsi" w:eastAsia="Segoe UI" w:hAnsiTheme="minorHAnsi" w:cstheme="minorHAnsi"/>
          <w:sz w:val="22"/>
          <w:szCs w:val="22"/>
          <w:lang w:val="en-GB"/>
        </w:rPr>
        <w:t xml:space="preserve"> | Ombudsman for Equality, </w:t>
      </w:r>
      <w:r w:rsidRPr="005F5381">
        <w:rPr>
          <w:rStyle w:val="normaltextrun"/>
          <w:rFonts w:asciiTheme="minorHAnsi" w:eastAsia="Segoe UI" w:hAnsiTheme="minorHAnsi" w:cstheme="minorHAnsi"/>
          <w:b/>
          <w:bCs/>
          <w:sz w:val="22"/>
          <w:szCs w:val="22"/>
          <w:lang w:val="en-GB"/>
        </w:rPr>
        <w:t>Finland</w:t>
      </w:r>
      <w:r w:rsidRPr="005F5381">
        <w:rPr>
          <w:rStyle w:val="normaltextrun"/>
          <w:rFonts w:asciiTheme="minorHAnsi" w:eastAsia="Segoe UI" w:hAnsiTheme="minorHAnsi" w:cstheme="minorHAnsi"/>
          <w:sz w:val="22"/>
          <w:szCs w:val="22"/>
          <w:lang w:val="en-GB"/>
        </w:rPr>
        <w:t xml:space="preserve"> | Non-Discrimination Ombudsman,</w:t>
      </w:r>
      <w:r w:rsidRPr="005F5381">
        <w:rPr>
          <w:rStyle w:val="normaltextrun"/>
          <w:rFonts w:asciiTheme="minorHAnsi" w:eastAsia="Segoe UI" w:hAnsiTheme="minorHAnsi" w:cstheme="minorHAnsi"/>
          <w:b/>
          <w:bCs/>
          <w:sz w:val="22"/>
          <w:szCs w:val="22"/>
          <w:lang w:val="en-GB"/>
        </w:rPr>
        <w:t xml:space="preserve"> Finland </w:t>
      </w:r>
      <w:r w:rsidRPr="005F5381">
        <w:rPr>
          <w:rStyle w:val="normaltextrun"/>
          <w:rFonts w:asciiTheme="minorHAnsi" w:eastAsia="Segoe UI" w:hAnsiTheme="minorHAnsi" w:cstheme="minorHAnsi"/>
          <w:sz w:val="22"/>
          <w:szCs w:val="22"/>
          <w:lang w:val="en-GB"/>
        </w:rPr>
        <w:t xml:space="preserve">| Defender of Rights, </w:t>
      </w:r>
      <w:r w:rsidRPr="005F5381">
        <w:rPr>
          <w:rStyle w:val="normaltextrun"/>
          <w:rFonts w:asciiTheme="minorHAnsi" w:eastAsia="Segoe UI" w:hAnsiTheme="minorHAnsi" w:cstheme="minorHAnsi"/>
          <w:b/>
          <w:bCs/>
          <w:sz w:val="22"/>
          <w:szCs w:val="22"/>
          <w:lang w:val="en-GB"/>
        </w:rPr>
        <w:t>France</w:t>
      </w:r>
      <w:r w:rsidRPr="005F5381">
        <w:rPr>
          <w:rStyle w:val="normaltextrun"/>
          <w:rFonts w:asciiTheme="minorHAnsi" w:eastAsia="Segoe UI" w:hAnsiTheme="minorHAnsi" w:cstheme="minorHAnsi"/>
          <w:sz w:val="22"/>
          <w:szCs w:val="22"/>
          <w:lang w:val="en-GB"/>
        </w:rPr>
        <w:t xml:space="preserve"> | Public Defender (Ombudsman), </w:t>
      </w:r>
      <w:r w:rsidRPr="005F5381">
        <w:rPr>
          <w:rStyle w:val="normaltextrun"/>
          <w:rFonts w:asciiTheme="minorHAnsi" w:eastAsia="Segoe UI" w:hAnsiTheme="minorHAnsi" w:cstheme="minorHAnsi"/>
          <w:b/>
          <w:bCs/>
          <w:sz w:val="22"/>
          <w:szCs w:val="22"/>
          <w:lang w:val="en-GB"/>
        </w:rPr>
        <w:t>Georgia</w:t>
      </w:r>
      <w:r w:rsidRPr="005F5381">
        <w:rPr>
          <w:rStyle w:val="normaltextrun"/>
          <w:rFonts w:asciiTheme="minorHAnsi" w:eastAsia="Segoe UI" w:hAnsiTheme="minorHAnsi" w:cstheme="minorHAnsi"/>
          <w:sz w:val="22"/>
          <w:szCs w:val="22"/>
          <w:lang w:val="en-GB"/>
        </w:rPr>
        <w:t xml:space="preserve">| Federal Anti-Discrimination Agency, </w:t>
      </w:r>
      <w:r w:rsidRPr="005F5381">
        <w:rPr>
          <w:rStyle w:val="normaltextrun"/>
          <w:rFonts w:asciiTheme="minorHAnsi" w:eastAsia="Segoe UI" w:hAnsiTheme="minorHAnsi" w:cstheme="minorHAnsi"/>
          <w:b/>
          <w:bCs/>
          <w:sz w:val="22"/>
          <w:szCs w:val="22"/>
          <w:lang w:val="en-GB"/>
        </w:rPr>
        <w:t>Germany</w:t>
      </w:r>
      <w:r w:rsidRPr="005F5381">
        <w:rPr>
          <w:rStyle w:val="normaltextrun"/>
          <w:rFonts w:asciiTheme="minorHAnsi" w:eastAsia="Segoe UI" w:hAnsiTheme="minorHAnsi" w:cstheme="minorHAnsi"/>
          <w:sz w:val="22"/>
          <w:szCs w:val="22"/>
          <w:lang w:val="en-GB"/>
        </w:rPr>
        <w:t xml:space="preserve"> | Greek Ombudsman, </w:t>
      </w:r>
      <w:r w:rsidRPr="005F5381">
        <w:rPr>
          <w:rStyle w:val="normaltextrun"/>
          <w:rFonts w:asciiTheme="minorHAnsi" w:eastAsia="Segoe UI" w:hAnsiTheme="minorHAnsi" w:cstheme="minorHAnsi"/>
          <w:b/>
          <w:bCs/>
          <w:sz w:val="22"/>
          <w:szCs w:val="22"/>
          <w:lang w:val="en-GB"/>
        </w:rPr>
        <w:t xml:space="preserve">Greece </w:t>
      </w:r>
      <w:r w:rsidRPr="005F5381">
        <w:rPr>
          <w:rStyle w:val="normaltextrun"/>
          <w:rFonts w:asciiTheme="minorHAnsi" w:eastAsia="Segoe UI" w:hAnsiTheme="minorHAnsi" w:cstheme="minorHAnsi"/>
          <w:sz w:val="22"/>
          <w:szCs w:val="22"/>
          <w:lang w:val="en-GB"/>
        </w:rPr>
        <w:t xml:space="preserve">| Office of the Commissioner for Fundamental Rights, </w:t>
      </w:r>
      <w:r w:rsidRPr="005F5381">
        <w:rPr>
          <w:rStyle w:val="normaltextrun"/>
          <w:rFonts w:asciiTheme="minorHAnsi" w:eastAsia="Segoe UI" w:hAnsiTheme="minorHAnsi" w:cstheme="minorHAnsi"/>
          <w:b/>
          <w:bCs/>
          <w:sz w:val="22"/>
          <w:szCs w:val="22"/>
          <w:lang w:val="en-GB"/>
        </w:rPr>
        <w:t>Hungary</w:t>
      </w:r>
      <w:r w:rsidRPr="005F5381">
        <w:rPr>
          <w:rStyle w:val="normaltextrun"/>
          <w:rFonts w:asciiTheme="minorHAnsi" w:eastAsia="Segoe UI" w:hAnsiTheme="minorHAnsi" w:cstheme="minorHAnsi"/>
          <w:sz w:val="22"/>
          <w:szCs w:val="22"/>
          <w:lang w:val="en-GB"/>
        </w:rPr>
        <w:t xml:space="preserve"> | Irish Human Rights and Equality Commission, </w:t>
      </w:r>
      <w:r w:rsidRPr="005F5381">
        <w:rPr>
          <w:rStyle w:val="normaltextrun"/>
          <w:rFonts w:asciiTheme="minorHAnsi" w:eastAsia="Segoe UI" w:hAnsiTheme="minorHAnsi" w:cstheme="minorHAnsi"/>
          <w:b/>
          <w:bCs/>
          <w:sz w:val="22"/>
          <w:szCs w:val="22"/>
          <w:lang w:val="en-GB"/>
        </w:rPr>
        <w:t>Ireland</w:t>
      </w:r>
      <w:r w:rsidRPr="005F5381">
        <w:rPr>
          <w:rStyle w:val="normaltextrun"/>
          <w:rFonts w:asciiTheme="minorHAnsi" w:eastAsia="Segoe UI" w:hAnsiTheme="minorHAnsi" w:cstheme="minorHAnsi"/>
          <w:sz w:val="22"/>
          <w:szCs w:val="22"/>
          <w:lang w:val="en-GB"/>
        </w:rPr>
        <w:t xml:space="preserve"> | National Office Against Racial Discrimination, </w:t>
      </w:r>
      <w:r w:rsidRPr="005F5381">
        <w:rPr>
          <w:rStyle w:val="normaltextrun"/>
          <w:rFonts w:asciiTheme="minorHAnsi" w:eastAsia="Segoe UI" w:hAnsiTheme="minorHAnsi" w:cstheme="minorHAnsi"/>
          <w:b/>
          <w:bCs/>
          <w:sz w:val="22"/>
          <w:szCs w:val="22"/>
          <w:lang w:val="en-GB"/>
        </w:rPr>
        <w:t>Italy</w:t>
      </w:r>
      <w:r w:rsidRPr="005F5381">
        <w:rPr>
          <w:rStyle w:val="normaltextrun"/>
          <w:rFonts w:asciiTheme="minorHAnsi" w:eastAsia="Segoe UI" w:hAnsiTheme="minorHAnsi" w:cstheme="minorHAnsi"/>
          <w:sz w:val="22"/>
          <w:szCs w:val="22"/>
          <w:lang w:val="en-GB"/>
        </w:rPr>
        <w:t xml:space="preserve"> | Ombudsperson Institution, </w:t>
      </w:r>
      <w:r w:rsidRPr="005F5381">
        <w:rPr>
          <w:rStyle w:val="normaltextrun"/>
          <w:rFonts w:asciiTheme="minorHAnsi" w:eastAsia="Segoe UI" w:hAnsiTheme="minorHAnsi" w:cstheme="minorHAnsi"/>
          <w:b/>
          <w:bCs/>
          <w:sz w:val="22"/>
          <w:szCs w:val="22"/>
          <w:lang w:val="en-GB"/>
        </w:rPr>
        <w:t>Kosovo*</w:t>
      </w:r>
      <w:r w:rsidRPr="005F5381">
        <w:rPr>
          <w:rStyle w:val="normaltextrun"/>
          <w:rFonts w:asciiTheme="minorHAnsi" w:eastAsia="Segoe UI" w:hAnsiTheme="minorHAnsi" w:cstheme="minorHAnsi"/>
          <w:sz w:val="22"/>
          <w:szCs w:val="22"/>
          <w:lang w:val="en-GB"/>
        </w:rPr>
        <w:t xml:space="preserve"> | Office of the Ombudsman, </w:t>
      </w:r>
      <w:r w:rsidRPr="005F5381">
        <w:rPr>
          <w:rStyle w:val="normaltextrun"/>
          <w:rFonts w:asciiTheme="minorHAnsi" w:eastAsia="Segoe UI" w:hAnsiTheme="minorHAnsi" w:cstheme="minorHAnsi"/>
          <w:b/>
          <w:bCs/>
          <w:sz w:val="22"/>
          <w:szCs w:val="22"/>
          <w:lang w:val="en-GB"/>
        </w:rPr>
        <w:t xml:space="preserve">Latvia </w:t>
      </w:r>
      <w:r w:rsidRPr="005F5381">
        <w:rPr>
          <w:rStyle w:val="normaltextrun"/>
          <w:rFonts w:asciiTheme="minorHAnsi" w:eastAsia="Segoe UI" w:hAnsiTheme="minorHAnsi" w:cstheme="minorHAnsi"/>
          <w:sz w:val="22"/>
          <w:szCs w:val="22"/>
          <w:lang w:val="en-GB"/>
        </w:rPr>
        <w:t xml:space="preserve">| Office of the Equal Opportunities Ombudsperson, </w:t>
      </w:r>
      <w:r w:rsidRPr="005F5381">
        <w:rPr>
          <w:rStyle w:val="normaltextrun"/>
          <w:rFonts w:asciiTheme="minorHAnsi" w:eastAsia="Segoe UI" w:hAnsiTheme="minorHAnsi" w:cstheme="minorHAnsi"/>
          <w:b/>
          <w:bCs/>
          <w:sz w:val="22"/>
          <w:szCs w:val="22"/>
          <w:lang w:val="en-GB"/>
        </w:rPr>
        <w:t>Lithuania</w:t>
      </w:r>
      <w:r w:rsidRPr="005F5381">
        <w:rPr>
          <w:rStyle w:val="normaltextrun"/>
          <w:rFonts w:asciiTheme="minorHAnsi" w:eastAsia="Segoe UI" w:hAnsiTheme="minorHAnsi" w:cstheme="minorHAnsi"/>
          <w:sz w:val="22"/>
          <w:szCs w:val="22"/>
          <w:lang w:val="en-GB"/>
        </w:rPr>
        <w:t xml:space="preserve"> | Centre for Equal Treatment, </w:t>
      </w:r>
      <w:r w:rsidRPr="005F5381">
        <w:rPr>
          <w:rStyle w:val="normaltextrun"/>
          <w:rFonts w:asciiTheme="minorHAnsi" w:eastAsia="Segoe UI" w:hAnsiTheme="minorHAnsi" w:cstheme="minorHAnsi"/>
          <w:b/>
          <w:bCs/>
          <w:sz w:val="22"/>
          <w:szCs w:val="22"/>
          <w:lang w:val="en-GB"/>
        </w:rPr>
        <w:t>Luxembourg</w:t>
      </w:r>
      <w:r w:rsidRPr="005F5381">
        <w:rPr>
          <w:rStyle w:val="normaltextrun"/>
          <w:rFonts w:asciiTheme="minorHAnsi" w:eastAsia="Segoe UI" w:hAnsiTheme="minorHAnsi" w:cstheme="minorHAnsi"/>
          <w:sz w:val="22"/>
          <w:szCs w:val="22"/>
          <w:lang w:val="en-GB"/>
        </w:rPr>
        <w:t xml:space="preserve"> | National Commission for the Promotion of Equality, </w:t>
      </w:r>
      <w:r w:rsidRPr="005F5381">
        <w:rPr>
          <w:rStyle w:val="normaltextrun"/>
          <w:rFonts w:asciiTheme="minorHAnsi" w:eastAsia="Segoe UI" w:hAnsiTheme="minorHAnsi" w:cstheme="minorHAnsi"/>
          <w:b/>
          <w:bCs/>
          <w:sz w:val="22"/>
          <w:szCs w:val="22"/>
          <w:lang w:val="en-GB"/>
        </w:rPr>
        <w:t>Malta</w:t>
      </w:r>
      <w:r w:rsidRPr="005F5381">
        <w:rPr>
          <w:rStyle w:val="normaltextrun"/>
          <w:rFonts w:asciiTheme="minorHAnsi" w:eastAsia="Segoe UI" w:hAnsiTheme="minorHAnsi" w:cstheme="minorHAnsi"/>
          <w:sz w:val="22"/>
          <w:szCs w:val="22"/>
          <w:lang w:val="en-GB"/>
        </w:rPr>
        <w:t xml:space="preserve"> | Commission for the Rights of Persons with Disability, </w:t>
      </w:r>
      <w:r w:rsidRPr="005F5381">
        <w:rPr>
          <w:rStyle w:val="normaltextrun"/>
          <w:rFonts w:asciiTheme="minorHAnsi" w:eastAsia="Segoe UI" w:hAnsiTheme="minorHAnsi" w:cstheme="minorHAnsi"/>
          <w:b/>
          <w:bCs/>
          <w:sz w:val="22"/>
          <w:szCs w:val="22"/>
          <w:lang w:val="en-GB"/>
        </w:rPr>
        <w:t xml:space="preserve">Malta </w:t>
      </w:r>
      <w:r w:rsidRPr="005F5381">
        <w:rPr>
          <w:rStyle w:val="normaltextrun"/>
          <w:rFonts w:asciiTheme="minorHAnsi" w:eastAsia="Segoe UI" w:hAnsiTheme="minorHAnsi" w:cstheme="minorHAnsi"/>
          <w:sz w:val="22"/>
          <w:szCs w:val="22"/>
          <w:lang w:val="en-GB"/>
        </w:rPr>
        <w:t xml:space="preserve">| Council on Preventing and Eliminating Discrimination and Ensuring Equality, </w:t>
      </w:r>
      <w:r w:rsidRPr="005F5381">
        <w:rPr>
          <w:rStyle w:val="normaltextrun"/>
          <w:rFonts w:asciiTheme="minorHAnsi" w:eastAsia="Segoe UI" w:hAnsiTheme="minorHAnsi" w:cstheme="minorHAnsi"/>
          <w:b/>
          <w:bCs/>
          <w:sz w:val="22"/>
          <w:szCs w:val="22"/>
          <w:lang w:val="en-GB"/>
        </w:rPr>
        <w:t>Moldova</w:t>
      </w:r>
      <w:r w:rsidRPr="005F5381">
        <w:rPr>
          <w:rStyle w:val="normaltextrun"/>
          <w:rFonts w:asciiTheme="minorHAnsi" w:eastAsia="Segoe UI" w:hAnsiTheme="minorHAnsi" w:cstheme="minorHAnsi"/>
          <w:sz w:val="22"/>
          <w:szCs w:val="22"/>
          <w:lang w:val="en-GB"/>
        </w:rPr>
        <w:t xml:space="preserve"> | The Protector of Human Rights and Freedoms (Ombudsman), </w:t>
      </w:r>
      <w:r w:rsidRPr="005F5381">
        <w:rPr>
          <w:rStyle w:val="normaltextrun"/>
          <w:rFonts w:asciiTheme="minorHAnsi" w:eastAsia="Segoe UI" w:hAnsiTheme="minorHAnsi" w:cstheme="minorHAnsi"/>
          <w:b/>
          <w:bCs/>
          <w:sz w:val="22"/>
          <w:szCs w:val="22"/>
          <w:lang w:val="en-GB"/>
        </w:rPr>
        <w:t>Montenegro</w:t>
      </w:r>
      <w:r w:rsidRPr="005F5381">
        <w:rPr>
          <w:rStyle w:val="normaltextrun"/>
          <w:rFonts w:asciiTheme="minorHAnsi" w:eastAsia="Segoe UI" w:hAnsiTheme="minorHAnsi" w:cstheme="minorHAnsi"/>
          <w:sz w:val="22"/>
          <w:szCs w:val="22"/>
          <w:lang w:val="en-GB"/>
        </w:rPr>
        <w:t xml:space="preserve"> | Netherlands Institute for Human Rights, </w:t>
      </w:r>
      <w:r w:rsidRPr="005F5381">
        <w:rPr>
          <w:rStyle w:val="normaltextrun"/>
          <w:rFonts w:asciiTheme="minorHAnsi" w:eastAsia="Segoe UI" w:hAnsiTheme="minorHAnsi" w:cstheme="minorHAnsi"/>
          <w:b/>
          <w:bCs/>
          <w:sz w:val="22"/>
          <w:szCs w:val="22"/>
          <w:lang w:val="en-GB"/>
        </w:rPr>
        <w:t>Netherlands</w:t>
      </w:r>
      <w:r w:rsidRPr="005F5381">
        <w:rPr>
          <w:rStyle w:val="normaltextrun"/>
          <w:rFonts w:asciiTheme="minorHAnsi" w:eastAsia="Segoe UI" w:hAnsiTheme="minorHAnsi" w:cstheme="minorHAnsi"/>
          <w:sz w:val="22"/>
          <w:szCs w:val="22"/>
          <w:lang w:val="en-GB"/>
        </w:rPr>
        <w:t xml:space="preserve"> | Commission for Prevention and Protection against Discrimination,</w:t>
      </w:r>
      <w:r w:rsidRPr="005F5381">
        <w:rPr>
          <w:rStyle w:val="normaltextrun"/>
          <w:rFonts w:asciiTheme="minorHAnsi" w:eastAsia="Segoe UI" w:hAnsiTheme="minorHAnsi" w:cstheme="minorHAnsi"/>
          <w:b/>
          <w:bCs/>
          <w:sz w:val="22"/>
          <w:szCs w:val="22"/>
          <w:lang w:val="en-GB"/>
        </w:rPr>
        <w:t xml:space="preserve"> North Macedonia</w:t>
      </w:r>
      <w:r w:rsidRPr="005F5381">
        <w:rPr>
          <w:rStyle w:val="normaltextrun"/>
          <w:rFonts w:asciiTheme="minorHAnsi" w:eastAsia="Segoe UI" w:hAnsiTheme="minorHAnsi" w:cstheme="minorHAnsi"/>
          <w:sz w:val="22"/>
          <w:szCs w:val="22"/>
          <w:lang w:val="en-GB"/>
        </w:rPr>
        <w:t xml:space="preserve"> | Equality and Anti-Discrimination Ombud,</w:t>
      </w:r>
      <w:r w:rsidRPr="005F5381">
        <w:rPr>
          <w:rStyle w:val="normaltextrun"/>
          <w:rFonts w:asciiTheme="minorHAnsi" w:eastAsia="Segoe UI" w:hAnsiTheme="minorHAnsi" w:cstheme="minorHAnsi"/>
          <w:b/>
          <w:bCs/>
          <w:sz w:val="22"/>
          <w:szCs w:val="22"/>
          <w:lang w:val="en-GB"/>
        </w:rPr>
        <w:t xml:space="preserve"> Norway</w:t>
      </w:r>
      <w:r w:rsidRPr="005F5381">
        <w:rPr>
          <w:rStyle w:val="normaltextrun"/>
          <w:rFonts w:asciiTheme="minorHAnsi" w:eastAsia="Segoe UI" w:hAnsiTheme="minorHAnsi" w:cstheme="minorHAnsi"/>
          <w:sz w:val="22"/>
          <w:szCs w:val="22"/>
          <w:lang w:val="en-GB"/>
        </w:rPr>
        <w:t xml:space="preserve"> | Commissioner for Human Rights, </w:t>
      </w:r>
      <w:r w:rsidRPr="005F5381">
        <w:rPr>
          <w:rStyle w:val="normaltextrun"/>
          <w:rFonts w:asciiTheme="minorHAnsi" w:eastAsia="Segoe UI" w:hAnsiTheme="minorHAnsi" w:cstheme="minorHAnsi"/>
          <w:b/>
          <w:bCs/>
          <w:sz w:val="22"/>
          <w:szCs w:val="22"/>
          <w:lang w:val="en-GB"/>
        </w:rPr>
        <w:t xml:space="preserve">Poland </w:t>
      </w:r>
      <w:r w:rsidRPr="005F5381">
        <w:rPr>
          <w:rStyle w:val="normaltextrun"/>
          <w:rFonts w:asciiTheme="minorHAnsi" w:eastAsia="Segoe UI" w:hAnsiTheme="minorHAnsi" w:cstheme="minorHAnsi"/>
          <w:sz w:val="22"/>
          <w:szCs w:val="22"/>
          <w:lang w:val="en-GB"/>
        </w:rPr>
        <w:t xml:space="preserve">| Commission for Citizenship and Gender Equality, </w:t>
      </w:r>
      <w:r w:rsidRPr="005F5381">
        <w:rPr>
          <w:rStyle w:val="normaltextrun"/>
          <w:rFonts w:asciiTheme="minorHAnsi" w:eastAsia="Segoe UI" w:hAnsiTheme="minorHAnsi" w:cstheme="minorHAnsi"/>
          <w:b/>
          <w:bCs/>
          <w:sz w:val="22"/>
          <w:szCs w:val="22"/>
          <w:lang w:val="en-GB"/>
        </w:rPr>
        <w:t>Portugal</w:t>
      </w:r>
      <w:r w:rsidRPr="005F5381">
        <w:rPr>
          <w:rStyle w:val="normaltextrun"/>
          <w:rFonts w:asciiTheme="minorHAnsi" w:eastAsia="Segoe UI" w:hAnsiTheme="minorHAnsi" w:cstheme="minorHAnsi"/>
          <w:sz w:val="22"/>
          <w:szCs w:val="22"/>
          <w:lang w:val="en-GB"/>
        </w:rPr>
        <w:t xml:space="preserve"> | Commission for Equality in Labour and Employment, </w:t>
      </w:r>
      <w:r w:rsidRPr="005F5381">
        <w:rPr>
          <w:rStyle w:val="normaltextrun"/>
          <w:rFonts w:asciiTheme="minorHAnsi" w:eastAsia="Segoe UI" w:hAnsiTheme="minorHAnsi" w:cstheme="minorHAnsi"/>
          <w:b/>
          <w:bCs/>
          <w:sz w:val="22"/>
          <w:szCs w:val="22"/>
          <w:lang w:val="en-GB"/>
        </w:rPr>
        <w:t xml:space="preserve">Portugal </w:t>
      </w:r>
      <w:r w:rsidRPr="005F5381">
        <w:rPr>
          <w:rStyle w:val="normaltextrun"/>
          <w:rFonts w:asciiTheme="minorHAnsi" w:eastAsia="Segoe UI" w:hAnsiTheme="minorHAnsi" w:cstheme="minorHAnsi"/>
          <w:sz w:val="22"/>
          <w:szCs w:val="22"/>
          <w:lang w:val="en-GB"/>
        </w:rPr>
        <w:t xml:space="preserve">| High Commission for Migration, </w:t>
      </w:r>
      <w:r w:rsidRPr="005F5381">
        <w:rPr>
          <w:rStyle w:val="normaltextrun"/>
          <w:rFonts w:asciiTheme="minorHAnsi" w:eastAsia="Segoe UI" w:hAnsiTheme="minorHAnsi" w:cstheme="minorHAnsi"/>
          <w:b/>
          <w:bCs/>
          <w:sz w:val="22"/>
          <w:szCs w:val="22"/>
          <w:lang w:val="en-GB"/>
        </w:rPr>
        <w:t xml:space="preserve">Portugal </w:t>
      </w:r>
      <w:r w:rsidRPr="005F5381">
        <w:rPr>
          <w:rStyle w:val="normaltextrun"/>
          <w:rFonts w:asciiTheme="minorHAnsi" w:eastAsia="Segoe UI" w:hAnsiTheme="minorHAnsi" w:cstheme="minorHAnsi"/>
          <w:sz w:val="22"/>
          <w:szCs w:val="22"/>
          <w:lang w:val="en-GB"/>
        </w:rPr>
        <w:t xml:space="preserve">| National Council for Combating Discrimination, </w:t>
      </w:r>
      <w:r w:rsidRPr="005F5381">
        <w:rPr>
          <w:rStyle w:val="normaltextrun"/>
          <w:rFonts w:asciiTheme="minorHAnsi" w:eastAsia="Segoe UI" w:hAnsiTheme="minorHAnsi" w:cstheme="minorHAnsi"/>
          <w:b/>
          <w:bCs/>
          <w:sz w:val="22"/>
          <w:szCs w:val="22"/>
          <w:lang w:val="en-GB"/>
        </w:rPr>
        <w:t xml:space="preserve">Romania </w:t>
      </w:r>
      <w:r w:rsidRPr="005F5381">
        <w:rPr>
          <w:rStyle w:val="normaltextrun"/>
          <w:rFonts w:asciiTheme="minorHAnsi" w:eastAsia="Segoe UI" w:hAnsiTheme="minorHAnsi" w:cstheme="minorHAnsi"/>
          <w:sz w:val="22"/>
          <w:szCs w:val="22"/>
          <w:lang w:val="en-GB"/>
        </w:rPr>
        <w:t xml:space="preserve">| Commissioner for Protection of Equality, </w:t>
      </w:r>
      <w:r w:rsidRPr="005F5381">
        <w:rPr>
          <w:rStyle w:val="normaltextrun"/>
          <w:rFonts w:asciiTheme="minorHAnsi" w:eastAsia="Segoe UI" w:hAnsiTheme="minorHAnsi" w:cstheme="minorHAnsi"/>
          <w:b/>
          <w:bCs/>
          <w:sz w:val="22"/>
          <w:szCs w:val="22"/>
          <w:lang w:val="en-GB"/>
        </w:rPr>
        <w:t>Serbia</w:t>
      </w:r>
      <w:r w:rsidRPr="005F5381">
        <w:rPr>
          <w:rStyle w:val="normaltextrun"/>
          <w:rFonts w:asciiTheme="minorHAnsi" w:eastAsia="Segoe UI" w:hAnsiTheme="minorHAnsi" w:cstheme="minorHAnsi"/>
          <w:sz w:val="22"/>
          <w:szCs w:val="22"/>
          <w:lang w:val="en-GB"/>
        </w:rPr>
        <w:t xml:space="preserve"> | National Centre for Human Rights,</w:t>
      </w:r>
      <w:r w:rsidRPr="005F5381">
        <w:rPr>
          <w:rStyle w:val="normaltextrun"/>
          <w:rFonts w:asciiTheme="minorHAnsi" w:eastAsia="Segoe UI" w:hAnsiTheme="minorHAnsi" w:cstheme="minorHAnsi"/>
          <w:b/>
          <w:bCs/>
          <w:sz w:val="22"/>
          <w:szCs w:val="22"/>
          <w:lang w:val="en-GB"/>
        </w:rPr>
        <w:t xml:space="preserve"> Slovakia</w:t>
      </w:r>
      <w:r w:rsidRPr="005F5381">
        <w:rPr>
          <w:rStyle w:val="normaltextrun"/>
          <w:rFonts w:asciiTheme="minorHAnsi" w:eastAsia="Segoe UI" w:hAnsiTheme="minorHAnsi" w:cstheme="minorHAnsi"/>
          <w:sz w:val="22"/>
          <w:szCs w:val="22"/>
          <w:lang w:val="en-GB"/>
        </w:rPr>
        <w:t xml:space="preserve"> | Advocate of the Principle of Equality, </w:t>
      </w:r>
      <w:r w:rsidRPr="005F5381">
        <w:rPr>
          <w:rStyle w:val="normaltextrun"/>
          <w:rFonts w:asciiTheme="minorHAnsi" w:eastAsia="Segoe UI" w:hAnsiTheme="minorHAnsi" w:cstheme="minorHAnsi"/>
          <w:b/>
          <w:bCs/>
          <w:sz w:val="22"/>
          <w:szCs w:val="22"/>
          <w:lang w:val="en-GB"/>
        </w:rPr>
        <w:t>Slovenia</w:t>
      </w:r>
      <w:r w:rsidRPr="005F5381">
        <w:rPr>
          <w:rStyle w:val="normaltextrun"/>
          <w:rFonts w:asciiTheme="minorHAnsi" w:eastAsia="Segoe UI" w:hAnsiTheme="minorHAnsi" w:cstheme="minorHAnsi"/>
          <w:sz w:val="22"/>
          <w:szCs w:val="22"/>
          <w:lang w:val="en-GB"/>
        </w:rPr>
        <w:t xml:space="preserve"> | Council for the Elimination of Ethnic or Racial Discrimination, </w:t>
      </w:r>
      <w:r w:rsidRPr="005F5381">
        <w:rPr>
          <w:rStyle w:val="normaltextrun"/>
          <w:rFonts w:asciiTheme="minorHAnsi" w:eastAsia="Segoe UI" w:hAnsiTheme="minorHAnsi" w:cstheme="minorHAnsi"/>
          <w:b/>
          <w:bCs/>
          <w:sz w:val="22"/>
          <w:szCs w:val="22"/>
          <w:lang w:val="en-GB"/>
        </w:rPr>
        <w:t>Spain</w:t>
      </w:r>
      <w:r w:rsidRPr="005F5381">
        <w:rPr>
          <w:rStyle w:val="normaltextrun"/>
          <w:rFonts w:asciiTheme="minorHAnsi" w:eastAsia="Segoe UI" w:hAnsiTheme="minorHAnsi" w:cstheme="minorHAnsi"/>
          <w:sz w:val="22"/>
          <w:szCs w:val="22"/>
          <w:lang w:val="en-GB"/>
        </w:rPr>
        <w:t xml:space="preserve"> |Institute of Women, </w:t>
      </w:r>
      <w:r w:rsidRPr="005F5381">
        <w:rPr>
          <w:rStyle w:val="normaltextrun"/>
          <w:rFonts w:asciiTheme="minorHAnsi" w:eastAsia="Segoe UI" w:hAnsiTheme="minorHAnsi" w:cstheme="minorHAnsi"/>
          <w:b/>
          <w:bCs/>
          <w:sz w:val="22"/>
          <w:szCs w:val="22"/>
          <w:lang w:val="en-GB"/>
        </w:rPr>
        <w:t>Spain</w:t>
      </w:r>
      <w:r w:rsidRPr="005F5381">
        <w:rPr>
          <w:rStyle w:val="normaltextrun"/>
          <w:rFonts w:asciiTheme="minorHAnsi" w:eastAsia="Segoe UI" w:hAnsiTheme="minorHAnsi" w:cstheme="minorHAnsi"/>
          <w:sz w:val="22"/>
          <w:szCs w:val="22"/>
          <w:lang w:val="en-GB"/>
        </w:rPr>
        <w:t xml:space="preserve"> | Equality Ombudsman, </w:t>
      </w:r>
      <w:r w:rsidRPr="005F5381">
        <w:rPr>
          <w:rStyle w:val="normaltextrun"/>
          <w:rFonts w:asciiTheme="minorHAnsi" w:eastAsia="Segoe UI" w:hAnsiTheme="minorHAnsi" w:cstheme="minorHAnsi"/>
          <w:b/>
          <w:bCs/>
          <w:sz w:val="22"/>
          <w:szCs w:val="22"/>
          <w:lang w:val="en-GB"/>
        </w:rPr>
        <w:t>Sweden</w:t>
      </w:r>
      <w:r w:rsidRPr="005F5381">
        <w:rPr>
          <w:rStyle w:val="normaltextrun"/>
          <w:rFonts w:asciiTheme="minorHAnsi" w:eastAsia="Segoe UI" w:hAnsiTheme="minorHAnsi" w:cstheme="minorHAnsi"/>
          <w:sz w:val="22"/>
          <w:szCs w:val="22"/>
          <w:lang w:val="en-GB"/>
        </w:rPr>
        <w:t xml:space="preserve"> | </w:t>
      </w:r>
      <w:r w:rsidRPr="00AC378B">
        <w:rPr>
          <w:rStyle w:val="normaltextrun"/>
          <w:rFonts w:asciiTheme="minorHAnsi" w:eastAsia="Segoe UI" w:hAnsiTheme="minorHAnsi" w:cstheme="minorHAnsi"/>
          <w:sz w:val="22"/>
          <w:szCs w:val="22"/>
          <w:lang w:val="en-GB"/>
        </w:rPr>
        <w:t xml:space="preserve">Ukrainian Parliament Commissioner for Human Rights, </w:t>
      </w:r>
      <w:r w:rsidRPr="00AC378B">
        <w:rPr>
          <w:rStyle w:val="normaltextrun"/>
          <w:rFonts w:asciiTheme="minorHAnsi" w:eastAsia="Segoe UI" w:hAnsiTheme="minorHAnsi" w:cstheme="minorHAnsi"/>
          <w:b/>
          <w:bCs/>
          <w:sz w:val="22"/>
          <w:szCs w:val="22"/>
          <w:lang w:val="en-GB"/>
        </w:rPr>
        <w:t>Ukraine</w:t>
      </w:r>
      <w:r w:rsidRPr="00AC378B">
        <w:rPr>
          <w:rStyle w:val="normaltextrun"/>
          <w:rFonts w:asciiTheme="minorHAnsi" w:eastAsia="Segoe UI" w:hAnsiTheme="minorHAnsi" w:cstheme="minorHAnsi"/>
          <w:sz w:val="22"/>
          <w:szCs w:val="22"/>
          <w:lang w:val="en-GB"/>
        </w:rPr>
        <w:t xml:space="preserve"> |Equality and Human Rights Commission, </w:t>
      </w:r>
      <w:r w:rsidRPr="00AC378B">
        <w:rPr>
          <w:rStyle w:val="normaltextrun"/>
          <w:rFonts w:asciiTheme="minorHAnsi" w:eastAsia="Segoe UI" w:hAnsiTheme="minorHAnsi" w:cstheme="minorHAnsi"/>
          <w:b/>
          <w:bCs/>
          <w:sz w:val="22"/>
          <w:szCs w:val="22"/>
          <w:lang w:val="en-GB"/>
        </w:rPr>
        <w:t>United Kingdom – Great Britain</w:t>
      </w:r>
      <w:r w:rsidRPr="00AC378B">
        <w:rPr>
          <w:rStyle w:val="normaltextrun"/>
          <w:rFonts w:asciiTheme="minorHAnsi" w:eastAsia="Segoe UI" w:hAnsiTheme="minorHAnsi" w:cstheme="minorHAnsi"/>
          <w:sz w:val="22"/>
          <w:szCs w:val="22"/>
          <w:lang w:val="en-GB"/>
        </w:rPr>
        <w:t xml:space="preserve"> | Equality Commission for Northern Ireland, </w:t>
      </w:r>
      <w:r w:rsidRPr="00AC378B">
        <w:rPr>
          <w:rStyle w:val="normaltextrun"/>
          <w:rFonts w:asciiTheme="minorHAnsi" w:eastAsia="Segoe UI" w:hAnsiTheme="minorHAnsi" w:cstheme="minorHAnsi"/>
          <w:b/>
          <w:bCs/>
          <w:sz w:val="22"/>
          <w:szCs w:val="22"/>
          <w:lang w:val="en-GB"/>
        </w:rPr>
        <w:t>United Kingdom – Northern Ireland</w:t>
      </w:r>
    </w:p>
    <w:p w14:paraId="754A661A" w14:textId="77777777" w:rsidR="002A2BE0" w:rsidRPr="00AF34CE" w:rsidRDefault="002A2BE0" w:rsidP="002A2BE0">
      <w:pPr>
        <w:pStyle w:val="paragraph"/>
        <w:spacing w:before="120" w:beforeAutospacing="0" w:after="0" w:afterAutospacing="0"/>
        <w:textAlignment w:val="baseline"/>
        <w:rPr>
          <w:rFonts w:asciiTheme="minorHAnsi" w:eastAsia="Segoe UI" w:hAnsiTheme="minorHAnsi" w:cstheme="minorHAnsi"/>
          <w:i/>
          <w:iCs/>
          <w:sz w:val="22"/>
          <w:szCs w:val="22"/>
          <w:lang w:val="en-GB"/>
        </w:rPr>
      </w:pPr>
      <w:r w:rsidRPr="00AF34CE">
        <w:rPr>
          <w:rStyle w:val="normaltextrun"/>
          <w:rFonts w:asciiTheme="minorHAnsi" w:eastAsia="Segoe UI" w:hAnsiTheme="minorHAnsi" w:cstheme="minorHAnsi"/>
          <w:i/>
          <w:iCs/>
          <w:sz w:val="22"/>
          <w:szCs w:val="22"/>
          <w:lang w:val="en-GB"/>
        </w:rPr>
        <w:t>*This designation is without prejudice to positions on status and is in line with UNSCR 1244/1999 and the ICJ Opinion on the Kosovo declaration of independence.</w:t>
      </w:r>
      <w:r w:rsidRPr="00AF34CE">
        <w:rPr>
          <w:rStyle w:val="eop"/>
          <w:rFonts w:asciiTheme="minorHAnsi" w:eastAsia="Segoe UI" w:hAnsiTheme="minorHAnsi" w:cstheme="minorHAnsi"/>
          <w:i/>
          <w:iCs/>
          <w:sz w:val="22"/>
          <w:szCs w:val="22"/>
          <w:lang w:val="en-GB"/>
        </w:rPr>
        <w:t> </w:t>
      </w:r>
    </w:p>
    <w:p w14:paraId="423BE5A3" w14:textId="77777777" w:rsidR="002A2BE0" w:rsidRPr="00CA1527" w:rsidRDefault="002A2BE0" w:rsidP="002A2BE0">
      <w:pPr>
        <w:pStyle w:val="paragraph"/>
        <w:spacing w:before="120" w:beforeAutospacing="0" w:after="0" w:afterAutospacing="0"/>
        <w:textAlignment w:val="baseline"/>
        <w:rPr>
          <w:rStyle w:val="normaltextrun"/>
          <w:rFonts w:asciiTheme="minorHAnsi" w:eastAsia="Segoe UI" w:hAnsiTheme="minorHAnsi" w:cstheme="minorHAnsi"/>
          <w:sz w:val="22"/>
          <w:szCs w:val="22"/>
          <w:lang w:val="en-GB"/>
        </w:rPr>
      </w:pPr>
      <w:r w:rsidRPr="00CA1527">
        <w:rPr>
          <w:rStyle w:val="normaltextrun"/>
          <w:rFonts w:asciiTheme="minorHAnsi" w:eastAsia="Segoe UI" w:hAnsiTheme="minorHAnsi" w:cstheme="minorHAnsi"/>
          <w:sz w:val="22"/>
          <w:szCs w:val="22"/>
          <w:lang w:val="en-GB"/>
        </w:rPr>
        <w:t>Equinet Secretariat | Place Victor Horta, 40 | 1060 Brussels | Belgium |  </w:t>
      </w:r>
    </w:p>
    <w:p w14:paraId="0EE5712A" w14:textId="77777777" w:rsidR="002A2BE0" w:rsidRPr="00CA1527" w:rsidRDefault="002A2BE0" w:rsidP="002A2BE0">
      <w:pPr>
        <w:pStyle w:val="paragraph"/>
        <w:spacing w:before="0" w:beforeAutospacing="0" w:after="0" w:afterAutospacing="0"/>
        <w:textAlignment w:val="baseline"/>
        <w:rPr>
          <w:rStyle w:val="normaltextrun"/>
          <w:rFonts w:asciiTheme="minorHAnsi" w:eastAsia="Segoe UI" w:hAnsiTheme="minorHAnsi" w:cstheme="minorHAnsi"/>
          <w:sz w:val="22"/>
          <w:szCs w:val="22"/>
          <w:lang w:val="en-GB"/>
        </w:rPr>
      </w:pPr>
      <w:r w:rsidRPr="00CA1527">
        <w:rPr>
          <w:rStyle w:val="normaltextrun"/>
          <w:rFonts w:asciiTheme="minorHAnsi" w:eastAsia="Segoe UI" w:hAnsiTheme="minorHAnsi" w:cstheme="minorHAnsi"/>
          <w:sz w:val="22"/>
          <w:szCs w:val="22"/>
          <w:lang w:val="en-GB"/>
        </w:rPr>
        <w:t>info@equineteurope.org | www.equineteurope.org  </w:t>
      </w:r>
    </w:p>
    <w:p w14:paraId="13330EA9" w14:textId="77777777" w:rsidR="002A2BE0" w:rsidRPr="00CA1527" w:rsidRDefault="002A2BE0" w:rsidP="002A2BE0">
      <w:pPr>
        <w:pStyle w:val="paragraph"/>
        <w:spacing w:before="0" w:beforeAutospacing="0" w:after="0" w:afterAutospacing="0"/>
        <w:textAlignment w:val="baseline"/>
        <w:rPr>
          <w:rStyle w:val="normaltextrun"/>
          <w:rFonts w:asciiTheme="minorHAnsi" w:eastAsia="Segoe UI" w:hAnsiTheme="minorHAnsi" w:cstheme="minorHAnsi"/>
          <w:sz w:val="22"/>
          <w:szCs w:val="22"/>
          <w:lang w:val="en-GB"/>
        </w:rPr>
      </w:pPr>
      <w:r w:rsidRPr="00CA1527">
        <w:rPr>
          <w:rStyle w:val="normaltextrun"/>
          <w:rFonts w:asciiTheme="minorHAnsi" w:eastAsia="Segoe UI" w:hAnsiTheme="minorHAnsi" w:cstheme="minorHAnsi"/>
          <w:sz w:val="22"/>
          <w:szCs w:val="22"/>
          <w:lang w:val="en-GB"/>
        </w:rPr>
        <w:t xml:space="preserve">ISBN </w:t>
      </w:r>
      <w:sdt>
        <w:sdtPr>
          <w:rPr>
            <w:rStyle w:val="normaltextrun"/>
            <w:rFonts w:asciiTheme="minorHAnsi" w:eastAsia="Segoe UI" w:hAnsiTheme="minorHAnsi" w:cstheme="minorHAnsi"/>
            <w:sz w:val="22"/>
            <w:szCs w:val="22"/>
            <w:lang w:val="en-GB"/>
          </w:rPr>
          <w:id w:val="-720985233"/>
          <w:placeholder>
            <w:docPart w:val="4036AF12B7E34A65A53073C66C88CD3F"/>
          </w:placeholder>
        </w:sdtPr>
        <w:sdtContent>
          <w:r w:rsidRPr="00A068A7">
            <w:rPr>
              <w:rStyle w:val="normaltextrun"/>
              <w:rFonts w:asciiTheme="minorHAnsi" w:eastAsia="Segoe UI" w:hAnsiTheme="minorHAnsi" w:cstheme="minorHAnsi"/>
              <w:sz w:val="22"/>
              <w:szCs w:val="22"/>
              <w:lang w:val="en-GB"/>
            </w:rPr>
            <w:t>978-92-95112-78-0</w:t>
          </w:r>
        </w:sdtContent>
      </w:sdt>
      <w:r w:rsidRPr="00CA1527">
        <w:rPr>
          <w:rStyle w:val="normaltextrun"/>
          <w:rFonts w:asciiTheme="minorHAnsi" w:eastAsia="Segoe UI" w:hAnsiTheme="minorHAnsi" w:cstheme="minorHAnsi"/>
          <w:sz w:val="22"/>
          <w:szCs w:val="22"/>
          <w:lang w:val="en-GB"/>
        </w:rPr>
        <w:t xml:space="preserve"> (Online)  </w:t>
      </w:r>
    </w:p>
    <w:p w14:paraId="28C617ED" w14:textId="77777777" w:rsidR="002A2BE0" w:rsidRPr="00CA1527" w:rsidRDefault="002A2BE0" w:rsidP="002A2BE0">
      <w:pPr>
        <w:pStyle w:val="paragraph"/>
        <w:spacing w:before="0" w:beforeAutospacing="0" w:after="120" w:afterAutospacing="0"/>
        <w:textAlignment w:val="baseline"/>
        <w:rPr>
          <w:rStyle w:val="normaltextrun"/>
          <w:rFonts w:asciiTheme="minorHAnsi" w:eastAsia="Segoe UI" w:hAnsiTheme="minorHAnsi" w:cstheme="minorHAnsi"/>
          <w:sz w:val="22"/>
          <w:szCs w:val="22"/>
          <w:lang w:val="en-GB"/>
        </w:rPr>
      </w:pPr>
      <w:r w:rsidRPr="00CA1527">
        <w:rPr>
          <w:rStyle w:val="normaltextrun"/>
          <w:rFonts w:asciiTheme="minorHAnsi" w:eastAsia="Segoe UI" w:hAnsiTheme="minorHAnsi" w:cstheme="minorHAnsi"/>
          <w:sz w:val="22"/>
          <w:szCs w:val="22"/>
          <w:lang w:val="en-GB"/>
        </w:rPr>
        <w:t xml:space="preserve">© Equinet </w:t>
      </w:r>
      <w:sdt>
        <w:sdtPr>
          <w:rPr>
            <w:rStyle w:val="normaltextrun"/>
            <w:rFonts w:asciiTheme="minorHAnsi" w:eastAsia="Segoe UI" w:hAnsiTheme="minorHAnsi" w:cstheme="minorHAnsi"/>
            <w:sz w:val="22"/>
            <w:szCs w:val="22"/>
            <w:lang w:val="en-GB"/>
          </w:rPr>
          <w:id w:val="-1745862875"/>
          <w:placeholder>
            <w:docPart w:val="31519FB6E856416A9AD260683659433C"/>
          </w:placeholder>
        </w:sdtPr>
        <w:sdtContent>
          <w:r w:rsidRPr="00CA1527">
            <w:rPr>
              <w:rStyle w:val="normaltextrun"/>
              <w:rFonts w:asciiTheme="minorHAnsi" w:eastAsia="Segoe UI" w:hAnsiTheme="minorHAnsi" w:cstheme="minorHAnsi"/>
              <w:sz w:val="22"/>
              <w:szCs w:val="22"/>
              <w:lang w:val="en-GB"/>
            </w:rPr>
            <w:t>2023</w:t>
          </w:r>
        </w:sdtContent>
      </w:sdt>
      <w:r w:rsidRPr="00CA1527">
        <w:rPr>
          <w:rStyle w:val="normaltextrun"/>
          <w:rFonts w:asciiTheme="minorHAnsi" w:eastAsia="Segoe UI" w:hAnsiTheme="minorHAnsi" w:cstheme="minorHAnsi"/>
          <w:sz w:val="22"/>
          <w:szCs w:val="22"/>
          <w:lang w:val="en-GB"/>
        </w:rPr>
        <w:t xml:space="preserve"> - Reproduction is permitted provided the source is acknowledged. </w:t>
      </w:r>
    </w:p>
    <w:p w14:paraId="6FA929D9" w14:textId="77777777" w:rsidR="00E24A97" w:rsidRDefault="002A2BE0" w:rsidP="002A2BE0">
      <w:pPr>
        <w:pStyle w:val="paragraph"/>
        <w:spacing w:before="0" w:beforeAutospacing="0" w:after="0" w:afterAutospacing="0"/>
        <w:textAlignment w:val="baseline"/>
        <w:rPr>
          <w:rStyle w:val="normaltextrun"/>
          <w:rFonts w:asciiTheme="minorHAnsi" w:eastAsia="Segoe UI" w:hAnsiTheme="minorHAnsi" w:cstheme="minorHAnsi"/>
          <w:sz w:val="22"/>
          <w:szCs w:val="22"/>
          <w:lang w:val="en-GB"/>
        </w:rPr>
        <w:sectPr w:rsidR="00E24A97" w:rsidSect="006C1178">
          <w:footerReference w:type="default" r:id="rId14"/>
          <w:pgSz w:w="11906" w:h="16838"/>
          <w:pgMar w:top="1440" w:right="1440" w:bottom="1440" w:left="1440" w:header="708" w:footer="708" w:gutter="0"/>
          <w:cols w:space="708"/>
          <w:docGrid w:linePitch="360"/>
        </w:sectPr>
      </w:pPr>
      <w:r w:rsidRPr="00CA1527">
        <w:rPr>
          <w:rStyle w:val="normaltextrun"/>
          <w:rFonts w:asciiTheme="minorHAnsi" w:eastAsia="Segoe UI" w:hAnsiTheme="minorHAnsi" w:cstheme="minorHAnsi"/>
          <w:sz w:val="22"/>
          <w:szCs w:val="22"/>
          <w:lang w:val="en-GB"/>
        </w:rPr>
        <w:t xml:space="preserve">This is a publication of Equinet’s </w:t>
      </w:r>
      <w:sdt>
        <w:sdtPr>
          <w:rPr>
            <w:rStyle w:val="normaltextrun"/>
            <w:rFonts w:asciiTheme="minorHAnsi" w:eastAsia="Segoe UI" w:hAnsiTheme="minorHAnsi" w:cstheme="minorHAnsi"/>
            <w:sz w:val="22"/>
            <w:szCs w:val="22"/>
            <w:lang w:val="en-GB"/>
          </w:rPr>
          <w:id w:val="1207911559"/>
          <w:placeholder>
            <w:docPart w:val="3D4F0BF7E3594845B5AC4B2922104654"/>
          </w:placeholder>
        </w:sdtPr>
        <w:sdtContent>
          <w:r>
            <w:rPr>
              <w:rStyle w:val="normaltextrun"/>
              <w:rFonts w:asciiTheme="minorHAnsi" w:eastAsia="Segoe UI" w:hAnsiTheme="minorHAnsi" w:cstheme="minorHAnsi"/>
              <w:sz w:val="22"/>
              <w:szCs w:val="22"/>
              <w:lang w:val="en-GB"/>
            </w:rPr>
            <w:t xml:space="preserve">Rainbow Families on the Move </w:t>
          </w:r>
          <w:r w:rsidRPr="00CA1527">
            <w:rPr>
              <w:rStyle w:val="normaltextrun"/>
              <w:rFonts w:asciiTheme="minorHAnsi" w:eastAsia="Segoe UI" w:hAnsiTheme="minorHAnsi" w:cstheme="minorHAnsi"/>
              <w:sz w:val="22"/>
              <w:szCs w:val="22"/>
              <w:lang w:val="en-GB"/>
            </w:rPr>
            <w:t>Cluster</w:t>
          </w:r>
        </w:sdtContent>
      </w:sdt>
      <w:r w:rsidRPr="00CA1527">
        <w:rPr>
          <w:rStyle w:val="normaltextrun"/>
          <w:rFonts w:asciiTheme="minorHAnsi" w:eastAsia="Segoe UI" w:hAnsiTheme="minorHAnsi" w:cstheme="minorHAnsi"/>
          <w:sz w:val="22"/>
          <w:szCs w:val="22"/>
          <w:lang w:val="en-GB"/>
        </w:rPr>
        <w:t>, prepared based on the information, contributions and comments provided by members of the Cluster. The veracity of the information provided is the responsibility of each member of the Cluster. The views expressed in it belong to the author(s) and neither the moderator(s) nor Equinet or the European Commission are liable for any use that may be made of the information contained therein. This information does not necessarily reflect the position or opinion of individual members of Equinet or the European Commission</w:t>
      </w:r>
      <w:r w:rsidR="00E24A97">
        <w:rPr>
          <w:rStyle w:val="normaltextrun"/>
          <w:rFonts w:asciiTheme="minorHAnsi" w:eastAsia="Segoe UI" w:hAnsiTheme="minorHAnsi" w:cstheme="minorHAnsi"/>
          <w:sz w:val="22"/>
          <w:szCs w:val="22"/>
          <w:lang w:val="en-GB"/>
        </w:rPr>
        <w:t>.</w:t>
      </w:r>
    </w:p>
    <w:p w14:paraId="4D1DE9D0" w14:textId="77777777" w:rsidR="00E24A97" w:rsidRPr="00932771" w:rsidRDefault="00E24A97" w:rsidP="00975633">
      <w:pPr>
        <w:pStyle w:val="Heading1"/>
        <w:spacing w:after="240"/>
        <w:jc w:val="left"/>
        <w:rPr>
          <w:sz w:val="36"/>
          <w:szCs w:val="36"/>
        </w:rPr>
      </w:pPr>
      <w:bookmarkStart w:id="0" w:name="_Toc92899222"/>
      <w:bookmarkStart w:id="1" w:name="_Toc92899314"/>
      <w:bookmarkStart w:id="2" w:name="_Toc94106575"/>
      <w:bookmarkStart w:id="3" w:name="_Toc94531140"/>
      <w:bookmarkStart w:id="4" w:name="_Toc157766510"/>
      <w:bookmarkStart w:id="5" w:name="_Toc157782125"/>
      <w:r w:rsidRPr="00932771">
        <w:rPr>
          <w:sz w:val="36"/>
          <w:szCs w:val="36"/>
        </w:rPr>
        <w:lastRenderedPageBreak/>
        <w:t>Acknowledgements</w:t>
      </w:r>
      <w:bookmarkEnd w:id="0"/>
      <w:bookmarkEnd w:id="1"/>
      <w:bookmarkEnd w:id="2"/>
      <w:bookmarkEnd w:id="3"/>
      <w:bookmarkEnd w:id="4"/>
      <w:bookmarkEnd w:id="5"/>
      <w:r w:rsidRPr="00932771">
        <w:rPr>
          <w:sz w:val="36"/>
          <w:szCs w:val="36"/>
        </w:rPr>
        <w:t> </w:t>
      </w:r>
    </w:p>
    <w:p w14:paraId="0F9FC215" w14:textId="77777777" w:rsidR="00E24A97" w:rsidRPr="00FD47A2" w:rsidRDefault="00E24A97" w:rsidP="00E24A97">
      <w:pPr>
        <w:spacing w:before="120" w:after="120" w:line="360" w:lineRule="auto"/>
        <w:rPr>
          <w:sz w:val="24"/>
          <w:szCs w:val="24"/>
          <w:lang w:val="en-GB"/>
        </w:rPr>
      </w:pPr>
      <w:r w:rsidRPr="00FD47A2">
        <w:rPr>
          <w:sz w:val="24"/>
          <w:szCs w:val="24"/>
          <w:lang w:val="en-GB"/>
        </w:rPr>
        <w:t>This Report was prepared by members of Equinet’s Cluster on Rainbow Families on the Move with the contribution of 8 Equality Bodies who submitted insights on their work on the rights of rainbow families and their EU freedom of movement rights.</w:t>
      </w:r>
    </w:p>
    <w:p w14:paraId="7EE55A38" w14:textId="77777777" w:rsidR="00E24A97" w:rsidRPr="004E0C53" w:rsidRDefault="00E24A97" w:rsidP="004E0C53">
      <w:pPr>
        <w:rPr>
          <w:rFonts w:ascii="DINPro-Bold" w:hAnsi="DINPro-Bold" w:cstheme="majorBidi"/>
          <w:color w:val="2F5496" w:themeColor="accent1" w:themeShade="BF"/>
          <w:sz w:val="28"/>
          <w:szCs w:val="28"/>
        </w:rPr>
      </w:pPr>
      <w:bookmarkStart w:id="6" w:name="_Toc94531141"/>
      <w:r w:rsidRPr="004E0C53">
        <w:rPr>
          <w:rFonts w:ascii="DINPro-Bold" w:hAnsi="DINPro-Bold" w:cstheme="majorBidi"/>
          <w:color w:val="2F5496" w:themeColor="accent1" w:themeShade="BF"/>
          <w:sz w:val="28"/>
          <w:szCs w:val="28"/>
        </w:rPr>
        <w:t>Expert Contributors</w:t>
      </w:r>
    </w:p>
    <w:p w14:paraId="3FC31832" w14:textId="77777777" w:rsidR="00E24A97" w:rsidRPr="006C2A8A" w:rsidRDefault="00E24A97" w:rsidP="00E24A97">
      <w:pPr>
        <w:spacing w:before="120" w:after="120" w:line="360" w:lineRule="auto"/>
        <w:rPr>
          <w:sz w:val="24"/>
          <w:szCs w:val="24"/>
          <w:lang w:val="en-GB"/>
        </w:rPr>
      </w:pPr>
      <w:r w:rsidRPr="006C2A8A">
        <w:rPr>
          <w:sz w:val="24"/>
          <w:szCs w:val="24"/>
          <w:lang w:val="en-GB"/>
        </w:rPr>
        <w:t xml:space="preserve">The following Cluster members provided their expertise in the conception and drafting of the report:  </w:t>
      </w:r>
    </w:p>
    <w:bookmarkEnd w:id="6"/>
    <w:p w14:paraId="3A8407C3" w14:textId="79625BC4" w:rsidR="00E24A97" w:rsidRPr="00A6238E" w:rsidRDefault="00E24A97" w:rsidP="00E24A97">
      <w:pPr>
        <w:pStyle w:val="ListParagraph"/>
        <w:numPr>
          <w:ilvl w:val="0"/>
          <w:numId w:val="22"/>
        </w:numPr>
        <w:spacing w:before="120" w:after="120" w:line="360" w:lineRule="auto"/>
        <w:rPr>
          <w:sz w:val="24"/>
          <w:szCs w:val="24"/>
          <w:lang w:val="en-GB"/>
        </w:rPr>
      </w:pPr>
      <w:r w:rsidRPr="00D24A45">
        <w:rPr>
          <w:b/>
          <w:bCs/>
          <w:sz w:val="24"/>
          <w:szCs w:val="24"/>
          <w:lang w:val="en-GB"/>
        </w:rPr>
        <w:t>Zuzana Pavlíčková</w:t>
      </w:r>
      <w:r w:rsidRPr="00A6238E">
        <w:rPr>
          <w:sz w:val="24"/>
          <w:szCs w:val="24"/>
          <w:lang w:val="en-GB"/>
        </w:rPr>
        <w:t>,  National Centre for Human Rights</w:t>
      </w:r>
      <w:r w:rsidR="00D24A45">
        <w:rPr>
          <w:sz w:val="24"/>
          <w:szCs w:val="24"/>
          <w:lang w:val="en-GB"/>
        </w:rPr>
        <w:t>, Slovakia</w:t>
      </w:r>
    </w:p>
    <w:p w14:paraId="762A9642" w14:textId="77777777" w:rsidR="00E24A97" w:rsidRPr="00A6238E" w:rsidRDefault="00E24A97" w:rsidP="00E24A97">
      <w:pPr>
        <w:pStyle w:val="ListParagraph"/>
        <w:numPr>
          <w:ilvl w:val="0"/>
          <w:numId w:val="22"/>
        </w:numPr>
        <w:spacing w:before="120" w:after="120" w:line="360" w:lineRule="auto"/>
        <w:rPr>
          <w:sz w:val="24"/>
          <w:szCs w:val="24"/>
          <w:lang w:val="en-GB"/>
        </w:rPr>
      </w:pPr>
      <w:r w:rsidRPr="00D24A45">
        <w:rPr>
          <w:b/>
          <w:bCs/>
          <w:sz w:val="24"/>
          <w:szCs w:val="24"/>
          <w:lang w:val="en-GB"/>
        </w:rPr>
        <w:t>Aleksandra Szczerba</w:t>
      </w:r>
      <w:r w:rsidRPr="00A6238E">
        <w:rPr>
          <w:sz w:val="24"/>
          <w:szCs w:val="24"/>
          <w:lang w:val="en-GB"/>
        </w:rPr>
        <w:t>, Commissioner for Human Rights, Poland</w:t>
      </w:r>
    </w:p>
    <w:p w14:paraId="5AD35AAF" w14:textId="0C0C2F32" w:rsidR="00E24A97" w:rsidRPr="004E0C53" w:rsidRDefault="00E24A97" w:rsidP="000130DF">
      <w:pPr>
        <w:rPr>
          <w:rFonts w:ascii="DINPro-Bold" w:hAnsi="DINPro-Bold" w:cstheme="majorBidi"/>
          <w:color w:val="2F5496" w:themeColor="accent1" w:themeShade="BF"/>
          <w:sz w:val="28"/>
          <w:szCs w:val="28"/>
        </w:rPr>
      </w:pPr>
      <w:r w:rsidRPr="004E0C53">
        <w:rPr>
          <w:rFonts w:ascii="DINPro-Bold" w:hAnsi="DINPro-Bold" w:cstheme="majorBidi"/>
          <w:color w:val="2F5496" w:themeColor="accent1" w:themeShade="BF"/>
          <w:sz w:val="28"/>
          <w:szCs w:val="28"/>
        </w:rPr>
        <w:t xml:space="preserve">Contributing </w:t>
      </w:r>
      <w:r w:rsidR="00093565">
        <w:rPr>
          <w:rFonts w:ascii="DINPro-Bold" w:hAnsi="DINPro-Bold" w:cstheme="majorBidi"/>
          <w:color w:val="2F5496" w:themeColor="accent1" w:themeShade="BF"/>
          <w:sz w:val="28"/>
          <w:szCs w:val="28"/>
        </w:rPr>
        <w:t>institutions</w:t>
      </w:r>
    </w:p>
    <w:p w14:paraId="794ADD63" w14:textId="77777777" w:rsidR="00E24A97" w:rsidRPr="006C2A8A" w:rsidRDefault="00E24A97" w:rsidP="00E24A97">
      <w:pPr>
        <w:spacing w:before="120" w:after="120" w:line="360" w:lineRule="auto"/>
        <w:rPr>
          <w:sz w:val="24"/>
          <w:szCs w:val="24"/>
          <w:lang w:val="en-GB"/>
        </w:rPr>
      </w:pPr>
      <w:r w:rsidRPr="006C2A8A">
        <w:rPr>
          <w:sz w:val="24"/>
          <w:szCs w:val="24"/>
        </w:rPr>
        <w:t xml:space="preserve">Myria, </w:t>
      </w:r>
      <w:r w:rsidRPr="00A6238E">
        <w:rPr>
          <w:b/>
          <w:bCs/>
          <w:sz w:val="24"/>
          <w:szCs w:val="24"/>
        </w:rPr>
        <w:t>Belgium</w:t>
      </w:r>
      <w:r w:rsidRPr="006C2A8A">
        <w:rPr>
          <w:sz w:val="24"/>
          <w:szCs w:val="24"/>
        </w:rPr>
        <w:t xml:space="preserve">; Office of the Public Defender of Rights, </w:t>
      </w:r>
      <w:r w:rsidRPr="003F2715">
        <w:rPr>
          <w:b/>
          <w:bCs/>
          <w:sz w:val="24"/>
          <w:szCs w:val="24"/>
        </w:rPr>
        <w:t>Czech Republic</w:t>
      </w:r>
      <w:r w:rsidRPr="003F2715">
        <w:rPr>
          <w:sz w:val="24"/>
          <w:szCs w:val="24"/>
        </w:rPr>
        <w:t>; The Office</w:t>
      </w:r>
      <w:r w:rsidRPr="006C2A8A">
        <w:rPr>
          <w:sz w:val="24"/>
          <w:szCs w:val="24"/>
        </w:rPr>
        <w:t xml:space="preserve"> of the Equal Opportunities Office, </w:t>
      </w:r>
      <w:r w:rsidRPr="00A6238E">
        <w:rPr>
          <w:b/>
          <w:bCs/>
          <w:sz w:val="24"/>
          <w:szCs w:val="24"/>
        </w:rPr>
        <w:t>Lithuania</w:t>
      </w:r>
      <w:r w:rsidRPr="006C2A8A">
        <w:rPr>
          <w:sz w:val="24"/>
          <w:szCs w:val="24"/>
        </w:rPr>
        <w:t xml:space="preserve">; National Commission for the Promotion of Equality, </w:t>
      </w:r>
      <w:r w:rsidRPr="00A6238E">
        <w:rPr>
          <w:b/>
          <w:bCs/>
          <w:sz w:val="24"/>
          <w:szCs w:val="24"/>
        </w:rPr>
        <w:t>Malta</w:t>
      </w:r>
      <w:r w:rsidRPr="006C2A8A">
        <w:rPr>
          <w:sz w:val="24"/>
          <w:szCs w:val="24"/>
        </w:rPr>
        <w:t xml:space="preserve">; Office of Polish Commissioner for Human Rights, </w:t>
      </w:r>
      <w:r w:rsidRPr="00A6238E">
        <w:rPr>
          <w:b/>
          <w:bCs/>
          <w:sz w:val="24"/>
          <w:szCs w:val="24"/>
        </w:rPr>
        <w:t>Poland</w:t>
      </w:r>
      <w:r w:rsidRPr="006C2A8A">
        <w:rPr>
          <w:sz w:val="24"/>
          <w:szCs w:val="24"/>
        </w:rPr>
        <w:t xml:space="preserve">; National Council for Combating Discrimination, </w:t>
      </w:r>
      <w:r w:rsidRPr="00A6238E">
        <w:rPr>
          <w:b/>
          <w:bCs/>
          <w:sz w:val="24"/>
          <w:szCs w:val="24"/>
        </w:rPr>
        <w:t>Romania</w:t>
      </w:r>
      <w:r w:rsidRPr="006C2A8A">
        <w:rPr>
          <w:sz w:val="24"/>
          <w:szCs w:val="24"/>
        </w:rPr>
        <w:t xml:space="preserve">; Slovak National Centre for Human Rights, </w:t>
      </w:r>
      <w:r w:rsidRPr="00A6238E">
        <w:rPr>
          <w:b/>
          <w:bCs/>
          <w:sz w:val="24"/>
          <w:szCs w:val="24"/>
        </w:rPr>
        <w:t>Slovakia</w:t>
      </w:r>
      <w:r w:rsidRPr="006C2A8A">
        <w:rPr>
          <w:sz w:val="24"/>
          <w:szCs w:val="24"/>
        </w:rPr>
        <w:t xml:space="preserve">; Advocate of the Principle of Equality, </w:t>
      </w:r>
      <w:r w:rsidRPr="00A6238E">
        <w:rPr>
          <w:b/>
          <w:bCs/>
          <w:sz w:val="24"/>
          <w:szCs w:val="24"/>
        </w:rPr>
        <w:t>Slovenia</w:t>
      </w:r>
      <w:r>
        <w:rPr>
          <w:b/>
          <w:bCs/>
          <w:sz w:val="24"/>
          <w:szCs w:val="24"/>
        </w:rPr>
        <w:t>.</w:t>
      </w:r>
    </w:p>
    <w:p w14:paraId="481C1BCC" w14:textId="77777777" w:rsidR="00E24A97" w:rsidRPr="004E0C53" w:rsidRDefault="00E24A97" w:rsidP="00B513BB">
      <w:pPr>
        <w:pStyle w:val="Heading4"/>
        <w:spacing w:before="240" w:after="240"/>
        <w:rPr>
          <w:rFonts w:ascii="DINPro-Bold" w:eastAsiaTheme="minorHAnsi" w:hAnsi="DINPro-Bold"/>
          <w:color w:val="2F5496" w:themeColor="accent1" w:themeShade="BF"/>
          <w:lang w:val="en-US"/>
        </w:rPr>
      </w:pPr>
      <w:bookmarkStart w:id="7" w:name="_Toc94531142"/>
      <w:r w:rsidRPr="004E0C53">
        <w:rPr>
          <w:rFonts w:ascii="DINPro-Bold" w:eastAsiaTheme="minorHAnsi" w:hAnsi="DINPro-Bold"/>
          <w:color w:val="2F5496" w:themeColor="accent1" w:themeShade="BF"/>
          <w:lang w:val="en-US"/>
        </w:rPr>
        <w:t>Editorial and Publication Coordination</w:t>
      </w:r>
      <w:bookmarkEnd w:id="7"/>
      <w:r w:rsidRPr="004E0C53">
        <w:rPr>
          <w:rFonts w:ascii="DINPro-Bold" w:eastAsiaTheme="minorHAnsi" w:hAnsi="DINPro-Bold"/>
          <w:color w:val="2F5496" w:themeColor="accent1" w:themeShade="BF"/>
          <w:lang w:val="en-US"/>
        </w:rPr>
        <w:t> </w:t>
      </w:r>
    </w:p>
    <w:p w14:paraId="79632C42" w14:textId="77777777" w:rsidR="00E24A97" w:rsidRPr="006C2A8A" w:rsidRDefault="00E24A97" w:rsidP="00E24A97">
      <w:pPr>
        <w:spacing w:before="120" w:after="120" w:line="360" w:lineRule="auto"/>
        <w:rPr>
          <w:sz w:val="24"/>
          <w:szCs w:val="24"/>
        </w:rPr>
      </w:pPr>
      <w:r w:rsidRPr="00A83FCB">
        <w:rPr>
          <w:b/>
          <w:bCs/>
          <w:sz w:val="24"/>
          <w:szCs w:val="24"/>
        </w:rPr>
        <w:t>Daris Lewis</w:t>
      </w:r>
      <w:r w:rsidRPr="006C2A8A">
        <w:rPr>
          <w:sz w:val="24"/>
          <w:szCs w:val="24"/>
        </w:rPr>
        <w:t xml:space="preserve">, </w:t>
      </w:r>
      <w:r w:rsidRPr="00A83FCB">
        <w:rPr>
          <w:b/>
          <w:bCs/>
          <w:sz w:val="24"/>
          <w:szCs w:val="24"/>
        </w:rPr>
        <w:t>Marta Pompili</w:t>
      </w:r>
      <w:r w:rsidRPr="006C2A8A">
        <w:rPr>
          <w:sz w:val="24"/>
          <w:szCs w:val="24"/>
        </w:rPr>
        <w:t xml:space="preserve"> and </w:t>
      </w:r>
      <w:r w:rsidRPr="00A83FCB">
        <w:rPr>
          <w:b/>
          <w:bCs/>
          <w:sz w:val="24"/>
          <w:szCs w:val="24"/>
        </w:rPr>
        <w:t>Moana Genevey</w:t>
      </w:r>
      <w:r w:rsidRPr="006C2A8A">
        <w:rPr>
          <w:sz w:val="24"/>
          <w:szCs w:val="24"/>
        </w:rPr>
        <w:t xml:space="preserve"> (Equinet, European Network of Equality Bodies) </w:t>
      </w:r>
    </w:p>
    <w:p w14:paraId="6CA5E74B" w14:textId="77777777" w:rsidR="00E24A97" w:rsidRPr="004E0C53" w:rsidRDefault="00E24A97" w:rsidP="00B513BB">
      <w:pPr>
        <w:pStyle w:val="Heading4"/>
        <w:spacing w:before="240" w:after="240"/>
        <w:rPr>
          <w:rFonts w:ascii="DINPro-Bold" w:eastAsiaTheme="minorHAnsi" w:hAnsi="DINPro-Bold"/>
          <w:color w:val="2F5496" w:themeColor="accent1" w:themeShade="BF"/>
          <w:lang w:val="en-US"/>
        </w:rPr>
      </w:pPr>
      <w:bookmarkStart w:id="8" w:name="_Toc94531143"/>
      <w:r w:rsidRPr="004E0C53">
        <w:rPr>
          <w:rFonts w:ascii="DINPro-Bold" w:eastAsiaTheme="minorHAnsi" w:hAnsi="DINPro-Bold"/>
          <w:color w:val="2F5496" w:themeColor="accent1" w:themeShade="BF"/>
          <w:lang w:val="en-US"/>
        </w:rPr>
        <w:t>Formatting</w:t>
      </w:r>
      <w:bookmarkEnd w:id="8"/>
    </w:p>
    <w:p w14:paraId="34E4D956" w14:textId="1D8A3476" w:rsidR="002E14DA" w:rsidRDefault="00E24A97" w:rsidP="00E24A97">
      <w:pPr>
        <w:rPr>
          <w:sz w:val="24"/>
          <w:szCs w:val="24"/>
        </w:rPr>
      </w:pPr>
      <w:r w:rsidRPr="00A83FCB">
        <w:rPr>
          <w:b/>
          <w:bCs/>
          <w:sz w:val="24"/>
          <w:szCs w:val="24"/>
        </w:rPr>
        <w:t xml:space="preserve">Chiara D’Agni </w:t>
      </w:r>
      <w:r w:rsidRPr="006C2A8A">
        <w:rPr>
          <w:sz w:val="24"/>
          <w:szCs w:val="24"/>
        </w:rPr>
        <w:t>(Equinet, European Network of Equality Bodies) </w:t>
      </w:r>
      <w:r w:rsidR="002E14DA">
        <w:rPr>
          <w:sz w:val="24"/>
          <w:szCs w:val="24"/>
        </w:rPr>
        <w:br w:type="page"/>
      </w:r>
    </w:p>
    <w:sdt>
      <w:sdtPr>
        <w:rPr>
          <w:rFonts w:ascii="Calibri" w:eastAsiaTheme="minorHAnsi" w:hAnsi="Calibri" w:cstheme="minorBidi"/>
          <w:color w:val="auto"/>
          <w:sz w:val="22"/>
          <w:szCs w:val="22"/>
        </w:rPr>
        <w:id w:val="910044387"/>
        <w:docPartObj>
          <w:docPartGallery w:val="Table of Contents"/>
          <w:docPartUnique/>
        </w:docPartObj>
      </w:sdtPr>
      <w:sdtEndPr>
        <w:rPr>
          <w:b/>
          <w:bCs/>
          <w:noProof/>
        </w:rPr>
      </w:sdtEndPr>
      <w:sdtContent>
        <w:p w14:paraId="376D0B95" w14:textId="4FB2D842" w:rsidR="00975633" w:rsidRPr="001247D6" w:rsidRDefault="00975633" w:rsidP="001247D6">
          <w:pPr>
            <w:pStyle w:val="TOCHeading"/>
            <w:spacing w:after="240"/>
            <w:rPr>
              <w:rFonts w:ascii="DINPro-Bold" w:hAnsi="DINPro-Bold"/>
              <w:sz w:val="36"/>
              <w:szCs w:val="36"/>
            </w:rPr>
          </w:pPr>
          <w:r w:rsidRPr="001247D6">
            <w:rPr>
              <w:rFonts w:ascii="DINPro-Bold" w:hAnsi="DINPro-Bold"/>
              <w:sz w:val="36"/>
              <w:szCs w:val="36"/>
            </w:rPr>
            <w:t>Contents</w:t>
          </w:r>
        </w:p>
        <w:p w14:paraId="34AC6607" w14:textId="1A09BA73" w:rsidR="003A3F47" w:rsidRDefault="00975633">
          <w:pPr>
            <w:pStyle w:val="TOC1"/>
            <w:rPr>
              <w:rFonts w:asciiTheme="minorHAnsi" w:eastAsiaTheme="minorEastAsia" w:hAnsiTheme="minorHAnsi"/>
              <w:b w:val="0"/>
              <w:bCs w:val="0"/>
              <w:kern w:val="2"/>
              <w14:ligatures w14:val="standardContextual"/>
            </w:rPr>
          </w:pPr>
          <w:r>
            <w:rPr>
              <w:noProof w:val="0"/>
            </w:rPr>
            <w:fldChar w:fldCharType="begin"/>
          </w:r>
          <w:r>
            <w:instrText xml:space="preserve"> TOC \o "1-3" \h \z \u </w:instrText>
          </w:r>
          <w:r>
            <w:rPr>
              <w:noProof w:val="0"/>
            </w:rPr>
            <w:fldChar w:fldCharType="separate"/>
          </w:r>
          <w:hyperlink w:anchor="_Toc157782125" w:history="1">
            <w:r w:rsidR="003A3F47" w:rsidRPr="00C02C96">
              <w:rPr>
                <w:rStyle w:val="Hyperlink"/>
              </w:rPr>
              <w:t>Acknowledgements</w:t>
            </w:r>
            <w:r w:rsidR="003A3F47">
              <w:rPr>
                <w:webHidden/>
              </w:rPr>
              <w:tab/>
            </w:r>
            <w:r w:rsidR="003A3F47">
              <w:rPr>
                <w:webHidden/>
              </w:rPr>
              <w:fldChar w:fldCharType="begin"/>
            </w:r>
            <w:r w:rsidR="003A3F47">
              <w:rPr>
                <w:webHidden/>
              </w:rPr>
              <w:instrText xml:space="preserve"> PAGEREF _Toc157782125 \h </w:instrText>
            </w:r>
            <w:r w:rsidR="003A3F47">
              <w:rPr>
                <w:webHidden/>
              </w:rPr>
            </w:r>
            <w:r w:rsidR="003A3F47">
              <w:rPr>
                <w:webHidden/>
              </w:rPr>
              <w:fldChar w:fldCharType="separate"/>
            </w:r>
            <w:r w:rsidR="003C1A4D">
              <w:rPr>
                <w:webHidden/>
              </w:rPr>
              <w:t>iii</w:t>
            </w:r>
            <w:r w:rsidR="003A3F47">
              <w:rPr>
                <w:webHidden/>
              </w:rPr>
              <w:fldChar w:fldCharType="end"/>
            </w:r>
          </w:hyperlink>
        </w:p>
        <w:p w14:paraId="54D2DB0E" w14:textId="20445021" w:rsidR="003A3F47" w:rsidRDefault="00000000">
          <w:pPr>
            <w:pStyle w:val="TOC1"/>
            <w:rPr>
              <w:rFonts w:asciiTheme="minorHAnsi" w:eastAsiaTheme="minorEastAsia" w:hAnsiTheme="minorHAnsi"/>
              <w:b w:val="0"/>
              <w:bCs w:val="0"/>
              <w:kern w:val="2"/>
              <w14:ligatures w14:val="standardContextual"/>
            </w:rPr>
          </w:pPr>
          <w:hyperlink w:anchor="_Toc157782126" w:history="1">
            <w:r w:rsidR="003A3F47" w:rsidRPr="00C02C96">
              <w:rPr>
                <w:rStyle w:val="Hyperlink"/>
              </w:rPr>
              <w:t>Introduction</w:t>
            </w:r>
            <w:r w:rsidR="003A3F47">
              <w:rPr>
                <w:webHidden/>
              </w:rPr>
              <w:tab/>
            </w:r>
            <w:r w:rsidR="003A3F47">
              <w:rPr>
                <w:webHidden/>
              </w:rPr>
              <w:fldChar w:fldCharType="begin"/>
            </w:r>
            <w:r w:rsidR="003A3F47">
              <w:rPr>
                <w:webHidden/>
              </w:rPr>
              <w:instrText xml:space="preserve"> PAGEREF _Toc157782126 \h </w:instrText>
            </w:r>
            <w:r w:rsidR="003A3F47">
              <w:rPr>
                <w:webHidden/>
              </w:rPr>
            </w:r>
            <w:r w:rsidR="003A3F47">
              <w:rPr>
                <w:webHidden/>
              </w:rPr>
              <w:fldChar w:fldCharType="separate"/>
            </w:r>
            <w:r w:rsidR="003C1A4D">
              <w:rPr>
                <w:webHidden/>
              </w:rPr>
              <w:t>5</w:t>
            </w:r>
            <w:r w:rsidR="003A3F47">
              <w:rPr>
                <w:webHidden/>
              </w:rPr>
              <w:fldChar w:fldCharType="end"/>
            </w:r>
          </w:hyperlink>
        </w:p>
        <w:p w14:paraId="382A90FD" w14:textId="0886B08E" w:rsidR="003A3F47" w:rsidRDefault="00000000">
          <w:pPr>
            <w:pStyle w:val="TOC1"/>
            <w:rPr>
              <w:rFonts w:asciiTheme="minorHAnsi" w:eastAsiaTheme="minorEastAsia" w:hAnsiTheme="minorHAnsi"/>
              <w:b w:val="0"/>
              <w:bCs w:val="0"/>
              <w:kern w:val="2"/>
              <w14:ligatures w14:val="standardContextual"/>
            </w:rPr>
          </w:pPr>
          <w:hyperlink w:anchor="_Toc157782127" w:history="1">
            <w:r w:rsidR="003A3F47" w:rsidRPr="00C02C96">
              <w:rPr>
                <w:rStyle w:val="Hyperlink"/>
              </w:rPr>
              <w:t>I.</w:t>
            </w:r>
            <w:r w:rsidR="003A3F47">
              <w:rPr>
                <w:rFonts w:asciiTheme="minorHAnsi" w:eastAsiaTheme="minorEastAsia" w:hAnsiTheme="minorHAnsi"/>
                <w:b w:val="0"/>
                <w:bCs w:val="0"/>
                <w:kern w:val="2"/>
                <w14:ligatures w14:val="standardContextual"/>
              </w:rPr>
              <w:tab/>
            </w:r>
            <w:r w:rsidR="003A3F47" w:rsidRPr="00C02C96">
              <w:rPr>
                <w:rStyle w:val="Hyperlink"/>
              </w:rPr>
              <w:t>Rainbow families on the move – Council of Europe and European Union standards</w:t>
            </w:r>
            <w:r w:rsidR="003A3F47">
              <w:rPr>
                <w:webHidden/>
              </w:rPr>
              <w:tab/>
            </w:r>
            <w:r w:rsidR="003A3F47">
              <w:rPr>
                <w:webHidden/>
              </w:rPr>
              <w:fldChar w:fldCharType="begin"/>
            </w:r>
            <w:r w:rsidR="003A3F47">
              <w:rPr>
                <w:webHidden/>
              </w:rPr>
              <w:instrText xml:space="preserve"> PAGEREF _Toc157782127 \h </w:instrText>
            </w:r>
            <w:r w:rsidR="003A3F47">
              <w:rPr>
                <w:webHidden/>
              </w:rPr>
            </w:r>
            <w:r w:rsidR="003A3F47">
              <w:rPr>
                <w:webHidden/>
              </w:rPr>
              <w:fldChar w:fldCharType="separate"/>
            </w:r>
            <w:r w:rsidR="003C1A4D">
              <w:rPr>
                <w:webHidden/>
              </w:rPr>
              <w:t>8</w:t>
            </w:r>
            <w:r w:rsidR="003A3F47">
              <w:rPr>
                <w:webHidden/>
              </w:rPr>
              <w:fldChar w:fldCharType="end"/>
            </w:r>
          </w:hyperlink>
        </w:p>
        <w:p w14:paraId="5408F8C6" w14:textId="73709572" w:rsidR="003A3F47" w:rsidRDefault="00000000">
          <w:pPr>
            <w:pStyle w:val="TOC2"/>
            <w:tabs>
              <w:tab w:val="right" w:leader="dot" w:pos="9016"/>
            </w:tabs>
            <w:rPr>
              <w:rFonts w:asciiTheme="minorHAnsi" w:eastAsiaTheme="minorEastAsia" w:hAnsiTheme="minorHAnsi"/>
              <w:noProof/>
              <w:kern w:val="2"/>
              <w14:ligatures w14:val="standardContextual"/>
            </w:rPr>
          </w:pPr>
          <w:hyperlink w:anchor="_Toc157782128" w:history="1">
            <w:r w:rsidR="003A3F47" w:rsidRPr="00C02C96">
              <w:rPr>
                <w:rStyle w:val="Hyperlink"/>
                <w:noProof/>
              </w:rPr>
              <w:t>EU Level</w:t>
            </w:r>
            <w:r w:rsidR="003A3F47">
              <w:rPr>
                <w:noProof/>
                <w:webHidden/>
              </w:rPr>
              <w:tab/>
            </w:r>
            <w:r w:rsidR="003A3F47">
              <w:rPr>
                <w:noProof/>
                <w:webHidden/>
              </w:rPr>
              <w:fldChar w:fldCharType="begin"/>
            </w:r>
            <w:r w:rsidR="003A3F47">
              <w:rPr>
                <w:noProof/>
                <w:webHidden/>
              </w:rPr>
              <w:instrText xml:space="preserve"> PAGEREF _Toc157782128 \h </w:instrText>
            </w:r>
            <w:r w:rsidR="003A3F47">
              <w:rPr>
                <w:noProof/>
                <w:webHidden/>
              </w:rPr>
            </w:r>
            <w:r w:rsidR="003A3F47">
              <w:rPr>
                <w:noProof/>
                <w:webHidden/>
              </w:rPr>
              <w:fldChar w:fldCharType="separate"/>
            </w:r>
            <w:r w:rsidR="003C1A4D">
              <w:rPr>
                <w:noProof/>
                <w:webHidden/>
              </w:rPr>
              <w:t>9</w:t>
            </w:r>
            <w:r w:rsidR="003A3F47">
              <w:rPr>
                <w:noProof/>
                <w:webHidden/>
              </w:rPr>
              <w:fldChar w:fldCharType="end"/>
            </w:r>
          </w:hyperlink>
        </w:p>
        <w:p w14:paraId="773CACFA" w14:textId="5953D49C" w:rsidR="003A3F47" w:rsidRDefault="00000000">
          <w:pPr>
            <w:pStyle w:val="TOC3"/>
            <w:tabs>
              <w:tab w:val="right" w:leader="dot" w:pos="9016"/>
            </w:tabs>
            <w:rPr>
              <w:rFonts w:asciiTheme="minorHAnsi" w:eastAsiaTheme="minorEastAsia" w:hAnsiTheme="minorHAnsi"/>
              <w:noProof/>
              <w:kern w:val="2"/>
              <w14:ligatures w14:val="standardContextual"/>
            </w:rPr>
          </w:pPr>
          <w:hyperlink w:anchor="_Toc157782129" w:history="1">
            <w:r w:rsidR="003A3F47" w:rsidRPr="00C02C96">
              <w:rPr>
                <w:rStyle w:val="Hyperlink"/>
                <w:noProof/>
              </w:rPr>
              <w:t>Free movement of EU citizens and mutual recognition of partnerships</w:t>
            </w:r>
            <w:r w:rsidR="003A3F47">
              <w:rPr>
                <w:noProof/>
                <w:webHidden/>
              </w:rPr>
              <w:tab/>
            </w:r>
            <w:r w:rsidR="003A3F47">
              <w:rPr>
                <w:noProof/>
                <w:webHidden/>
              </w:rPr>
              <w:fldChar w:fldCharType="begin"/>
            </w:r>
            <w:r w:rsidR="003A3F47">
              <w:rPr>
                <w:noProof/>
                <w:webHidden/>
              </w:rPr>
              <w:instrText xml:space="preserve"> PAGEREF _Toc157782129 \h </w:instrText>
            </w:r>
            <w:r w:rsidR="003A3F47">
              <w:rPr>
                <w:noProof/>
                <w:webHidden/>
              </w:rPr>
            </w:r>
            <w:r w:rsidR="003A3F47">
              <w:rPr>
                <w:noProof/>
                <w:webHidden/>
              </w:rPr>
              <w:fldChar w:fldCharType="separate"/>
            </w:r>
            <w:r w:rsidR="003C1A4D">
              <w:rPr>
                <w:noProof/>
                <w:webHidden/>
              </w:rPr>
              <w:t>9</w:t>
            </w:r>
            <w:r w:rsidR="003A3F47">
              <w:rPr>
                <w:noProof/>
                <w:webHidden/>
              </w:rPr>
              <w:fldChar w:fldCharType="end"/>
            </w:r>
          </w:hyperlink>
        </w:p>
        <w:p w14:paraId="6DC4E5FC" w14:textId="0AB0D3F7" w:rsidR="003A3F47" w:rsidRDefault="00000000">
          <w:pPr>
            <w:pStyle w:val="TOC3"/>
            <w:tabs>
              <w:tab w:val="right" w:leader="dot" w:pos="9016"/>
            </w:tabs>
            <w:rPr>
              <w:rFonts w:asciiTheme="minorHAnsi" w:eastAsiaTheme="minorEastAsia" w:hAnsiTheme="minorHAnsi"/>
              <w:noProof/>
              <w:kern w:val="2"/>
              <w14:ligatures w14:val="standardContextual"/>
            </w:rPr>
          </w:pPr>
          <w:hyperlink w:anchor="_Toc157782130" w:history="1">
            <w:r w:rsidR="003A3F47" w:rsidRPr="00C02C96">
              <w:rPr>
                <w:rStyle w:val="Hyperlink"/>
                <w:noProof/>
              </w:rPr>
              <w:t>EU anti-discrimination framework and mutual recognition of partnerships</w:t>
            </w:r>
            <w:r w:rsidR="003A3F47">
              <w:rPr>
                <w:noProof/>
                <w:webHidden/>
              </w:rPr>
              <w:tab/>
            </w:r>
            <w:r w:rsidR="003A3F47">
              <w:rPr>
                <w:noProof/>
                <w:webHidden/>
              </w:rPr>
              <w:fldChar w:fldCharType="begin"/>
            </w:r>
            <w:r w:rsidR="003A3F47">
              <w:rPr>
                <w:noProof/>
                <w:webHidden/>
              </w:rPr>
              <w:instrText xml:space="preserve"> PAGEREF _Toc157782130 \h </w:instrText>
            </w:r>
            <w:r w:rsidR="003A3F47">
              <w:rPr>
                <w:noProof/>
                <w:webHidden/>
              </w:rPr>
            </w:r>
            <w:r w:rsidR="003A3F47">
              <w:rPr>
                <w:noProof/>
                <w:webHidden/>
              </w:rPr>
              <w:fldChar w:fldCharType="separate"/>
            </w:r>
            <w:r w:rsidR="003C1A4D">
              <w:rPr>
                <w:noProof/>
                <w:webHidden/>
              </w:rPr>
              <w:t>11</w:t>
            </w:r>
            <w:r w:rsidR="003A3F47">
              <w:rPr>
                <w:noProof/>
                <w:webHidden/>
              </w:rPr>
              <w:fldChar w:fldCharType="end"/>
            </w:r>
          </w:hyperlink>
        </w:p>
        <w:p w14:paraId="35B7D56E" w14:textId="3886B221" w:rsidR="003A3F47" w:rsidRDefault="00000000">
          <w:pPr>
            <w:pStyle w:val="TOC3"/>
            <w:tabs>
              <w:tab w:val="right" w:leader="dot" w:pos="9016"/>
            </w:tabs>
            <w:rPr>
              <w:rFonts w:asciiTheme="minorHAnsi" w:eastAsiaTheme="minorEastAsia" w:hAnsiTheme="minorHAnsi"/>
              <w:noProof/>
              <w:kern w:val="2"/>
              <w14:ligatures w14:val="standardContextual"/>
            </w:rPr>
          </w:pPr>
          <w:hyperlink w:anchor="_Toc157782131" w:history="1">
            <w:r w:rsidR="003A3F47" w:rsidRPr="00C02C96">
              <w:rPr>
                <w:rStyle w:val="Hyperlink"/>
                <w:noProof/>
              </w:rPr>
              <w:t>Free movement and mutual recognition of parenthood</w:t>
            </w:r>
            <w:r w:rsidR="003A3F47">
              <w:rPr>
                <w:noProof/>
                <w:webHidden/>
              </w:rPr>
              <w:tab/>
            </w:r>
            <w:r w:rsidR="003A3F47">
              <w:rPr>
                <w:noProof/>
                <w:webHidden/>
              </w:rPr>
              <w:fldChar w:fldCharType="begin"/>
            </w:r>
            <w:r w:rsidR="003A3F47">
              <w:rPr>
                <w:noProof/>
                <w:webHidden/>
              </w:rPr>
              <w:instrText xml:space="preserve"> PAGEREF _Toc157782131 \h </w:instrText>
            </w:r>
            <w:r w:rsidR="003A3F47">
              <w:rPr>
                <w:noProof/>
                <w:webHidden/>
              </w:rPr>
            </w:r>
            <w:r w:rsidR="003A3F47">
              <w:rPr>
                <w:noProof/>
                <w:webHidden/>
              </w:rPr>
              <w:fldChar w:fldCharType="separate"/>
            </w:r>
            <w:r w:rsidR="003C1A4D">
              <w:rPr>
                <w:noProof/>
                <w:webHidden/>
              </w:rPr>
              <w:t>13</w:t>
            </w:r>
            <w:r w:rsidR="003A3F47">
              <w:rPr>
                <w:noProof/>
                <w:webHidden/>
              </w:rPr>
              <w:fldChar w:fldCharType="end"/>
            </w:r>
          </w:hyperlink>
        </w:p>
        <w:p w14:paraId="6883B18E" w14:textId="3458EA0E" w:rsidR="003A3F47" w:rsidRDefault="00000000">
          <w:pPr>
            <w:pStyle w:val="TOC2"/>
            <w:tabs>
              <w:tab w:val="right" w:leader="dot" w:pos="9016"/>
            </w:tabs>
            <w:rPr>
              <w:rFonts w:asciiTheme="minorHAnsi" w:eastAsiaTheme="minorEastAsia" w:hAnsiTheme="minorHAnsi"/>
              <w:noProof/>
              <w:kern w:val="2"/>
              <w14:ligatures w14:val="standardContextual"/>
            </w:rPr>
          </w:pPr>
          <w:hyperlink w:anchor="_Toc157782132" w:history="1">
            <w:r w:rsidR="003A3F47" w:rsidRPr="00C02C96">
              <w:rPr>
                <w:rStyle w:val="Hyperlink"/>
                <w:noProof/>
              </w:rPr>
              <w:t>Council of Europe level</w:t>
            </w:r>
            <w:r w:rsidR="003A3F47">
              <w:rPr>
                <w:noProof/>
                <w:webHidden/>
              </w:rPr>
              <w:tab/>
            </w:r>
            <w:r w:rsidR="003A3F47">
              <w:rPr>
                <w:noProof/>
                <w:webHidden/>
              </w:rPr>
              <w:fldChar w:fldCharType="begin"/>
            </w:r>
            <w:r w:rsidR="003A3F47">
              <w:rPr>
                <w:noProof/>
                <w:webHidden/>
              </w:rPr>
              <w:instrText xml:space="preserve"> PAGEREF _Toc157782132 \h </w:instrText>
            </w:r>
            <w:r w:rsidR="003A3F47">
              <w:rPr>
                <w:noProof/>
                <w:webHidden/>
              </w:rPr>
            </w:r>
            <w:r w:rsidR="003A3F47">
              <w:rPr>
                <w:noProof/>
                <w:webHidden/>
              </w:rPr>
              <w:fldChar w:fldCharType="separate"/>
            </w:r>
            <w:r w:rsidR="003C1A4D">
              <w:rPr>
                <w:noProof/>
                <w:webHidden/>
              </w:rPr>
              <w:t>16</w:t>
            </w:r>
            <w:r w:rsidR="003A3F47">
              <w:rPr>
                <w:noProof/>
                <w:webHidden/>
              </w:rPr>
              <w:fldChar w:fldCharType="end"/>
            </w:r>
          </w:hyperlink>
        </w:p>
        <w:p w14:paraId="1F3F7133" w14:textId="77C0ABF2" w:rsidR="003A3F47" w:rsidRDefault="00000000">
          <w:pPr>
            <w:pStyle w:val="TOC3"/>
            <w:tabs>
              <w:tab w:val="right" w:leader="dot" w:pos="9016"/>
            </w:tabs>
            <w:rPr>
              <w:rFonts w:asciiTheme="minorHAnsi" w:eastAsiaTheme="minorEastAsia" w:hAnsiTheme="minorHAnsi"/>
              <w:noProof/>
              <w:kern w:val="2"/>
              <w14:ligatures w14:val="standardContextual"/>
            </w:rPr>
          </w:pPr>
          <w:hyperlink w:anchor="_Toc157782133" w:history="1">
            <w:r w:rsidR="003A3F47" w:rsidRPr="00C02C96">
              <w:rPr>
                <w:rStyle w:val="Hyperlink"/>
                <w:noProof/>
              </w:rPr>
              <w:t>Recognition of same-sex partnerships established abroad</w:t>
            </w:r>
            <w:r w:rsidR="003A3F47">
              <w:rPr>
                <w:noProof/>
                <w:webHidden/>
              </w:rPr>
              <w:tab/>
            </w:r>
            <w:r w:rsidR="003A3F47">
              <w:rPr>
                <w:noProof/>
                <w:webHidden/>
              </w:rPr>
              <w:fldChar w:fldCharType="begin"/>
            </w:r>
            <w:r w:rsidR="003A3F47">
              <w:rPr>
                <w:noProof/>
                <w:webHidden/>
              </w:rPr>
              <w:instrText xml:space="preserve"> PAGEREF _Toc157782133 \h </w:instrText>
            </w:r>
            <w:r w:rsidR="003A3F47">
              <w:rPr>
                <w:noProof/>
                <w:webHidden/>
              </w:rPr>
            </w:r>
            <w:r w:rsidR="003A3F47">
              <w:rPr>
                <w:noProof/>
                <w:webHidden/>
              </w:rPr>
              <w:fldChar w:fldCharType="separate"/>
            </w:r>
            <w:r w:rsidR="003C1A4D">
              <w:rPr>
                <w:noProof/>
                <w:webHidden/>
              </w:rPr>
              <w:t>16</w:t>
            </w:r>
            <w:r w:rsidR="003A3F47">
              <w:rPr>
                <w:noProof/>
                <w:webHidden/>
              </w:rPr>
              <w:fldChar w:fldCharType="end"/>
            </w:r>
          </w:hyperlink>
        </w:p>
        <w:p w14:paraId="5FE6787C" w14:textId="23AB9DA2" w:rsidR="003A3F47" w:rsidRDefault="00000000">
          <w:pPr>
            <w:pStyle w:val="TOC3"/>
            <w:tabs>
              <w:tab w:val="right" w:leader="dot" w:pos="9016"/>
            </w:tabs>
            <w:rPr>
              <w:rFonts w:asciiTheme="minorHAnsi" w:eastAsiaTheme="minorEastAsia" w:hAnsiTheme="minorHAnsi"/>
              <w:noProof/>
              <w:kern w:val="2"/>
              <w14:ligatures w14:val="standardContextual"/>
            </w:rPr>
          </w:pPr>
          <w:hyperlink w:anchor="_Toc157782134" w:history="1">
            <w:r w:rsidR="003A3F47" w:rsidRPr="00C02C96">
              <w:rPr>
                <w:rStyle w:val="Hyperlink"/>
                <w:noProof/>
              </w:rPr>
              <w:t>Recognition of parenthood legally established abroad</w:t>
            </w:r>
            <w:r w:rsidR="003A3F47">
              <w:rPr>
                <w:noProof/>
                <w:webHidden/>
              </w:rPr>
              <w:tab/>
            </w:r>
            <w:r w:rsidR="003A3F47">
              <w:rPr>
                <w:noProof/>
                <w:webHidden/>
              </w:rPr>
              <w:fldChar w:fldCharType="begin"/>
            </w:r>
            <w:r w:rsidR="003A3F47">
              <w:rPr>
                <w:noProof/>
                <w:webHidden/>
              </w:rPr>
              <w:instrText xml:space="preserve"> PAGEREF _Toc157782134 \h </w:instrText>
            </w:r>
            <w:r w:rsidR="003A3F47">
              <w:rPr>
                <w:noProof/>
                <w:webHidden/>
              </w:rPr>
            </w:r>
            <w:r w:rsidR="003A3F47">
              <w:rPr>
                <w:noProof/>
                <w:webHidden/>
              </w:rPr>
              <w:fldChar w:fldCharType="separate"/>
            </w:r>
            <w:r w:rsidR="003C1A4D">
              <w:rPr>
                <w:noProof/>
                <w:webHidden/>
              </w:rPr>
              <w:t>19</w:t>
            </w:r>
            <w:r w:rsidR="003A3F47">
              <w:rPr>
                <w:noProof/>
                <w:webHidden/>
              </w:rPr>
              <w:fldChar w:fldCharType="end"/>
            </w:r>
          </w:hyperlink>
        </w:p>
        <w:p w14:paraId="27A9076A" w14:textId="4EC6C29B" w:rsidR="003A3F47" w:rsidRDefault="00000000">
          <w:pPr>
            <w:pStyle w:val="TOC3"/>
            <w:tabs>
              <w:tab w:val="right" w:leader="dot" w:pos="9016"/>
            </w:tabs>
            <w:rPr>
              <w:rFonts w:asciiTheme="minorHAnsi" w:eastAsiaTheme="minorEastAsia" w:hAnsiTheme="minorHAnsi"/>
              <w:noProof/>
              <w:kern w:val="2"/>
              <w14:ligatures w14:val="standardContextual"/>
            </w:rPr>
          </w:pPr>
          <w:hyperlink w:anchor="_Toc157782135" w:history="1">
            <w:r w:rsidR="003A3F47" w:rsidRPr="00C02C96">
              <w:rPr>
                <w:rStyle w:val="Hyperlink"/>
                <w:noProof/>
              </w:rPr>
              <w:t>Effect of gender transition on marriage and parental rights of transgender parents</w:t>
            </w:r>
            <w:r w:rsidR="003A3F47">
              <w:rPr>
                <w:noProof/>
                <w:webHidden/>
              </w:rPr>
              <w:tab/>
            </w:r>
            <w:r w:rsidR="003A3F47">
              <w:rPr>
                <w:noProof/>
                <w:webHidden/>
              </w:rPr>
              <w:fldChar w:fldCharType="begin"/>
            </w:r>
            <w:r w:rsidR="003A3F47">
              <w:rPr>
                <w:noProof/>
                <w:webHidden/>
              </w:rPr>
              <w:instrText xml:space="preserve"> PAGEREF _Toc157782135 \h </w:instrText>
            </w:r>
            <w:r w:rsidR="003A3F47">
              <w:rPr>
                <w:noProof/>
                <w:webHidden/>
              </w:rPr>
            </w:r>
            <w:r w:rsidR="003A3F47">
              <w:rPr>
                <w:noProof/>
                <w:webHidden/>
              </w:rPr>
              <w:fldChar w:fldCharType="separate"/>
            </w:r>
            <w:r w:rsidR="003C1A4D">
              <w:rPr>
                <w:noProof/>
                <w:webHidden/>
              </w:rPr>
              <w:t>21</w:t>
            </w:r>
            <w:r w:rsidR="003A3F47">
              <w:rPr>
                <w:noProof/>
                <w:webHidden/>
              </w:rPr>
              <w:fldChar w:fldCharType="end"/>
            </w:r>
          </w:hyperlink>
        </w:p>
        <w:p w14:paraId="1A8E233C" w14:textId="28DB290E" w:rsidR="003A3F47" w:rsidRDefault="00000000">
          <w:pPr>
            <w:pStyle w:val="TOC2"/>
            <w:tabs>
              <w:tab w:val="right" w:leader="dot" w:pos="9016"/>
            </w:tabs>
            <w:rPr>
              <w:rFonts w:asciiTheme="minorHAnsi" w:eastAsiaTheme="minorEastAsia" w:hAnsiTheme="minorHAnsi"/>
              <w:noProof/>
              <w:kern w:val="2"/>
              <w14:ligatures w14:val="standardContextual"/>
            </w:rPr>
          </w:pPr>
          <w:hyperlink w:anchor="_Toc157782136" w:history="1">
            <w:r w:rsidR="003A3F47" w:rsidRPr="00C02C96">
              <w:rPr>
                <w:rStyle w:val="Hyperlink"/>
                <w:noProof/>
              </w:rPr>
              <w:t>National regulations</w:t>
            </w:r>
            <w:r w:rsidR="003A3F47">
              <w:rPr>
                <w:noProof/>
                <w:webHidden/>
              </w:rPr>
              <w:tab/>
            </w:r>
            <w:r w:rsidR="003A3F47">
              <w:rPr>
                <w:noProof/>
                <w:webHidden/>
              </w:rPr>
              <w:fldChar w:fldCharType="begin"/>
            </w:r>
            <w:r w:rsidR="003A3F47">
              <w:rPr>
                <w:noProof/>
                <w:webHidden/>
              </w:rPr>
              <w:instrText xml:space="preserve"> PAGEREF _Toc157782136 \h </w:instrText>
            </w:r>
            <w:r w:rsidR="003A3F47">
              <w:rPr>
                <w:noProof/>
                <w:webHidden/>
              </w:rPr>
            </w:r>
            <w:r w:rsidR="003A3F47">
              <w:rPr>
                <w:noProof/>
                <w:webHidden/>
              </w:rPr>
              <w:fldChar w:fldCharType="separate"/>
            </w:r>
            <w:r w:rsidR="003C1A4D">
              <w:rPr>
                <w:noProof/>
                <w:webHidden/>
              </w:rPr>
              <w:t>23</w:t>
            </w:r>
            <w:r w:rsidR="003A3F47">
              <w:rPr>
                <w:noProof/>
                <w:webHidden/>
              </w:rPr>
              <w:fldChar w:fldCharType="end"/>
            </w:r>
          </w:hyperlink>
        </w:p>
        <w:p w14:paraId="59EA7156" w14:textId="1C1F7C19" w:rsidR="003A3F47" w:rsidRDefault="00000000">
          <w:pPr>
            <w:pStyle w:val="TOC3"/>
            <w:tabs>
              <w:tab w:val="right" w:leader="dot" w:pos="9016"/>
            </w:tabs>
            <w:rPr>
              <w:rFonts w:asciiTheme="minorHAnsi" w:eastAsiaTheme="minorEastAsia" w:hAnsiTheme="minorHAnsi"/>
              <w:noProof/>
              <w:kern w:val="2"/>
              <w14:ligatures w14:val="standardContextual"/>
            </w:rPr>
          </w:pPr>
          <w:hyperlink w:anchor="_Toc157782137" w:history="1">
            <w:r w:rsidR="003A3F47" w:rsidRPr="00C02C96">
              <w:rPr>
                <w:rStyle w:val="Hyperlink"/>
                <w:noProof/>
              </w:rPr>
              <w:t>Examples of national laws regulating recognition of parenthood established in another EU Member State</w:t>
            </w:r>
            <w:r w:rsidR="003A3F47">
              <w:rPr>
                <w:noProof/>
                <w:webHidden/>
              </w:rPr>
              <w:tab/>
            </w:r>
            <w:r w:rsidR="003A3F47">
              <w:rPr>
                <w:noProof/>
                <w:webHidden/>
              </w:rPr>
              <w:fldChar w:fldCharType="begin"/>
            </w:r>
            <w:r w:rsidR="003A3F47">
              <w:rPr>
                <w:noProof/>
                <w:webHidden/>
              </w:rPr>
              <w:instrText xml:space="preserve"> PAGEREF _Toc157782137 \h </w:instrText>
            </w:r>
            <w:r w:rsidR="003A3F47">
              <w:rPr>
                <w:noProof/>
                <w:webHidden/>
              </w:rPr>
            </w:r>
            <w:r w:rsidR="003A3F47">
              <w:rPr>
                <w:noProof/>
                <w:webHidden/>
              </w:rPr>
              <w:fldChar w:fldCharType="separate"/>
            </w:r>
            <w:r w:rsidR="003C1A4D">
              <w:rPr>
                <w:noProof/>
                <w:webHidden/>
              </w:rPr>
              <w:t>23</w:t>
            </w:r>
            <w:r w:rsidR="003A3F47">
              <w:rPr>
                <w:noProof/>
                <w:webHidden/>
              </w:rPr>
              <w:fldChar w:fldCharType="end"/>
            </w:r>
          </w:hyperlink>
        </w:p>
        <w:p w14:paraId="120AE775" w14:textId="3829872C" w:rsidR="003A3F47" w:rsidRDefault="00000000">
          <w:pPr>
            <w:pStyle w:val="TOC2"/>
            <w:tabs>
              <w:tab w:val="right" w:leader="dot" w:pos="9016"/>
            </w:tabs>
            <w:rPr>
              <w:rFonts w:asciiTheme="minorHAnsi" w:eastAsiaTheme="minorEastAsia" w:hAnsiTheme="minorHAnsi"/>
              <w:noProof/>
              <w:kern w:val="2"/>
              <w14:ligatures w14:val="standardContextual"/>
            </w:rPr>
          </w:pPr>
          <w:hyperlink w:anchor="_Toc157782138" w:history="1">
            <w:r w:rsidR="003A3F47" w:rsidRPr="00C02C96">
              <w:rPr>
                <w:rStyle w:val="Hyperlink"/>
                <w:noProof/>
              </w:rPr>
              <w:t>Rainbow Index 2022 and 2023</w:t>
            </w:r>
            <w:r w:rsidR="003A3F47">
              <w:rPr>
                <w:noProof/>
                <w:webHidden/>
              </w:rPr>
              <w:tab/>
            </w:r>
            <w:r w:rsidR="003A3F47">
              <w:rPr>
                <w:noProof/>
                <w:webHidden/>
              </w:rPr>
              <w:fldChar w:fldCharType="begin"/>
            </w:r>
            <w:r w:rsidR="003A3F47">
              <w:rPr>
                <w:noProof/>
                <w:webHidden/>
              </w:rPr>
              <w:instrText xml:space="preserve"> PAGEREF _Toc157782138 \h </w:instrText>
            </w:r>
            <w:r w:rsidR="003A3F47">
              <w:rPr>
                <w:noProof/>
                <w:webHidden/>
              </w:rPr>
            </w:r>
            <w:r w:rsidR="003A3F47">
              <w:rPr>
                <w:noProof/>
                <w:webHidden/>
              </w:rPr>
              <w:fldChar w:fldCharType="separate"/>
            </w:r>
            <w:r w:rsidR="003C1A4D">
              <w:rPr>
                <w:noProof/>
                <w:webHidden/>
              </w:rPr>
              <w:t>24</w:t>
            </w:r>
            <w:r w:rsidR="003A3F47">
              <w:rPr>
                <w:noProof/>
                <w:webHidden/>
              </w:rPr>
              <w:fldChar w:fldCharType="end"/>
            </w:r>
          </w:hyperlink>
        </w:p>
        <w:p w14:paraId="475E269B" w14:textId="4FE669B3" w:rsidR="003A3F47" w:rsidRDefault="00000000">
          <w:pPr>
            <w:pStyle w:val="TOC1"/>
            <w:rPr>
              <w:rFonts w:asciiTheme="minorHAnsi" w:eastAsiaTheme="minorEastAsia" w:hAnsiTheme="minorHAnsi"/>
              <w:b w:val="0"/>
              <w:bCs w:val="0"/>
              <w:kern w:val="2"/>
              <w14:ligatures w14:val="standardContextual"/>
            </w:rPr>
          </w:pPr>
          <w:hyperlink w:anchor="_Toc157782139" w:history="1">
            <w:r w:rsidR="003A3F47" w:rsidRPr="00C02C96">
              <w:rPr>
                <w:rStyle w:val="Hyperlink"/>
              </w:rPr>
              <w:t>II.</w:t>
            </w:r>
            <w:r w:rsidR="003A3F47">
              <w:rPr>
                <w:rFonts w:asciiTheme="minorHAnsi" w:eastAsiaTheme="minorEastAsia" w:hAnsiTheme="minorHAnsi"/>
                <w:b w:val="0"/>
                <w:bCs w:val="0"/>
                <w:kern w:val="2"/>
                <w14:ligatures w14:val="standardContextual"/>
              </w:rPr>
              <w:tab/>
            </w:r>
            <w:r w:rsidR="003A3F47" w:rsidRPr="00C02C96">
              <w:rPr>
                <w:rStyle w:val="Hyperlink"/>
              </w:rPr>
              <w:t>Recognition of parenthood established in another Member State - the role of National Equality Bodies</w:t>
            </w:r>
            <w:r w:rsidR="003A3F47">
              <w:rPr>
                <w:webHidden/>
              </w:rPr>
              <w:tab/>
            </w:r>
            <w:r w:rsidR="003A3F47">
              <w:rPr>
                <w:webHidden/>
              </w:rPr>
              <w:fldChar w:fldCharType="begin"/>
            </w:r>
            <w:r w:rsidR="003A3F47">
              <w:rPr>
                <w:webHidden/>
              </w:rPr>
              <w:instrText xml:space="preserve"> PAGEREF _Toc157782139 \h </w:instrText>
            </w:r>
            <w:r w:rsidR="003A3F47">
              <w:rPr>
                <w:webHidden/>
              </w:rPr>
            </w:r>
            <w:r w:rsidR="003A3F47">
              <w:rPr>
                <w:webHidden/>
              </w:rPr>
              <w:fldChar w:fldCharType="separate"/>
            </w:r>
            <w:r w:rsidR="003C1A4D">
              <w:rPr>
                <w:webHidden/>
              </w:rPr>
              <w:t>27</w:t>
            </w:r>
            <w:r w:rsidR="003A3F47">
              <w:rPr>
                <w:webHidden/>
              </w:rPr>
              <w:fldChar w:fldCharType="end"/>
            </w:r>
          </w:hyperlink>
        </w:p>
        <w:p w14:paraId="01FBDD82" w14:textId="0D89A0EC" w:rsidR="003A3F47" w:rsidRDefault="00000000">
          <w:pPr>
            <w:pStyle w:val="TOC2"/>
            <w:tabs>
              <w:tab w:val="right" w:leader="dot" w:pos="9016"/>
            </w:tabs>
            <w:rPr>
              <w:rFonts w:asciiTheme="minorHAnsi" w:eastAsiaTheme="minorEastAsia" w:hAnsiTheme="minorHAnsi"/>
              <w:noProof/>
              <w:kern w:val="2"/>
              <w14:ligatures w14:val="standardContextual"/>
            </w:rPr>
          </w:pPr>
          <w:hyperlink w:anchor="_Toc157782140" w:history="1">
            <w:r w:rsidR="003A3F47" w:rsidRPr="00C02C96">
              <w:rPr>
                <w:rStyle w:val="Hyperlink"/>
                <w:noProof/>
              </w:rPr>
              <w:t>Equality bodies involved in cases concerning the recognition of parenthood established in another Member State</w:t>
            </w:r>
            <w:r w:rsidR="003A3F47">
              <w:rPr>
                <w:noProof/>
                <w:webHidden/>
              </w:rPr>
              <w:tab/>
            </w:r>
            <w:r w:rsidR="003A3F47">
              <w:rPr>
                <w:noProof/>
                <w:webHidden/>
              </w:rPr>
              <w:fldChar w:fldCharType="begin"/>
            </w:r>
            <w:r w:rsidR="003A3F47">
              <w:rPr>
                <w:noProof/>
                <w:webHidden/>
              </w:rPr>
              <w:instrText xml:space="preserve"> PAGEREF _Toc157782140 \h </w:instrText>
            </w:r>
            <w:r w:rsidR="003A3F47">
              <w:rPr>
                <w:noProof/>
                <w:webHidden/>
              </w:rPr>
            </w:r>
            <w:r w:rsidR="003A3F47">
              <w:rPr>
                <w:noProof/>
                <w:webHidden/>
              </w:rPr>
              <w:fldChar w:fldCharType="separate"/>
            </w:r>
            <w:r w:rsidR="003C1A4D">
              <w:rPr>
                <w:noProof/>
                <w:webHidden/>
              </w:rPr>
              <w:t>28</w:t>
            </w:r>
            <w:r w:rsidR="003A3F47">
              <w:rPr>
                <w:noProof/>
                <w:webHidden/>
              </w:rPr>
              <w:fldChar w:fldCharType="end"/>
            </w:r>
          </w:hyperlink>
        </w:p>
        <w:p w14:paraId="366D657F" w14:textId="3CA11ADF" w:rsidR="003A3F47" w:rsidRDefault="00000000">
          <w:pPr>
            <w:pStyle w:val="TOC2"/>
            <w:tabs>
              <w:tab w:val="right" w:leader="dot" w:pos="9016"/>
            </w:tabs>
            <w:rPr>
              <w:rFonts w:asciiTheme="minorHAnsi" w:eastAsiaTheme="minorEastAsia" w:hAnsiTheme="minorHAnsi"/>
              <w:noProof/>
              <w:kern w:val="2"/>
              <w14:ligatures w14:val="standardContextual"/>
            </w:rPr>
          </w:pPr>
          <w:hyperlink w:anchor="_Toc157782141" w:history="1">
            <w:r w:rsidR="003A3F47" w:rsidRPr="00C02C96">
              <w:rPr>
                <w:rStyle w:val="Hyperlink"/>
                <w:noProof/>
              </w:rPr>
              <w:t>Barriers to the involvement of Equality Bodies</w:t>
            </w:r>
            <w:r w:rsidR="003A3F47">
              <w:rPr>
                <w:noProof/>
                <w:webHidden/>
              </w:rPr>
              <w:tab/>
            </w:r>
            <w:r w:rsidR="003A3F47">
              <w:rPr>
                <w:noProof/>
                <w:webHidden/>
              </w:rPr>
              <w:fldChar w:fldCharType="begin"/>
            </w:r>
            <w:r w:rsidR="003A3F47">
              <w:rPr>
                <w:noProof/>
                <w:webHidden/>
              </w:rPr>
              <w:instrText xml:space="preserve"> PAGEREF _Toc157782141 \h </w:instrText>
            </w:r>
            <w:r w:rsidR="003A3F47">
              <w:rPr>
                <w:noProof/>
                <w:webHidden/>
              </w:rPr>
            </w:r>
            <w:r w:rsidR="003A3F47">
              <w:rPr>
                <w:noProof/>
                <w:webHidden/>
              </w:rPr>
              <w:fldChar w:fldCharType="separate"/>
            </w:r>
            <w:r w:rsidR="003C1A4D">
              <w:rPr>
                <w:noProof/>
                <w:webHidden/>
              </w:rPr>
              <w:t>32</w:t>
            </w:r>
            <w:r w:rsidR="003A3F47">
              <w:rPr>
                <w:noProof/>
                <w:webHidden/>
              </w:rPr>
              <w:fldChar w:fldCharType="end"/>
            </w:r>
          </w:hyperlink>
        </w:p>
        <w:p w14:paraId="1DDB857E" w14:textId="4B058C62" w:rsidR="003A3F47" w:rsidRDefault="00000000">
          <w:pPr>
            <w:pStyle w:val="TOC1"/>
            <w:rPr>
              <w:rFonts w:asciiTheme="minorHAnsi" w:eastAsiaTheme="minorEastAsia" w:hAnsiTheme="minorHAnsi"/>
              <w:b w:val="0"/>
              <w:bCs w:val="0"/>
              <w:kern w:val="2"/>
              <w14:ligatures w14:val="standardContextual"/>
            </w:rPr>
          </w:pPr>
          <w:hyperlink w:anchor="_Toc157782142" w:history="1">
            <w:r w:rsidR="003A3F47" w:rsidRPr="00C02C96">
              <w:rPr>
                <w:rStyle w:val="Hyperlink"/>
              </w:rPr>
              <w:t>III.</w:t>
            </w:r>
            <w:r w:rsidR="003A3F47">
              <w:rPr>
                <w:rFonts w:asciiTheme="minorHAnsi" w:eastAsiaTheme="minorEastAsia" w:hAnsiTheme="minorHAnsi"/>
                <w:b w:val="0"/>
                <w:bCs w:val="0"/>
                <w:kern w:val="2"/>
                <w14:ligatures w14:val="standardContextual"/>
              </w:rPr>
              <w:tab/>
            </w:r>
            <w:r w:rsidR="003A3F47" w:rsidRPr="00C02C96">
              <w:rPr>
                <w:rStyle w:val="Hyperlink"/>
              </w:rPr>
              <w:t>Cross-border recognition of parenthood and right to equal treatment and other fundamental rights</w:t>
            </w:r>
            <w:r w:rsidR="003A3F47">
              <w:rPr>
                <w:webHidden/>
              </w:rPr>
              <w:tab/>
            </w:r>
            <w:r w:rsidR="003A3F47">
              <w:rPr>
                <w:webHidden/>
              </w:rPr>
              <w:fldChar w:fldCharType="begin"/>
            </w:r>
            <w:r w:rsidR="003A3F47">
              <w:rPr>
                <w:webHidden/>
              </w:rPr>
              <w:instrText xml:space="preserve"> PAGEREF _Toc157782142 \h </w:instrText>
            </w:r>
            <w:r w:rsidR="003A3F47">
              <w:rPr>
                <w:webHidden/>
              </w:rPr>
            </w:r>
            <w:r w:rsidR="003A3F47">
              <w:rPr>
                <w:webHidden/>
              </w:rPr>
              <w:fldChar w:fldCharType="separate"/>
            </w:r>
            <w:r w:rsidR="003C1A4D">
              <w:rPr>
                <w:webHidden/>
              </w:rPr>
              <w:t>34</w:t>
            </w:r>
            <w:r w:rsidR="003A3F47">
              <w:rPr>
                <w:webHidden/>
              </w:rPr>
              <w:fldChar w:fldCharType="end"/>
            </w:r>
          </w:hyperlink>
        </w:p>
        <w:p w14:paraId="099D00C7" w14:textId="7DEC3490" w:rsidR="003A3F47" w:rsidRDefault="00000000">
          <w:pPr>
            <w:pStyle w:val="TOC1"/>
            <w:rPr>
              <w:rFonts w:asciiTheme="minorHAnsi" w:eastAsiaTheme="minorEastAsia" w:hAnsiTheme="minorHAnsi"/>
              <w:b w:val="0"/>
              <w:bCs w:val="0"/>
              <w:kern w:val="2"/>
              <w14:ligatures w14:val="standardContextual"/>
            </w:rPr>
          </w:pPr>
          <w:hyperlink w:anchor="_Toc157782143" w:history="1">
            <w:r w:rsidR="003A3F47" w:rsidRPr="00C02C96">
              <w:rPr>
                <w:rStyle w:val="Hyperlink"/>
              </w:rPr>
              <w:t>Conclusion</w:t>
            </w:r>
            <w:r w:rsidR="003A3F47">
              <w:rPr>
                <w:webHidden/>
              </w:rPr>
              <w:tab/>
            </w:r>
            <w:r w:rsidR="003A3F47">
              <w:rPr>
                <w:webHidden/>
              </w:rPr>
              <w:fldChar w:fldCharType="begin"/>
            </w:r>
            <w:r w:rsidR="003A3F47">
              <w:rPr>
                <w:webHidden/>
              </w:rPr>
              <w:instrText xml:space="preserve"> PAGEREF _Toc157782143 \h </w:instrText>
            </w:r>
            <w:r w:rsidR="003A3F47">
              <w:rPr>
                <w:webHidden/>
              </w:rPr>
            </w:r>
            <w:r w:rsidR="003A3F47">
              <w:rPr>
                <w:webHidden/>
              </w:rPr>
              <w:fldChar w:fldCharType="separate"/>
            </w:r>
            <w:r w:rsidR="003C1A4D">
              <w:rPr>
                <w:webHidden/>
              </w:rPr>
              <w:t>39</w:t>
            </w:r>
            <w:r w:rsidR="003A3F47">
              <w:rPr>
                <w:webHidden/>
              </w:rPr>
              <w:fldChar w:fldCharType="end"/>
            </w:r>
          </w:hyperlink>
        </w:p>
        <w:p w14:paraId="6D6234D5" w14:textId="67338923" w:rsidR="00975633" w:rsidRDefault="00975633">
          <w:r>
            <w:rPr>
              <w:b/>
              <w:bCs/>
              <w:noProof/>
            </w:rPr>
            <w:fldChar w:fldCharType="end"/>
          </w:r>
        </w:p>
      </w:sdtContent>
    </w:sdt>
    <w:p w14:paraId="2B30D339" w14:textId="77777777" w:rsidR="00975633" w:rsidRDefault="00975633">
      <w:pPr>
        <w:rPr>
          <w:lang w:val="en-GB"/>
        </w:rPr>
      </w:pPr>
    </w:p>
    <w:p w14:paraId="0EA77C15" w14:textId="77777777" w:rsidR="002E14DA" w:rsidRDefault="002E14DA">
      <w:pPr>
        <w:rPr>
          <w:lang w:val="en-GB"/>
        </w:rPr>
      </w:pPr>
    </w:p>
    <w:p w14:paraId="77734B72" w14:textId="77777777" w:rsidR="002E14DA" w:rsidRDefault="002E14DA">
      <w:pPr>
        <w:rPr>
          <w:lang w:val="en-GB"/>
        </w:rPr>
        <w:sectPr w:rsidR="002E14DA" w:rsidSect="006C1178">
          <w:footerReference w:type="default" r:id="rId15"/>
          <w:pgSz w:w="11906" w:h="16838"/>
          <w:pgMar w:top="1440" w:right="1440" w:bottom="1440" w:left="1440" w:header="708" w:footer="708" w:gutter="0"/>
          <w:pgNumType w:fmt="lowerRoman" w:start="3"/>
          <w:cols w:space="708"/>
          <w:docGrid w:linePitch="360"/>
        </w:sectPr>
      </w:pPr>
    </w:p>
    <w:p w14:paraId="757CC48B" w14:textId="72F1223B" w:rsidR="00B513BB" w:rsidRPr="00EA22E7" w:rsidRDefault="0091374D" w:rsidP="00EA22E7">
      <w:pPr>
        <w:pStyle w:val="Heading1"/>
        <w:spacing w:before="10400"/>
        <w:sectPr w:rsidR="00B513BB" w:rsidRPr="00EA22E7" w:rsidSect="006C1178">
          <w:footerReference w:type="default" r:id="rId16"/>
          <w:pgSz w:w="11906" w:h="16838"/>
          <w:pgMar w:top="1440" w:right="1440" w:bottom="1440" w:left="1440" w:header="708" w:footer="708" w:gutter="0"/>
          <w:cols w:space="708"/>
          <w:docGrid w:linePitch="360"/>
        </w:sectPr>
      </w:pPr>
      <w:bookmarkStart w:id="9" w:name="_Toc157782126"/>
      <w:r>
        <w:rPr>
          <w:noProof/>
        </w:rPr>
        <w:lastRenderedPageBreak/>
        <w:drawing>
          <wp:anchor distT="0" distB="0" distL="114300" distR="114300" simplePos="0" relativeHeight="251658253" behindDoc="1" locked="0" layoutInCell="1" allowOverlap="1" wp14:anchorId="54ED70A5" wp14:editId="117911B5">
            <wp:simplePos x="0" y="0"/>
            <wp:positionH relativeFrom="column">
              <wp:posOffset>-887506</wp:posOffset>
            </wp:positionH>
            <wp:positionV relativeFrom="paragraph">
              <wp:posOffset>-914400</wp:posOffset>
            </wp:positionV>
            <wp:extent cx="7691718" cy="5712119"/>
            <wp:effectExtent l="0" t="0" r="5080" b="3175"/>
            <wp:wrapNone/>
            <wp:docPr id="162804591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45919" name="Picture 2">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7692604" cy="5712777"/>
                    </a:xfrm>
                    <a:prstGeom prst="rect">
                      <a:avLst/>
                    </a:prstGeom>
                  </pic:spPr>
                </pic:pic>
              </a:graphicData>
            </a:graphic>
            <wp14:sizeRelH relativeFrom="page">
              <wp14:pctWidth>0</wp14:pctWidth>
            </wp14:sizeRelH>
            <wp14:sizeRelV relativeFrom="page">
              <wp14:pctHeight>0</wp14:pctHeight>
            </wp14:sizeRelV>
          </wp:anchor>
        </w:drawing>
      </w:r>
      <w:r w:rsidR="00B745C8" w:rsidRPr="00277719">
        <w:rPr>
          <w:noProof/>
          <w:sz w:val="100"/>
          <w:szCs w:val="100"/>
        </w:rPr>
        <w:drawing>
          <wp:anchor distT="0" distB="0" distL="114300" distR="114300" simplePos="0" relativeHeight="251658241" behindDoc="0" locked="0" layoutInCell="1" allowOverlap="1" wp14:anchorId="73444279" wp14:editId="2AF9236B">
            <wp:simplePos x="0" y="0"/>
            <wp:positionH relativeFrom="margin">
              <wp:posOffset>-1056290</wp:posOffset>
            </wp:positionH>
            <wp:positionV relativeFrom="paragraph">
              <wp:posOffset>4209393</wp:posOffset>
            </wp:positionV>
            <wp:extent cx="15706725" cy="1943100"/>
            <wp:effectExtent l="0" t="0" r="9525"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0672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4E10" w:rsidRPr="00EA22E7">
        <w:t>Intro</w:t>
      </w:r>
      <w:r w:rsidR="008748F2" w:rsidRPr="00EA22E7">
        <w:t>duction</w:t>
      </w:r>
      <w:bookmarkEnd w:id="9"/>
    </w:p>
    <w:p w14:paraId="715378AF" w14:textId="74ACCD79" w:rsidR="00DD39E5" w:rsidRPr="00EA22E7" w:rsidRDefault="007B51CF" w:rsidP="00EA22E7">
      <w:pPr>
        <w:spacing w:before="120" w:after="120" w:line="360" w:lineRule="auto"/>
        <w:rPr>
          <w:rFonts w:eastAsia="Segoe UI"/>
          <w:sz w:val="24"/>
          <w:szCs w:val="24"/>
          <w:lang w:val="en-GB"/>
        </w:rPr>
      </w:pPr>
      <w:r w:rsidRPr="00EA22E7">
        <w:rPr>
          <w:rFonts w:eastAsia="Segoe UI"/>
          <w:sz w:val="24"/>
          <w:szCs w:val="24"/>
          <w:lang w:val="en-GB"/>
        </w:rPr>
        <w:lastRenderedPageBreak/>
        <w:t xml:space="preserve">This </w:t>
      </w:r>
      <w:r w:rsidR="00ED6DC9">
        <w:rPr>
          <w:rFonts w:eastAsia="Segoe UI"/>
          <w:sz w:val="24"/>
          <w:szCs w:val="24"/>
          <w:lang w:val="en-GB"/>
        </w:rPr>
        <w:t>report</w:t>
      </w:r>
      <w:r w:rsidR="00293E54" w:rsidRPr="00EA22E7">
        <w:rPr>
          <w:rFonts w:eastAsia="Segoe UI"/>
          <w:sz w:val="24"/>
          <w:szCs w:val="24"/>
          <w:lang w:val="en-GB"/>
        </w:rPr>
        <w:t xml:space="preserve"> </w:t>
      </w:r>
      <w:r w:rsidR="00521CC7" w:rsidRPr="00EA22E7">
        <w:rPr>
          <w:rFonts w:eastAsia="Segoe UI"/>
          <w:sz w:val="24"/>
          <w:szCs w:val="24"/>
          <w:lang w:val="en-GB"/>
        </w:rPr>
        <w:t xml:space="preserve">identifies </w:t>
      </w:r>
      <w:r w:rsidR="004B28BE" w:rsidRPr="00EA22E7">
        <w:rPr>
          <w:rFonts w:eastAsia="Segoe UI"/>
          <w:sz w:val="24"/>
          <w:szCs w:val="24"/>
          <w:lang w:val="en-GB"/>
        </w:rPr>
        <w:t xml:space="preserve">the obstacles that </w:t>
      </w:r>
      <w:r w:rsidR="00167980" w:rsidRPr="00EA22E7">
        <w:rPr>
          <w:rFonts w:eastAsia="Segoe UI"/>
          <w:sz w:val="24"/>
          <w:szCs w:val="24"/>
          <w:lang w:val="en-GB"/>
        </w:rPr>
        <w:t xml:space="preserve">so-called </w:t>
      </w:r>
      <w:r w:rsidR="004B28BE" w:rsidRPr="00EA22E7">
        <w:rPr>
          <w:rFonts w:eastAsia="Segoe UI"/>
          <w:sz w:val="24"/>
          <w:szCs w:val="24"/>
          <w:lang w:val="en-GB"/>
        </w:rPr>
        <w:t xml:space="preserve">rainbow families </w:t>
      </w:r>
      <w:r w:rsidR="750C4E07" w:rsidRPr="00EA22E7">
        <w:rPr>
          <w:rFonts w:eastAsia="Segoe UI"/>
          <w:sz w:val="24"/>
          <w:szCs w:val="24"/>
          <w:lang w:val="en-GB"/>
        </w:rPr>
        <w:t>face daily</w:t>
      </w:r>
      <w:r w:rsidR="1244C131" w:rsidRPr="00EA22E7">
        <w:rPr>
          <w:rFonts w:eastAsia="Segoe UI"/>
          <w:sz w:val="24"/>
          <w:szCs w:val="24"/>
          <w:lang w:val="en-GB"/>
        </w:rPr>
        <w:t xml:space="preserve"> </w:t>
      </w:r>
      <w:r w:rsidR="004B28BE" w:rsidRPr="00EA22E7">
        <w:rPr>
          <w:rFonts w:eastAsia="Segoe UI"/>
          <w:sz w:val="24"/>
          <w:szCs w:val="24"/>
          <w:lang w:val="en-GB"/>
        </w:rPr>
        <w:t xml:space="preserve">when they move </w:t>
      </w:r>
      <w:r w:rsidR="00E506DC" w:rsidRPr="00EA22E7">
        <w:rPr>
          <w:rFonts w:eastAsia="Segoe UI"/>
          <w:sz w:val="24"/>
          <w:szCs w:val="24"/>
          <w:lang w:val="en-GB"/>
        </w:rPr>
        <w:t xml:space="preserve">across borders of </w:t>
      </w:r>
      <w:r w:rsidR="004B28BE" w:rsidRPr="00EA22E7">
        <w:rPr>
          <w:rFonts w:eastAsia="Segoe UI"/>
          <w:sz w:val="24"/>
          <w:szCs w:val="24"/>
          <w:lang w:val="en-GB"/>
        </w:rPr>
        <w:t>EU Member States</w:t>
      </w:r>
      <w:r w:rsidR="00167980" w:rsidRPr="00EA22E7">
        <w:rPr>
          <w:rFonts w:eastAsia="Segoe UI"/>
          <w:sz w:val="24"/>
          <w:szCs w:val="24"/>
          <w:lang w:val="en-GB"/>
        </w:rPr>
        <w:t xml:space="preserve">, </w:t>
      </w:r>
      <w:r w:rsidR="004B28BE" w:rsidRPr="00EA22E7">
        <w:rPr>
          <w:rFonts w:eastAsia="Segoe UI"/>
          <w:sz w:val="24"/>
          <w:szCs w:val="24"/>
          <w:lang w:val="en-GB"/>
        </w:rPr>
        <w:t>in exercise of EU free movement rights</w:t>
      </w:r>
      <w:r w:rsidR="00C76D1E" w:rsidRPr="00EA22E7">
        <w:rPr>
          <w:rFonts w:eastAsia="Segoe UI"/>
          <w:sz w:val="24"/>
          <w:szCs w:val="24"/>
          <w:lang w:val="en-GB"/>
        </w:rPr>
        <w:t>.</w:t>
      </w:r>
      <w:r w:rsidR="00FE0049" w:rsidRPr="00EA22E7">
        <w:rPr>
          <w:rFonts w:eastAsia="Segoe UI"/>
          <w:sz w:val="24"/>
          <w:szCs w:val="24"/>
          <w:lang w:val="en-GB"/>
        </w:rPr>
        <w:t xml:space="preserve"> By providing details about the relevant legal standards and case-law </w:t>
      </w:r>
      <w:r w:rsidR="00377CD2" w:rsidRPr="00EA22E7">
        <w:rPr>
          <w:rFonts w:eastAsia="Segoe UI"/>
          <w:sz w:val="24"/>
          <w:szCs w:val="24"/>
          <w:lang w:val="en-GB"/>
        </w:rPr>
        <w:t xml:space="preserve">developed within both the European Union (EU) and the Council of Europe (CoE), this publication aims to </w:t>
      </w:r>
      <w:r w:rsidR="002673B5" w:rsidRPr="00EA22E7">
        <w:rPr>
          <w:rFonts w:eastAsia="Segoe UI"/>
          <w:sz w:val="24"/>
          <w:szCs w:val="24"/>
          <w:lang w:val="en-GB"/>
        </w:rPr>
        <w:t xml:space="preserve">introduce </w:t>
      </w:r>
      <w:r w:rsidR="000A56D3" w:rsidRPr="00EA22E7">
        <w:rPr>
          <w:rFonts w:eastAsia="Segoe UI"/>
          <w:sz w:val="24"/>
          <w:szCs w:val="24"/>
          <w:lang w:val="en-GB"/>
        </w:rPr>
        <w:t xml:space="preserve">a comprehensive understanding of the </w:t>
      </w:r>
      <w:r w:rsidR="009928AC" w:rsidRPr="00EA22E7">
        <w:rPr>
          <w:rFonts w:eastAsia="Segoe UI"/>
          <w:sz w:val="24"/>
          <w:szCs w:val="24"/>
          <w:lang w:val="en-GB"/>
        </w:rPr>
        <w:t>legal framework</w:t>
      </w:r>
      <w:r w:rsidR="00F65717" w:rsidRPr="00EA22E7">
        <w:rPr>
          <w:rFonts w:eastAsia="Segoe UI"/>
          <w:sz w:val="24"/>
          <w:szCs w:val="24"/>
          <w:lang w:val="en-GB"/>
        </w:rPr>
        <w:t xml:space="preserve"> </w:t>
      </w:r>
      <w:r w:rsidR="00B9342C" w:rsidRPr="00EA22E7">
        <w:rPr>
          <w:rFonts w:eastAsia="Segoe UI"/>
          <w:sz w:val="24"/>
          <w:szCs w:val="24"/>
          <w:lang w:val="en-GB"/>
        </w:rPr>
        <w:t xml:space="preserve">ensuring the protection of rights and freedoms of same-sex couples and their children </w:t>
      </w:r>
      <w:r w:rsidR="00E506DC" w:rsidRPr="00EA22E7">
        <w:rPr>
          <w:rFonts w:eastAsia="Segoe UI"/>
          <w:sz w:val="24"/>
          <w:szCs w:val="24"/>
          <w:lang w:val="en-GB"/>
        </w:rPr>
        <w:t xml:space="preserve">on the move </w:t>
      </w:r>
      <w:r w:rsidR="00C86B69" w:rsidRPr="00EA22E7">
        <w:rPr>
          <w:rFonts w:eastAsia="Segoe UI"/>
          <w:sz w:val="24"/>
          <w:szCs w:val="24"/>
          <w:lang w:val="en-GB"/>
        </w:rPr>
        <w:t>– particularly their fundamental right to non-discrimination and equality –</w:t>
      </w:r>
      <w:r w:rsidR="00E506DC" w:rsidRPr="00EA22E7">
        <w:rPr>
          <w:rFonts w:eastAsia="Segoe UI"/>
          <w:sz w:val="24"/>
          <w:szCs w:val="24"/>
          <w:lang w:val="en-GB"/>
        </w:rPr>
        <w:t xml:space="preserve"> </w:t>
      </w:r>
      <w:r w:rsidR="00F33D54" w:rsidRPr="00EA22E7">
        <w:rPr>
          <w:rFonts w:eastAsia="Segoe UI"/>
          <w:sz w:val="24"/>
          <w:szCs w:val="24"/>
          <w:lang w:val="en-GB"/>
        </w:rPr>
        <w:t xml:space="preserve">with special attention to the role that Equality Bodies can play. </w:t>
      </w:r>
    </w:p>
    <w:p w14:paraId="43C48A05" w14:textId="4BF9BBA1" w:rsidR="00DD39E5" w:rsidRPr="00EA22E7" w:rsidRDefault="00DD39E5" w:rsidP="00EA22E7">
      <w:pPr>
        <w:spacing w:before="120" w:after="120" w:line="360" w:lineRule="auto"/>
        <w:rPr>
          <w:rFonts w:eastAsia="Segoe UI"/>
          <w:sz w:val="24"/>
          <w:szCs w:val="24"/>
          <w:lang w:val="en-GB"/>
        </w:rPr>
      </w:pPr>
      <w:r w:rsidRPr="00EA22E7">
        <w:rPr>
          <w:rFonts w:eastAsia="Segoe UI"/>
          <w:sz w:val="24"/>
          <w:szCs w:val="24"/>
          <w:lang w:val="en-GB"/>
        </w:rPr>
        <w:t xml:space="preserve">EU standards </w:t>
      </w:r>
      <w:r w:rsidR="001C434F" w:rsidRPr="00EA22E7">
        <w:rPr>
          <w:rFonts w:eastAsia="Segoe UI"/>
          <w:sz w:val="24"/>
          <w:szCs w:val="24"/>
          <w:lang w:val="en-GB"/>
        </w:rPr>
        <w:t xml:space="preserve">concerning mutual recognition of partnerships and parenthood </w:t>
      </w:r>
      <w:r w:rsidRPr="00EA22E7">
        <w:rPr>
          <w:rFonts w:eastAsia="Segoe UI"/>
          <w:sz w:val="24"/>
          <w:szCs w:val="24"/>
          <w:lang w:val="en-GB"/>
        </w:rPr>
        <w:t xml:space="preserve">are presented first, </w:t>
      </w:r>
      <w:r w:rsidR="00F7639B" w:rsidRPr="00EA22E7">
        <w:rPr>
          <w:rFonts w:eastAsia="Segoe UI"/>
          <w:sz w:val="24"/>
          <w:szCs w:val="24"/>
          <w:lang w:val="en-GB"/>
        </w:rPr>
        <w:t xml:space="preserve">by making reference to relevant provisions of the Treaty on the Functioning of the European Union (TFEU), the EU Charter of Fundamental Rights, </w:t>
      </w:r>
      <w:r w:rsidR="00313163" w:rsidRPr="00EA22E7">
        <w:rPr>
          <w:rFonts w:eastAsia="Segoe UI"/>
          <w:sz w:val="24"/>
          <w:szCs w:val="24"/>
          <w:lang w:val="en-GB"/>
        </w:rPr>
        <w:t>the relevant Directive</w:t>
      </w:r>
      <w:r w:rsidR="00866FAD" w:rsidRPr="00EA22E7">
        <w:rPr>
          <w:rFonts w:eastAsia="Segoe UI"/>
          <w:sz w:val="24"/>
          <w:szCs w:val="24"/>
          <w:lang w:val="en-GB"/>
        </w:rPr>
        <w:t>s and cases decided by the Court of Justice of the EU (CJEU),</w:t>
      </w:r>
      <w:r w:rsidR="00313163" w:rsidRPr="00EA22E7">
        <w:rPr>
          <w:rFonts w:eastAsia="Segoe UI"/>
          <w:sz w:val="24"/>
          <w:szCs w:val="24"/>
          <w:lang w:val="en-GB"/>
        </w:rPr>
        <w:t xml:space="preserve"> as well as the most recent </w:t>
      </w:r>
      <w:r w:rsidR="001D290F" w:rsidRPr="00EA22E7">
        <w:rPr>
          <w:rFonts w:eastAsia="Segoe UI"/>
          <w:sz w:val="24"/>
          <w:szCs w:val="24"/>
          <w:lang w:val="en-GB"/>
        </w:rPr>
        <w:t xml:space="preserve">policy </w:t>
      </w:r>
      <w:r w:rsidR="00313163" w:rsidRPr="00EA22E7">
        <w:rPr>
          <w:rFonts w:eastAsia="Segoe UI"/>
          <w:sz w:val="24"/>
          <w:szCs w:val="24"/>
          <w:lang w:val="en-GB"/>
        </w:rPr>
        <w:t>developments, such as the LGB</w:t>
      </w:r>
      <w:r w:rsidR="00672187" w:rsidRPr="00EA22E7">
        <w:rPr>
          <w:rFonts w:eastAsia="Segoe UI"/>
          <w:sz w:val="24"/>
          <w:szCs w:val="24"/>
          <w:lang w:val="en-GB"/>
        </w:rPr>
        <w:t>TI</w:t>
      </w:r>
      <w:r w:rsidR="00136F2E" w:rsidRPr="00EA22E7">
        <w:rPr>
          <w:rFonts w:eastAsia="Segoe UI"/>
          <w:sz w:val="24"/>
          <w:szCs w:val="24"/>
          <w:lang w:val="en-GB"/>
        </w:rPr>
        <w:t>Q</w:t>
      </w:r>
      <w:r w:rsidR="00A301DE" w:rsidRPr="00EA22E7">
        <w:rPr>
          <w:rFonts w:eastAsia="Segoe UI"/>
          <w:sz w:val="24"/>
          <w:szCs w:val="24"/>
          <w:lang w:val="en-GB"/>
        </w:rPr>
        <w:t xml:space="preserve">+ </w:t>
      </w:r>
      <w:r w:rsidR="00672187" w:rsidRPr="00EA22E7">
        <w:rPr>
          <w:rFonts w:eastAsia="Segoe UI"/>
          <w:sz w:val="24"/>
          <w:szCs w:val="24"/>
          <w:lang w:val="en-GB"/>
        </w:rPr>
        <w:t>Equality</w:t>
      </w:r>
      <w:r w:rsidR="00313163" w:rsidRPr="00EA22E7">
        <w:rPr>
          <w:rFonts w:eastAsia="Segoe UI"/>
          <w:sz w:val="24"/>
          <w:szCs w:val="24"/>
          <w:lang w:val="en-GB"/>
        </w:rPr>
        <w:t xml:space="preserve"> Strategy 2020-2025</w:t>
      </w:r>
      <w:r w:rsidR="00A301DE" w:rsidRPr="00EA22E7">
        <w:rPr>
          <w:rFonts w:eastAsia="Segoe UI"/>
          <w:sz w:val="24"/>
          <w:szCs w:val="24"/>
          <w:lang w:val="en-GB"/>
        </w:rPr>
        <w:t xml:space="preserve"> which includes </w:t>
      </w:r>
      <w:r w:rsidR="00C56396" w:rsidRPr="00EA22E7">
        <w:rPr>
          <w:rFonts w:eastAsia="Segoe UI"/>
          <w:sz w:val="24"/>
          <w:szCs w:val="24"/>
          <w:lang w:val="en-GB"/>
        </w:rPr>
        <w:t xml:space="preserve">the ambitious proposal of </w:t>
      </w:r>
      <w:r w:rsidR="3B833071" w:rsidRPr="00EA22E7">
        <w:rPr>
          <w:rFonts w:eastAsia="Segoe UI"/>
          <w:sz w:val="24"/>
          <w:szCs w:val="24"/>
          <w:lang w:val="en-GB"/>
        </w:rPr>
        <w:t xml:space="preserve">a </w:t>
      </w:r>
      <w:r w:rsidR="7D23AC54" w:rsidRPr="00EA22E7">
        <w:rPr>
          <w:rFonts w:eastAsia="Segoe UI"/>
          <w:sz w:val="24"/>
          <w:szCs w:val="24"/>
          <w:lang w:val="en-GB"/>
        </w:rPr>
        <w:t>Regulation</w:t>
      </w:r>
      <w:r w:rsidR="3B833071" w:rsidRPr="00EA22E7">
        <w:rPr>
          <w:rFonts w:eastAsia="Segoe UI"/>
          <w:sz w:val="24"/>
          <w:szCs w:val="24"/>
          <w:lang w:val="en-GB"/>
        </w:rPr>
        <w:t xml:space="preserve"> on Mutual Parenthood Recognition.</w:t>
      </w:r>
      <w:r w:rsidR="00C56396" w:rsidRPr="00EA22E7">
        <w:rPr>
          <w:rFonts w:eastAsia="Segoe UI"/>
          <w:sz w:val="24"/>
          <w:szCs w:val="24"/>
          <w:lang w:val="en-GB"/>
        </w:rPr>
        <w:t xml:space="preserve"> </w:t>
      </w:r>
    </w:p>
    <w:p w14:paraId="4A36D066" w14:textId="77777777" w:rsidR="00D3257C" w:rsidRDefault="00923724" w:rsidP="00EA22E7">
      <w:pPr>
        <w:spacing w:before="120" w:after="120" w:line="360" w:lineRule="auto"/>
        <w:rPr>
          <w:rFonts w:eastAsia="Segoe UI"/>
          <w:sz w:val="24"/>
          <w:szCs w:val="24"/>
          <w:lang w:val="en-GB"/>
        </w:rPr>
      </w:pPr>
      <w:r w:rsidRPr="00EA22E7">
        <w:rPr>
          <w:rFonts w:eastAsia="Segoe UI"/>
          <w:sz w:val="24"/>
          <w:szCs w:val="24"/>
          <w:lang w:val="en-GB"/>
        </w:rPr>
        <w:t>S</w:t>
      </w:r>
      <w:r w:rsidR="00C56396" w:rsidRPr="00EA22E7">
        <w:rPr>
          <w:rFonts w:eastAsia="Segoe UI"/>
          <w:sz w:val="24"/>
          <w:szCs w:val="24"/>
          <w:lang w:val="en-GB"/>
        </w:rPr>
        <w:t xml:space="preserve">tandards </w:t>
      </w:r>
      <w:r w:rsidRPr="00EA22E7">
        <w:rPr>
          <w:rFonts w:eastAsia="Segoe UI"/>
          <w:sz w:val="24"/>
          <w:szCs w:val="24"/>
          <w:lang w:val="en-GB"/>
        </w:rPr>
        <w:t xml:space="preserve">developed by CoE Member States </w:t>
      </w:r>
      <w:r w:rsidR="00C56396" w:rsidRPr="00EA22E7">
        <w:rPr>
          <w:rFonts w:eastAsia="Segoe UI"/>
          <w:sz w:val="24"/>
          <w:szCs w:val="24"/>
          <w:lang w:val="en-GB"/>
        </w:rPr>
        <w:t xml:space="preserve">are </w:t>
      </w:r>
      <w:r w:rsidR="6582D5E8" w:rsidRPr="00EA22E7">
        <w:rPr>
          <w:rFonts w:eastAsia="Segoe UI"/>
          <w:sz w:val="24"/>
          <w:szCs w:val="24"/>
          <w:lang w:val="en-GB"/>
        </w:rPr>
        <w:t>also</w:t>
      </w:r>
      <w:r w:rsidR="00C56396" w:rsidRPr="00EA22E7">
        <w:rPr>
          <w:rFonts w:eastAsia="Segoe UI"/>
          <w:sz w:val="24"/>
          <w:szCs w:val="24"/>
          <w:lang w:val="en-GB"/>
        </w:rPr>
        <w:t xml:space="preserve"> presented, </w:t>
      </w:r>
      <w:r w:rsidR="7206B211" w:rsidRPr="00EA22E7">
        <w:rPr>
          <w:rFonts w:eastAsia="Segoe UI"/>
          <w:sz w:val="24"/>
          <w:szCs w:val="24"/>
          <w:lang w:val="en-GB"/>
        </w:rPr>
        <w:t>including the</w:t>
      </w:r>
      <w:r w:rsidR="00144401" w:rsidRPr="00EA22E7">
        <w:rPr>
          <w:rFonts w:eastAsia="Segoe UI"/>
          <w:sz w:val="24"/>
          <w:szCs w:val="24"/>
          <w:lang w:val="en-GB"/>
        </w:rPr>
        <w:t xml:space="preserve"> </w:t>
      </w:r>
      <w:r w:rsidR="00075E6A" w:rsidRPr="00EA22E7">
        <w:rPr>
          <w:rFonts w:eastAsia="Segoe UI"/>
          <w:sz w:val="24"/>
          <w:szCs w:val="24"/>
          <w:lang w:val="en-GB"/>
        </w:rPr>
        <w:t>Recommendation CM/Rec(2010)5 of the Committee of Ministers to member states on measures to combat discrimination on grounds of sexual orientation or gender identit</w:t>
      </w:r>
      <w:r w:rsidR="49683C54" w:rsidRPr="00EA22E7">
        <w:rPr>
          <w:rFonts w:eastAsia="Segoe UI"/>
          <w:sz w:val="24"/>
          <w:szCs w:val="24"/>
          <w:lang w:val="en-GB"/>
        </w:rPr>
        <w:t xml:space="preserve">y and relevant case-law </w:t>
      </w:r>
      <w:r w:rsidR="000F16EF" w:rsidRPr="00EA22E7">
        <w:rPr>
          <w:rFonts w:eastAsia="Segoe UI"/>
          <w:sz w:val="24"/>
          <w:szCs w:val="24"/>
          <w:lang w:val="en-GB"/>
        </w:rPr>
        <w:t xml:space="preserve"> of the European Court of Human Rights (ECtHR</w:t>
      </w:r>
      <w:r w:rsidR="00D3257C">
        <w:rPr>
          <w:rFonts w:eastAsia="Segoe UI"/>
          <w:sz w:val="24"/>
          <w:szCs w:val="24"/>
          <w:lang w:val="en-GB"/>
        </w:rPr>
        <w:t>).</w:t>
      </w:r>
    </w:p>
    <w:p w14:paraId="4D59D13C" w14:textId="0ACD287D" w:rsidR="00E8543D" w:rsidRPr="00EA22E7" w:rsidRDefault="0088655B" w:rsidP="00EA22E7">
      <w:pPr>
        <w:spacing w:before="120" w:after="120" w:line="360" w:lineRule="auto"/>
        <w:rPr>
          <w:rFonts w:eastAsia="Segoe UI"/>
          <w:sz w:val="24"/>
          <w:szCs w:val="24"/>
          <w:lang w:val="en-GB"/>
        </w:rPr>
      </w:pPr>
      <w:r w:rsidRPr="00EA22E7">
        <w:rPr>
          <w:rFonts w:eastAsia="Segoe UI"/>
          <w:sz w:val="24"/>
          <w:szCs w:val="24"/>
          <w:lang w:val="en-GB"/>
        </w:rPr>
        <w:t>Nevertheless, d</w:t>
      </w:r>
      <w:r w:rsidR="0019216B" w:rsidRPr="00EA22E7">
        <w:rPr>
          <w:rFonts w:eastAsia="Segoe UI"/>
          <w:sz w:val="24"/>
          <w:szCs w:val="24"/>
          <w:lang w:val="en-GB"/>
        </w:rPr>
        <w:t xml:space="preserve">espite </w:t>
      </w:r>
      <w:r w:rsidRPr="00EA22E7">
        <w:rPr>
          <w:rFonts w:eastAsia="Segoe UI"/>
          <w:sz w:val="24"/>
          <w:szCs w:val="24"/>
          <w:lang w:val="en-GB"/>
        </w:rPr>
        <w:t xml:space="preserve">the above-mentioned progressive </w:t>
      </w:r>
      <w:r w:rsidR="0019216B" w:rsidRPr="00EA22E7">
        <w:rPr>
          <w:rFonts w:eastAsia="Segoe UI"/>
          <w:sz w:val="24"/>
          <w:szCs w:val="24"/>
          <w:lang w:val="en-GB"/>
        </w:rPr>
        <w:t>supra</w:t>
      </w:r>
      <w:r w:rsidRPr="00EA22E7">
        <w:rPr>
          <w:rFonts w:eastAsia="Segoe UI"/>
          <w:sz w:val="24"/>
          <w:szCs w:val="24"/>
          <w:lang w:val="en-GB"/>
        </w:rPr>
        <w:t xml:space="preserve">-national legal frameworks, </w:t>
      </w:r>
      <w:r w:rsidR="1DC124B6" w:rsidRPr="00EA22E7">
        <w:rPr>
          <w:rFonts w:eastAsia="Segoe UI"/>
          <w:sz w:val="24"/>
          <w:szCs w:val="24"/>
          <w:lang w:val="en-GB"/>
        </w:rPr>
        <w:t xml:space="preserve">levels of </w:t>
      </w:r>
      <w:r w:rsidR="1DC124B6" w:rsidRPr="003970A4">
        <w:rPr>
          <w:rFonts w:eastAsia="Segoe UI"/>
          <w:sz w:val="24"/>
          <w:szCs w:val="24"/>
          <w:lang w:val="en-GB"/>
        </w:rPr>
        <w:t>protection</w:t>
      </w:r>
      <w:r w:rsidRPr="003970A4">
        <w:rPr>
          <w:rFonts w:eastAsia="Segoe UI"/>
          <w:sz w:val="24"/>
          <w:szCs w:val="24"/>
          <w:lang w:val="en-GB"/>
        </w:rPr>
        <w:t xml:space="preserve"> between different European States may still starkly vary. As </w:t>
      </w:r>
      <w:r w:rsidR="00233DF5" w:rsidRPr="003970A4">
        <w:rPr>
          <w:rFonts w:eastAsia="Segoe UI"/>
          <w:sz w:val="24"/>
          <w:szCs w:val="24"/>
          <w:lang w:val="en-GB"/>
        </w:rPr>
        <w:t xml:space="preserve">data from the </w:t>
      </w:r>
      <w:hyperlink r:id="rId19" w:history="1">
        <w:r w:rsidR="384C8145" w:rsidRPr="003970A4">
          <w:rPr>
            <w:rStyle w:val="Hyperlink"/>
            <w:rFonts w:eastAsia="Segoe UI"/>
            <w:sz w:val="24"/>
            <w:szCs w:val="24"/>
            <w:lang w:val="en-GB"/>
          </w:rPr>
          <w:t>LGBTI</w:t>
        </w:r>
        <w:r w:rsidR="348F7ADF" w:rsidRPr="003970A4">
          <w:rPr>
            <w:rStyle w:val="Hyperlink"/>
            <w:rFonts w:eastAsia="Segoe UI"/>
            <w:sz w:val="24"/>
            <w:szCs w:val="24"/>
            <w:lang w:val="en-GB"/>
          </w:rPr>
          <w:t>Q</w:t>
        </w:r>
        <w:r w:rsidR="384C8145" w:rsidRPr="003970A4">
          <w:rPr>
            <w:rStyle w:val="Hyperlink"/>
            <w:rFonts w:eastAsia="Segoe UI"/>
            <w:sz w:val="24"/>
            <w:szCs w:val="24"/>
            <w:lang w:val="en-GB"/>
          </w:rPr>
          <w:t xml:space="preserve"> </w:t>
        </w:r>
        <w:r w:rsidR="05AF3CA9" w:rsidRPr="003970A4">
          <w:rPr>
            <w:rStyle w:val="Hyperlink"/>
            <w:rFonts w:eastAsia="Segoe UI"/>
            <w:sz w:val="24"/>
            <w:szCs w:val="24"/>
            <w:lang w:val="en-GB"/>
          </w:rPr>
          <w:t>Rainbow Index 2023</w:t>
        </w:r>
      </w:hyperlink>
      <w:r w:rsidR="05AF3CA9" w:rsidRPr="003970A4">
        <w:rPr>
          <w:rFonts w:eastAsia="Segoe UI"/>
          <w:sz w:val="24"/>
          <w:szCs w:val="24"/>
          <w:lang w:val="en-GB"/>
        </w:rPr>
        <w:t xml:space="preserve"> </w:t>
      </w:r>
      <w:r w:rsidR="00233DF5" w:rsidRPr="003970A4">
        <w:rPr>
          <w:rFonts w:eastAsia="Segoe UI"/>
          <w:sz w:val="24"/>
          <w:szCs w:val="24"/>
          <w:lang w:val="en-GB"/>
        </w:rPr>
        <w:t xml:space="preserve">shows, </w:t>
      </w:r>
      <w:r w:rsidR="00E17AFA" w:rsidRPr="003970A4">
        <w:rPr>
          <w:rFonts w:eastAsia="Segoe UI"/>
          <w:sz w:val="24"/>
          <w:szCs w:val="24"/>
          <w:lang w:val="en-GB"/>
        </w:rPr>
        <w:t>some</w:t>
      </w:r>
      <w:r w:rsidR="00E17AFA" w:rsidRPr="00EA22E7">
        <w:rPr>
          <w:rFonts w:eastAsia="Segoe UI"/>
          <w:sz w:val="24"/>
          <w:szCs w:val="24"/>
          <w:lang w:val="en-GB"/>
        </w:rPr>
        <w:t xml:space="preserve"> countries, i.e. Malta, Sweden and Belgium, </w:t>
      </w:r>
      <w:r w:rsidR="00F258DB" w:rsidRPr="00EA22E7">
        <w:rPr>
          <w:rFonts w:eastAsia="Segoe UI"/>
          <w:sz w:val="24"/>
          <w:szCs w:val="24"/>
          <w:lang w:val="en-GB"/>
        </w:rPr>
        <w:t xml:space="preserve">provide adequate legal safeguards </w:t>
      </w:r>
      <w:r w:rsidR="00E17AFA" w:rsidRPr="00EA22E7">
        <w:rPr>
          <w:rFonts w:eastAsia="Segoe UI"/>
          <w:sz w:val="24"/>
          <w:szCs w:val="24"/>
          <w:lang w:val="en-GB"/>
        </w:rPr>
        <w:t xml:space="preserve">in the area of family rights for </w:t>
      </w:r>
      <w:r w:rsidR="00497DC9" w:rsidRPr="00EA22E7">
        <w:rPr>
          <w:rFonts w:eastAsia="Segoe UI"/>
          <w:sz w:val="24"/>
          <w:szCs w:val="24"/>
          <w:lang w:val="en-GB"/>
        </w:rPr>
        <w:t xml:space="preserve">the </w:t>
      </w:r>
      <w:r w:rsidR="00E17AFA" w:rsidRPr="00EA22E7">
        <w:rPr>
          <w:rFonts w:eastAsia="Segoe UI"/>
          <w:sz w:val="24"/>
          <w:szCs w:val="24"/>
          <w:lang w:val="en-GB"/>
        </w:rPr>
        <w:t>LGBTI</w:t>
      </w:r>
      <w:r w:rsidR="278A4A1E" w:rsidRPr="00EA22E7">
        <w:rPr>
          <w:rFonts w:eastAsia="Segoe UI"/>
          <w:sz w:val="24"/>
          <w:szCs w:val="24"/>
          <w:lang w:val="en-GB"/>
        </w:rPr>
        <w:t>Q</w:t>
      </w:r>
      <w:r w:rsidR="00E17AFA" w:rsidRPr="00EA22E7">
        <w:rPr>
          <w:rFonts w:eastAsia="Segoe UI"/>
          <w:sz w:val="24"/>
          <w:szCs w:val="24"/>
          <w:lang w:val="en-GB"/>
        </w:rPr>
        <w:t xml:space="preserve"> </w:t>
      </w:r>
      <w:r w:rsidR="00497DC9" w:rsidRPr="00EA22E7">
        <w:rPr>
          <w:rFonts w:eastAsia="Segoe UI"/>
          <w:sz w:val="24"/>
          <w:szCs w:val="24"/>
          <w:lang w:val="en-GB"/>
        </w:rPr>
        <w:t>community</w:t>
      </w:r>
      <w:r w:rsidR="00E17AFA" w:rsidRPr="00EA22E7">
        <w:rPr>
          <w:rFonts w:eastAsia="Segoe UI"/>
          <w:sz w:val="24"/>
          <w:szCs w:val="24"/>
          <w:lang w:val="en-GB"/>
        </w:rPr>
        <w:t xml:space="preserve"> with full 100</w:t>
      </w:r>
      <w:r w:rsidR="004C50C2" w:rsidRPr="00EA22E7">
        <w:rPr>
          <w:rFonts w:eastAsia="Segoe UI"/>
          <w:sz w:val="24"/>
          <w:szCs w:val="24"/>
          <w:lang w:val="en-GB"/>
        </w:rPr>
        <w:t xml:space="preserve"> </w:t>
      </w:r>
      <w:r w:rsidR="00E17AFA" w:rsidRPr="00EA22E7">
        <w:rPr>
          <w:rFonts w:eastAsia="Segoe UI"/>
          <w:sz w:val="24"/>
          <w:szCs w:val="24"/>
          <w:lang w:val="en-GB"/>
        </w:rPr>
        <w:t>% score</w:t>
      </w:r>
      <w:r w:rsidR="00F258DB" w:rsidRPr="00EA22E7">
        <w:rPr>
          <w:rFonts w:eastAsia="Segoe UI"/>
          <w:sz w:val="24"/>
          <w:szCs w:val="24"/>
          <w:lang w:val="en-GB"/>
        </w:rPr>
        <w:t>, wh</w:t>
      </w:r>
      <w:r w:rsidR="00497DC9" w:rsidRPr="00EA22E7">
        <w:rPr>
          <w:rFonts w:eastAsia="Segoe UI"/>
          <w:sz w:val="24"/>
          <w:szCs w:val="24"/>
          <w:lang w:val="en-GB"/>
        </w:rPr>
        <w:t>ereas</w:t>
      </w:r>
      <w:r w:rsidR="00F258DB" w:rsidRPr="00EA22E7">
        <w:rPr>
          <w:rFonts w:eastAsia="Segoe UI"/>
          <w:sz w:val="24"/>
          <w:szCs w:val="24"/>
          <w:lang w:val="en-GB"/>
        </w:rPr>
        <w:t xml:space="preserve"> others, i.e. </w:t>
      </w:r>
      <w:r w:rsidR="00E17AFA" w:rsidRPr="00EA22E7">
        <w:rPr>
          <w:rFonts w:eastAsia="Segoe UI"/>
          <w:sz w:val="24"/>
          <w:szCs w:val="24"/>
          <w:lang w:val="en-GB"/>
        </w:rPr>
        <w:t>Slovakia, Romania, Lithuania and Poland</w:t>
      </w:r>
      <w:r w:rsidR="00F258DB" w:rsidRPr="00EA22E7">
        <w:rPr>
          <w:rFonts w:eastAsia="Segoe UI"/>
          <w:sz w:val="24"/>
          <w:szCs w:val="24"/>
          <w:lang w:val="en-GB"/>
        </w:rPr>
        <w:t xml:space="preserve">, </w:t>
      </w:r>
      <w:r w:rsidR="00E17AFA" w:rsidRPr="00EA22E7">
        <w:rPr>
          <w:rFonts w:eastAsia="Segoe UI"/>
          <w:sz w:val="24"/>
          <w:szCs w:val="24"/>
          <w:lang w:val="en-GB"/>
        </w:rPr>
        <w:t>are among the EU Member States with the lowest level of protection of family rights of LGBTI</w:t>
      </w:r>
      <w:r w:rsidR="37DAF9A1" w:rsidRPr="00EA22E7">
        <w:rPr>
          <w:rFonts w:eastAsia="Segoe UI"/>
          <w:sz w:val="24"/>
          <w:szCs w:val="24"/>
          <w:lang w:val="en-GB"/>
        </w:rPr>
        <w:t>Q</w:t>
      </w:r>
      <w:r w:rsidR="00E17AFA" w:rsidRPr="00EA22E7">
        <w:rPr>
          <w:rFonts w:eastAsia="Segoe UI"/>
          <w:sz w:val="24"/>
          <w:szCs w:val="24"/>
          <w:lang w:val="en-GB"/>
        </w:rPr>
        <w:t xml:space="preserve"> </w:t>
      </w:r>
      <w:r w:rsidR="00DF2D29" w:rsidRPr="00EA22E7">
        <w:rPr>
          <w:rFonts w:eastAsia="Segoe UI"/>
          <w:sz w:val="24"/>
          <w:szCs w:val="24"/>
          <w:lang w:val="en-GB"/>
        </w:rPr>
        <w:t xml:space="preserve">people </w:t>
      </w:r>
      <w:r w:rsidR="00E17AFA" w:rsidRPr="00EA22E7">
        <w:rPr>
          <w:rFonts w:eastAsia="Segoe UI"/>
          <w:sz w:val="24"/>
          <w:szCs w:val="24"/>
          <w:lang w:val="en-GB"/>
        </w:rPr>
        <w:t>and level of equality with 0 % achieved</w:t>
      </w:r>
      <w:r w:rsidR="00F258DB" w:rsidRPr="00EA22E7">
        <w:rPr>
          <w:rFonts w:eastAsia="Segoe UI"/>
          <w:sz w:val="24"/>
          <w:szCs w:val="24"/>
          <w:lang w:val="en-GB"/>
        </w:rPr>
        <w:t xml:space="preserve"> in 2021. </w:t>
      </w:r>
      <w:r w:rsidR="00127EEA" w:rsidRPr="00EA22E7">
        <w:rPr>
          <w:rFonts w:eastAsia="Segoe UI"/>
          <w:sz w:val="24"/>
          <w:szCs w:val="24"/>
          <w:lang w:val="en-GB"/>
        </w:rPr>
        <w:t>In some EU Member States, the legal recognition of same-sex par</w:t>
      </w:r>
      <w:r w:rsidR="00D34266" w:rsidRPr="00EA22E7">
        <w:rPr>
          <w:rFonts w:eastAsia="Segoe UI"/>
          <w:sz w:val="24"/>
          <w:szCs w:val="24"/>
          <w:lang w:val="en-GB"/>
        </w:rPr>
        <w:t>tners</w:t>
      </w:r>
      <w:r w:rsidR="00127EEA" w:rsidRPr="00EA22E7">
        <w:rPr>
          <w:rFonts w:eastAsia="Segoe UI"/>
          <w:sz w:val="24"/>
          <w:szCs w:val="24"/>
          <w:lang w:val="en-GB"/>
        </w:rPr>
        <w:t xml:space="preserve"> and their children as a family is</w:t>
      </w:r>
      <w:r w:rsidR="00F33D54" w:rsidRPr="00EA22E7">
        <w:rPr>
          <w:rFonts w:eastAsia="Segoe UI"/>
          <w:sz w:val="24"/>
          <w:szCs w:val="24"/>
          <w:lang w:val="en-GB"/>
        </w:rPr>
        <w:t xml:space="preserve"> </w:t>
      </w:r>
      <w:r w:rsidR="00127EEA" w:rsidRPr="00EA22E7">
        <w:rPr>
          <w:rFonts w:eastAsia="Segoe UI"/>
          <w:sz w:val="24"/>
          <w:szCs w:val="24"/>
          <w:lang w:val="en-GB"/>
        </w:rPr>
        <w:t xml:space="preserve">still </w:t>
      </w:r>
      <w:r w:rsidR="00D34266" w:rsidRPr="00EA22E7">
        <w:rPr>
          <w:rFonts w:eastAsia="Segoe UI"/>
          <w:sz w:val="24"/>
          <w:szCs w:val="24"/>
          <w:lang w:val="en-GB"/>
        </w:rPr>
        <w:t xml:space="preserve">very </w:t>
      </w:r>
      <w:r w:rsidR="00127EEA" w:rsidRPr="00EA22E7">
        <w:rPr>
          <w:rFonts w:eastAsia="Segoe UI"/>
          <w:sz w:val="24"/>
          <w:szCs w:val="24"/>
          <w:lang w:val="en-GB"/>
        </w:rPr>
        <w:t>controversial</w:t>
      </w:r>
      <w:r w:rsidR="00F33D54" w:rsidRPr="00EA22E7">
        <w:rPr>
          <w:rFonts w:eastAsia="Segoe UI"/>
          <w:sz w:val="24"/>
          <w:szCs w:val="24"/>
          <w:lang w:val="en-GB"/>
        </w:rPr>
        <w:t>.</w:t>
      </w:r>
    </w:p>
    <w:p w14:paraId="397B1560" w14:textId="5C3CEA9C" w:rsidR="00F33D54" w:rsidRPr="00EA22E7" w:rsidRDefault="00F33D54" w:rsidP="00EA22E7">
      <w:pPr>
        <w:spacing w:before="120" w:after="120" w:line="360" w:lineRule="auto"/>
        <w:rPr>
          <w:rFonts w:eastAsia="Segoe UI"/>
          <w:sz w:val="24"/>
          <w:szCs w:val="24"/>
          <w:u w:val="single"/>
          <w:lang w:val="en-GB"/>
        </w:rPr>
      </w:pPr>
      <w:r w:rsidRPr="00EA22E7">
        <w:rPr>
          <w:rFonts w:eastAsia="Segoe UI"/>
          <w:sz w:val="24"/>
          <w:szCs w:val="24"/>
          <w:lang w:val="en-GB"/>
        </w:rPr>
        <w:t xml:space="preserve">Accordingly, this scenario is reflected </w:t>
      </w:r>
      <w:r w:rsidR="0023006F" w:rsidRPr="00EA22E7">
        <w:rPr>
          <w:rFonts w:eastAsia="Segoe UI"/>
          <w:sz w:val="24"/>
          <w:szCs w:val="24"/>
          <w:lang w:val="en-GB"/>
        </w:rPr>
        <w:t xml:space="preserve">at the level of Equality Bodies, whose role is investigated by the authors. Indeed, a survey shows that only few Equality Bodies </w:t>
      </w:r>
      <w:r w:rsidR="00DC7075" w:rsidRPr="00EA22E7">
        <w:rPr>
          <w:rFonts w:eastAsia="Segoe UI"/>
          <w:sz w:val="24"/>
          <w:szCs w:val="24"/>
          <w:lang w:val="en-GB"/>
        </w:rPr>
        <w:t xml:space="preserve">across Europe have </w:t>
      </w:r>
      <w:r w:rsidR="0023006F" w:rsidRPr="00EA22E7">
        <w:rPr>
          <w:rFonts w:eastAsia="Segoe UI"/>
          <w:sz w:val="24"/>
          <w:szCs w:val="24"/>
          <w:lang w:val="en-GB"/>
        </w:rPr>
        <w:t xml:space="preserve">reported carrying out work in cases linked to the establishment or recognition of </w:t>
      </w:r>
      <w:r w:rsidR="00DC7075" w:rsidRPr="00EA22E7">
        <w:rPr>
          <w:rFonts w:eastAsia="Segoe UI"/>
          <w:sz w:val="24"/>
          <w:szCs w:val="24"/>
          <w:lang w:val="en-GB"/>
        </w:rPr>
        <w:t xml:space="preserve">partnership and </w:t>
      </w:r>
      <w:r w:rsidR="0023006F" w:rsidRPr="00EA22E7">
        <w:rPr>
          <w:rFonts w:eastAsia="Segoe UI"/>
          <w:sz w:val="24"/>
          <w:szCs w:val="24"/>
          <w:lang w:val="en-GB"/>
        </w:rPr>
        <w:t>parenthood</w:t>
      </w:r>
      <w:r w:rsidR="006E6E44" w:rsidRPr="00EA22E7">
        <w:rPr>
          <w:rFonts w:eastAsia="Segoe UI"/>
          <w:sz w:val="24"/>
          <w:szCs w:val="24"/>
          <w:lang w:val="en-GB"/>
        </w:rPr>
        <w:t>. However</w:t>
      </w:r>
      <w:r w:rsidR="00B07C8B" w:rsidRPr="00EA22E7">
        <w:rPr>
          <w:rFonts w:eastAsia="Segoe UI"/>
          <w:sz w:val="24"/>
          <w:szCs w:val="24"/>
          <w:lang w:val="en-GB"/>
        </w:rPr>
        <w:t xml:space="preserve"> – </w:t>
      </w:r>
      <w:r w:rsidR="006E6E44" w:rsidRPr="00EA22E7">
        <w:rPr>
          <w:rFonts w:eastAsia="Segoe UI"/>
          <w:sz w:val="24"/>
          <w:szCs w:val="24"/>
          <w:lang w:val="en-GB"/>
        </w:rPr>
        <w:t xml:space="preserve">despite the scarcity of involvement </w:t>
      </w:r>
      <w:r w:rsidR="00B07C8B" w:rsidRPr="00EA22E7">
        <w:rPr>
          <w:rFonts w:eastAsia="Segoe UI"/>
          <w:sz w:val="24"/>
          <w:szCs w:val="24"/>
          <w:lang w:val="en-GB"/>
        </w:rPr>
        <w:t xml:space="preserve">of Equality </w:t>
      </w:r>
      <w:r w:rsidR="00B07C8B" w:rsidRPr="00EA22E7">
        <w:rPr>
          <w:rFonts w:eastAsia="Segoe UI"/>
          <w:sz w:val="24"/>
          <w:szCs w:val="24"/>
          <w:lang w:val="en-GB"/>
        </w:rPr>
        <w:lastRenderedPageBreak/>
        <w:t xml:space="preserve">Bodies </w:t>
      </w:r>
      <w:r w:rsidR="006E6E44" w:rsidRPr="00EA22E7">
        <w:rPr>
          <w:rFonts w:eastAsia="Segoe UI"/>
          <w:sz w:val="24"/>
          <w:szCs w:val="24"/>
          <w:lang w:val="en-GB"/>
        </w:rPr>
        <w:t>due to a number of factors</w:t>
      </w:r>
      <w:r w:rsidR="006E6E44" w:rsidRPr="00EA22E7">
        <w:rPr>
          <w:rFonts w:asciiTheme="minorHAnsi" w:eastAsia="Segoe UI" w:hAnsiTheme="minorHAnsi" w:cstheme="minorHAnsi"/>
          <w:sz w:val="24"/>
          <w:szCs w:val="24"/>
          <w:lang w:val="en-GB"/>
        </w:rPr>
        <w:t xml:space="preserve"> such as </w:t>
      </w:r>
      <w:r w:rsidR="006E6E44" w:rsidRPr="00EA22E7">
        <w:rPr>
          <w:rFonts w:eastAsia="Segoe UI"/>
          <w:sz w:val="24"/>
          <w:szCs w:val="24"/>
          <w:lang w:val="en-GB"/>
        </w:rPr>
        <w:t xml:space="preserve">barriers related to </w:t>
      </w:r>
      <w:r w:rsidR="00B07C8B" w:rsidRPr="00EA22E7">
        <w:rPr>
          <w:rFonts w:eastAsia="Segoe UI"/>
          <w:sz w:val="24"/>
          <w:szCs w:val="24"/>
          <w:lang w:val="en-GB"/>
        </w:rPr>
        <w:t xml:space="preserve">their </w:t>
      </w:r>
      <w:r w:rsidR="006E6E44" w:rsidRPr="00EA22E7">
        <w:rPr>
          <w:rFonts w:eastAsia="Segoe UI"/>
          <w:sz w:val="24"/>
          <w:szCs w:val="24"/>
          <w:lang w:val="en-GB"/>
        </w:rPr>
        <w:t>mandate, national legal frameworks, lack of awareness or underreporting</w:t>
      </w:r>
      <w:r w:rsidR="00B07C8B" w:rsidRPr="00EA22E7">
        <w:rPr>
          <w:rFonts w:eastAsia="Segoe UI"/>
          <w:sz w:val="24"/>
          <w:szCs w:val="24"/>
          <w:lang w:val="en-GB"/>
        </w:rPr>
        <w:t xml:space="preserve"> – </w:t>
      </w:r>
      <w:r w:rsidR="006E6E44" w:rsidRPr="00EA22E7">
        <w:rPr>
          <w:rFonts w:eastAsia="Segoe UI"/>
          <w:sz w:val="24"/>
          <w:szCs w:val="24"/>
          <w:lang w:val="en-GB"/>
        </w:rPr>
        <w:t>this</w:t>
      </w:r>
      <w:r w:rsidR="000A434F">
        <w:rPr>
          <w:rFonts w:eastAsia="Segoe UI"/>
          <w:sz w:val="24"/>
          <w:szCs w:val="24"/>
          <w:lang w:val="en-GB"/>
        </w:rPr>
        <w:t xml:space="preserve"> report</w:t>
      </w:r>
      <w:r w:rsidR="006E6E44" w:rsidRPr="00EA22E7">
        <w:rPr>
          <w:rFonts w:eastAsia="Segoe UI"/>
          <w:sz w:val="24"/>
          <w:szCs w:val="24"/>
          <w:lang w:val="en-GB"/>
        </w:rPr>
        <w:t xml:space="preserve"> </w:t>
      </w:r>
      <w:r w:rsidR="00CD5267" w:rsidRPr="00EA22E7">
        <w:rPr>
          <w:rFonts w:eastAsia="Segoe UI"/>
          <w:sz w:val="24"/>
          <w:szCs w:val="24"/>
          <w:lang w:val="en-GB"/>
        </w:rPr>
        <w:t xml:space="preserve">notably </w:t>
      </w:r>
      <w:r w:rsidR="006E6E44" w:rsidRPr="00EA22E7">
        <w:rPr>
          <w:rFonts w:eastAsia="Segoe UI"/>
          <w:sz w:val="24"/>
          <w:szCs w:val="24"/>
          <w:lang w:val="en-GB"/>
        </w:rPr>
        <w:t xml:space="preserve">introduces some good practices of cases addressed by Equality Bodies in Croatia, Poland, Romania and Slovenia, including </w:t>
      </w:r>
      <w:r w:rsidR="00EB175D" w:rsidRPr="00EA22E7">
        <w:rPr>
          <w:rFonts w:eastAsia="Segoe UI"/>
          <w:sz w:val="24"/>
          <w:szCs w:val="24"/>
          <w:lang w:val="en-GB"/>
        </w:rPr>
        <w:t xml:space="preserve">with regard to the </w:t>
      </w:r>
      <w:r w:rsidR="006E6E44" w:rsidRPr="00EA22E7">
        <w:rPr>
          <w:rFonts w:eastAsia="Segoe UI"/>
          <w:sz w:val="24"/>
          <w:szCs w:val="24"/>
          <w:lang w:val="en-GB"/>
        </w:rPr>
        <w:t xml:space="preserve">establishment or recognition of parenthood in cases involving surrogacy, domestic adoptions and assisted reproduction techniques. </w:t>
      </w:r>
    </w:p>
    <w:p w14:paraId="64920D5F" w14:textId="77777777" w:rsidR="00EA22E7" w:rsidRDefault="006E6E44" w:rsidP="00EA22E7">
      <w:pPr>
        <w:spacing w:before="120" w:after="120" w:line="360" w:lineRule="auto"/>
        <w:rPr>
          <w:rFonts w:eastAsia="Segoe UI"/>
          <w:sz w:val="24"/>
          <w:szCs w:val="24"/>
          <w:lang w:val="en-GB"/>
        </w:rPr>
        <w:sectPr w:rsidR="00EA22E7" w:rsidSect="006C1178">
          <w:footerReference w:type="default" r:id="rId20"/>
          <w:pgSz w:w="11906" w:h="16838"/>
          <w:pgMar w:top="1440" w:right="1440" w:bottom="1440" w:left="1440" w:header="708" w:footer="708" w:gutter="0"/>
          <w:cols w:space="708"/>
          <w:docGrid w:linePitch="360"/>
        </w:sectPr>
      </w:pPr>
      <w:r w:rsidRPr="00EA22E7">
        <w:rPr>
          <w:rFonts w:eastAsia="Segoe UI"/>
          <w:sz w:val="24"/>
          <w:szCs w:val="24"/>
          <w:lang w:val="en-GB"/>
        </w:rPr>
        <w:t xml:space="preserve">The </w:t>
      </w:r>
      <w:r w:rsidR="004309A4" w:rsidRPr="00EA22E7">
        <w:rPr>
          <w:rFonts w:eastAsia="Segoe UI"/>
          <w:sz w:val="24"/>
          <w:szCs w:val="24"/>
          <w:lang w:val="en-GB"/>
        </w:rPr>
        <w:t>issue</w:t>
      </w:r>
      <w:r w:rsidRPr="00EA22E7">
        <w:rPr>
          <w:rFonts w:eastAsia="Segoe UI"/>
          <w:sz w:val="24"/>
          <w:szCs w:val="24"/>
          <w:lang w:val="en-GB"/>
        </w:rPr>
        <w:t xml:space="preserve"> of cross-border recognition of parenthood is </w:t>
      </w:r>
      <w:r w:rsidR="00752006" w:rsidRPr="00EA22E7">
        <w:rPr>
          <w:rFonts w:eastAsia="Segoe UI"/>
          <w:sz w:val="24"/>
          <w:szCs w:val="24"/>
          <w:lang w:val="en-GB"/>
        </w:rPr>
        <w:t xml:space="preserve">clearly an equality issue as it directly concerns the fundamental right of individuals and families to </w:t>
      </w:r>
      <w:r w:rsidRPr="00EA22E7">
        <w:rPr>
          <w:rFonts w:eastAsia="Segoe UI"/>
          <w:sz w:val="24"/>
          <w:szCs w:val="24"/>
          <w:lang w:val="en-GB"/>
        </w:rPr>
        <w:t>non-discrimination</w:t>
      </w:r>
      <w:r w:rsidR="004309A4" w:rsidRPr="00EA22E7">
        <w:rPr>
          <w:rFonts w:eastAsia="Segoe UI"/>
          <w:sz w:val="24"/>
          <w:szCs w:val="24"/>
          <w:lang w:val="en-GB"/>
        </w:rPr>
        <w:t xml:space="preserve">. Data clearly shows </w:t>
      </w:r>
      <w:r w:rsidRPr="00EA22E7">
        <w:rPr>
          <w:rFonts w:eastAsia="Segoe UI"/>
          <w:sz w:val="24"/>
          <w:szCs w:val="24"/>
          <w:lang w:val="en-GB"/>
        </w:rPr>
        <w:t xml:space="preserve">that the lack of legal possibility to have their </w:t>
      </w:r>
      <w:r w:rsidR="007C1FBE" w:rsidRPr="00EA22E7">
        <w:rPr>
          <w:rFonts w:eastAsia="Segoe UI"/>
          <w:sz w:val="24"/>
          <w:szCs w:val="24"/>
          <w:lang w:val="en-GB"/>
        </w:rPr>
        <w:t xml:space="preserve">partnerships and </w:t>
      </w:r>
      <w:r w:rsidRPr="00EA22E7">
        <w:rPr>
          <w:rFonts w:eastAsia="Segoe UI"/>
          <w:sz w:val="24"/>
          <w:szCs w:val="24"/>
          <w:lang w:val="en-GB"/>
        </w:rPr>
        <w:t xml:space="preserve">parenthood recognized under the national law </w:t>
      </w:r>
      <w:r w:rsidR="00887832" w:rsidRPr="00EA22E7">
        <w:rPr>
          <w:rFonts w:eastAsia="Segoe UI"/>
          <w:sz w:val="24"/>
          <w:szCs w:val="24"/>
          <w:lang w:val="en-GB"/>
        </w:rPr>
        <w:t xml:space="preserve">mostly </w:t>
      </w:r>
      <w:r w:rsidR="007C1FBE" w:rsidRPr="00EA22E7">
        <w:rPr>
          <w:rFonts w:eastAsia="Segoe UI"/>
          <w:sz w:val="24"/>
          <w:szCs w:val="24"/>
          <w:lang w:val="en-GB"/>
        </w:rPr>
        <w:t>and disproporti</w:t>
      </w:r>
      <w:r w:rsidR="00DD7787" w:rsidRPr="00EA22E7">
        <w:rPr>
          <w:rFonts w:eastAsia="Segoe UI"/>
          <w:sz w:val="24"/>
          <w:szCs w:val="24"/>
          <w:lang w:val="en-GB"/>
        </w:rPr>
        <w:t xml:space="preserve">onately </w:t>
      </w:r>
      <w:r w:rsidRPr="00EA22E7">
        <w:rPr>
          <w:rFonts w:eastAsia="Segoe UI"/>
          <w:sz w:val="24"/>
          <w:szCs w:val="24"/>
          <w:lang w:val="en-GB"/>
        </w:rPr>
        <w:t xml:space="preserve">affects parents identified by (the same) sex/non-heteronormative orientation </w:t>
      </w:r>
      <w:r w:rsidR="00195E8B" w:rsidRPr="00EA22E7">
        <w:rPr>
          <w:rFonts w:eastAsia="Segoe UI"/>
          <w:sz w:val="24"/>
          <w:szCs w:val="24"/>
          <w:lang w:val="en-GB"/>
        </w:rPr>
        <w:t>and</w:t>
      </w:r>
      <w:r w:rsidR="00887832" w:rsidRPr="00EA22E7">
        <w:rPr>
          <w:rFonts w:eastAsia="Segoe UI"/>
          <w:sz w:val="24"/>
          <w:szCs w:val="24"/>
          <w:lang w:val="en-GB"/>
        </w:rPr>
        <w:t xml:space="preserve"> subsequently</w:t>
      </w:r>
      <w:r w:rsidR="006B1A09" w:rsidRPr="00EA22E7">
        <w:rPr>
          <w:rFonts w:eastAsia="Segoe UI"/>
          <w:sz w:val="24"/>
          <w:szCs w:val="24"/>
          <w:lang w:val="en-GB"/>
        </w:rPr>
        <w:t xml:space="preserve"> </w:t>
      </w:r>
      <w:r w:rsidR="00D75674" w:rsidRPr="00EA22E7">
        <w:rPr>
          <w:rFonts w:eastAsia="Segoe UI"/>
          <w:sz w:val="24"/>
          <w:szCs w:val="24"/>
          <w:lang w:val="en-GB"/>
        </w:rPr>
        <w:t>disregards</w:t>
      </w:r>
      <w:r w:rsidR="006B1A09" w:rsidRPr="00EA22E7">
        <w:rPr>
          <w:rFonts w:eastAsia="Segoe UI"/>
          <w:sz w:val="24"/>
          <w:szCs w:val="24"/>
          <w:lang w:val="en-GB"/>
        </w:rPr>
        <w:t xml:space="preserve"> </w:t>
      </w:r>
      <w:r w:rsidR="003850EC" w:rsidRPr="00EA22E7">
        <w:rPr>
          <w:rFonts w:eastAsia="Segoe UI"/>
          <w:sz w:val="24"/>
          <w:szCs w:val="24"/>
          <w:lang w:val="en-GB"/>
        </w:rPr>
        <w:t xml:space="preserve">their </w:t>
      </w:r>
      <w:r w:rsidR="006B1A09" w:rsidRPr="00EA22E7">
        <w:rPr>
          <w:rFonts w:eastAsia="Segoe UI"/>
          <w:sz w:val="24"/>
          <w:szCs w:val="24"/>
          <w:lang w:val="en-GB"/>
        </w:rPr>
        <w:t>children’s best interests</w:t>
      </w:r>
      <w:r w:rsidR="003850EC" w:rsidRPr="00EA22E7">
        <w:rPr>
          <w:rFonts w:eastAsia="Segoe UI"/>
          <w:sz w:val="24"/>
          <w:szCs w:val="24"/>
          <w:lang w:val="en-GB"/>
        </w:rPr>
        <w:t xml:space="preserve"> by</w:t>
      </w:r>
      <w:r w:rsidR="006B1A09" w:rsidRPr="00EA22E7">
        <w:rPr>
          <w:rFonts w:eastAsia="Segoe UI"/>
          <w:sz w:val="24"/>
          <w:szCs w:val="24"/>
          <w:lang w:val="en-GB"/>
        </w:rPr>
        <w:t xml:space="preserve"> violating their right</w:t>
      </w:r>
      <w:r w:rsidR="00D75674" w:rsidRPr="00EA22E7">
        <w:rPr>
          <w:rFonts w:eastAsia="Segoe UI"/>
          <w:sz w:val="24"/>
          <w:szCs w:val="24"/>
          <w:lang w:val="en-GB"/>
        </w:rPr>
        <w:t>s</w:t>
      </w:r>
      <w:r w:rsidR="006B1A09" w:rsidRPr="00EA22E7">
        <w:rPr>
          <w:rFonts w:eastAsia="Segoe UI"/>
          <w:sz w:val="24"/>
          <w:szCs w:val="24"/>
          <w:lang w:val="en-GB"/>
        </w:rPr>
        <w:t xml:space="preserve"> to </w:t>
      </w:r>
      <w:r w:rsidR="00F062E0" w:rsidRPr="00EA22E7">
        <w:rPr>
          <w:rFonts w:eastAsia="Segoe UI"/>
          <w:sz w:val="24"/>
          <w:szCs w:val="24"/>
          <w:lang w:val="en-GB"/>
        </w:rPr>
        <w:t xml:space="preserve">personal </w:t>
      </w:r>
      <w:r w:rsidR="006B1A09" w:rsidRPr="00EA22E7">
        <w:rPr>
          <w:rFonts w:eastAsia="Segoe UI"/>
          <w:sz w:val="24"/>
          <w:szCs w:val="24"/>
          <w:lang w:val="en-GB"/>
        </w:rPr>
        <w:t xml:space="preserve">identity, </w:t>
      </w:r>
      <w:r w:rsidR="00D75674" w:rsidRPr="00EA22E7">
        <w:rPr>
          <w:rFonts w:eastAsia="Segoe UI"/>
          <w:sz w:val="24"/>
          <w:szCs w:val="24"/>
          <w:lang w:val="en-GB"/>
        </w:rPr>
        <w:t xml:space="preserve">inheritance, health care, freedom of movement and beyond. </w:t>
      </w:r>
    </w:p>
    <w:p w14:paraId="5045A5B9" w14:textId="28013E76" w:rsidR="00EA22E7" w:rsidRDefault="006A11CE" w:rsidP="00EA22E7">
      <w:pPr>
        <w:pStyle w:val="Heading1"/>
        <w:numPr>
          <w:ilvl w:val="0"/>
          <w:numId w:val="20"/>
        </w:numPr>
        <w:spacing w:before="10000"/>
        <w:ind w:left="1077"/>
        <w:rPr>
          <w:sz w:val="52"/>
          <w:szCs w:val="52"/>
        </w:rPr>
        <w:sectPr w:rsidR="00EA22E7" w:rsidSect="006C1178">
          <w:footerReference w:type="default" r:id="rId21"/>
          <w:pgSz w:w="11906" w:h="16838"/>
          <w:pgMar w:top="1440" w:right="1440" w:bottom="1440" w:left="1440" w:header="708" w:footer="708" w:gutter="0"/>
          <w:cols w:space="708"/>
          <w:docGrid w:linePitch="360"/>
        </w:sectPr>
      </w:pPr>
      <w:bookmarkStart w:id="10" w:name="_Toc157782127"/>
      <w:r>
        <w:rPr>
          <w:noProof/>
          <w:sz w:val="52"/>
          <w:szCs w:val="52"/>
        </w:rPr>
        <w:lastRenderedPageBreak/>
        <w:drawing>
          <wp:anchor distT="0" distB="0" distL="114300" distR="114300" simplePos="0" relativeHeight="251658254" behindDoc="1" locked="0" layoutInCell="1" allowOverlap="1" wp14:anchorId="35C07F6A" wp14:editId="75401CFC">
            <wp:simplePos x="0" y="0"/>
            <wp:positionH relativeFrom="column">
              <wp:posOffset>-899160</wp:posOffset>
            </wp:positionH>
            <wp:positionV relativeFrom="paragraph">
              <wp:posOffset>-906780</wp:posOffset>
            </wp:positionV>
            <wp:extent cx="7519806" cy="5647765"/>
            <wp:effectExtent l="0" t="0" r="5080" b="0"/>
            <wp:wrapNone/>
            <wp:docPr id="65832375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23752" name="Picture 3">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19806" cy="5647765"/>
                    </a:xfrm>
                    <a:prstGeom prst="rect">
                      <a:avLst/>
                    </a:prstGeom>
                  </pic:spPr>
                </pic:pic>
              </a:graphicData>
            </a:graphic>
            <wp14:sizeRelH relativeFrom="page">
              <wp14:pctWidth>0</wp14:pctWidth>
            </wp14:sizeRelH>
            <wp14:sizeRelV relativeFrom="page">
              <wp14:pctHeight>0</wp14:pctHeight>
            </wp14:sizeRelV>
          </wp:anchor>
        </w:drawing>
      </w:r>
      <w:r w:rsidR="00B745C8" w:rsidRPr="00277719">
        <w:rPr>
          <w:noProof/>
          <w:sz w:val="100"/>
          <w:szCs w:val="100"/>
        </w:rPr>
        <w:drawing>
          <wp:anchor distT="0" distB="0" distL="114300" distR="114300" simplePos="0" relativeHeight="251658242" behindDoc="0" locked="0" layoutInCell="1" allowOverlap="1" wp14:anchorId="7CE290FF" wp14:editId="4F3FF34B">
            <wp:simplePos x="0" y="0"/>
            <wp:positionH relativeFrom="margin">
              <wp:posOffset>-5249698</wp:posOffset>
            </wp:positionH>
            <wp:positionV relativeFrom="paragraph">
              <wp:posOffset>3988435</wp:posOffset>
            </wp:positionV>
            <wp:extent cx="15706725" cy="1943100"/>
            <wp:effectExtent l="0" t="0" r="9525" b="0"/>
            <wp:wrapNone/>
            <wp:docPr id="711190866" name="Picture 711190866" descr="P12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124#y1">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0672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2F84" w:rsidRPr="00EA22E7">
        <w:rPr>
          <w:sz w:val="52"/>
          <w:szCs w:val="52"/>
        </w:rPr>
        <w:t>Rainbow families on the move – C</w:t>
      </w:r>
      <w:r w:rsidR="00284936" w:rsidRPr="00EA22E7">
        <w:rPr>
          <w:sz w:val="52"/>
          <w:szCs w:val="52"/>
        </w:rPr>
        <w:t>ouncil of Europe</w:t>
      </w:r>
      <w:r w:rsidR="00052F84" w:rsidRPr="00EA22E7">
        <w:rPr>
          <w:sz w:val="52"/>
          <w:szCs w:val="52"/>
        </w:rPr>
        <w:t xml:space="preserve"> and E</w:t>
      </w:r>
      <w:r w:rsidR="00284936" w:rsidRPr="00EA22E7">
        <w:rPr>
          <w:sz w:val="52"/>
          <w:szCs w:val="52"/>
        </w:rPr>
        <w:t>uropean Union</w:t>
      </w:r>
      <w:r w:rsidR="00052F84" w:rsidRPr="00EA22E7">
        <w:rPr>
          <w:sz w:val="52"/>
          <w:szCs w:val="52"/>
        </w:rPr>
        <w:t xml:space="preserve"> standards</w:t>
      </w:r>
      <w:bookmarkEnd w:id="10"/>
      <w:r w:rsidR="00052F84" w:rsidRPr="00EA22E7">
        <w:rPr>
          <w:sz w:val="52"/>
          <w:szCs w:val="52"/>
        </w:rPr>
        <w:t> </w:t>
      </w:r>
    </w:p>
    <w:p w14:paraId="1D343B98" w14:textId="05707A3D" w:rsidR="00052F84" w:rsidRPr="008F51C6" w:rsidRDefault="00052F84" w:rsidP="008F51C6">
      <w:pPr>
        <w:pStyle w:val="Heading2"/>
      </w:pPr>
      <w:bookmarkStart w:id="11" w:name="_Toc157782128"/>
      <w:r w:rsidRPr="008F51C6">
        <w:lastRenderedPageBreak/>
        <w:t>EU L</w:t>
      </w:r>
      <w:r w:rsidR="001F0D75">
        <w:t>evel</w:t>
      </w:r>
      <w:bookmarkEnd w:id="11"/>
      <w:r w:rsidRPr="008F51C6">
        <w:t> </w:t>
      </w:r>
    </w:p>
    <w:p w14:paraId="77DEFEF9" w14:textId="77777777" w:rsidR="00052F84" w:rsidRPr="008F51C6" w:rsidRDefault="00052F84" w:rsidP="008F51C6">
      <w:pPr>
        <w:pStyle w:val="Heading3"/>
      </w:pPr>
      <w:bookmarkStart w:id="12" w:name="_Toc157782129"/>
      <w:r w:rsidRPr="008F51C6">
        <w:t xml:space="preserve">Free movement of EU citizens and mutual </w:t>
      </w:r>
      <w:r w:rsidRPr="00FB52B6">
        <w:t>recognition</w:t>
      </w:r>
      <w:r w:rsidRPr="008F51C6">
        <w:t xml:space="preserve"> of partnerships</w:t>
      </w:r>
      <w:bookmarkEnd w:id="12"/>
      <w:r w:rsidRPr="008F51C6">
        <w:t> </w:t>
      </w:r>
    </w:p>
    <w:p w14:paraId="324DECBB" w14:textId="038A3B0D" w:rsidR="00052F84" w:rsidRPr="009C5368" w:rsidRDefault="00052F84" w:rsidP="009C5368">
      <w:pPr>
        <w:spacing w:before="120" w:after="120" w:line="360" w:lineRule="auto"/>
        <w:rPr>
          <w:rFonts w:asciiTheme="minorHAnsi" w:eastAsia="Segoe UI" w:hAnsiTheme="minorHAnsi"/>
          <w:sz w:val="24"/>
          <w:szCs w:val="24"/>
          <w:lang w:val="en-GB"/>
        </w:rPr>
      </w:pPr>
      <w:r w:rsidRPr="008F51C6">
        <w:rPr>
          <w:rFonts w:asciiTheme="minorHAnsi" w:eastAsia="Segoe UI" w:hAnsiTheme="minorHAnsi"/>
          <w:sz w:val="24"/>
          <w:szCs w:val="24"/>
          <w:lang w:val="en-GB"/>
        </w:rPr>
        <w:t xml:space="preserve">Free movement of persons is one of the freedoms guaranteed in the EU. Its main regulation is provided by </w:t>
      </w:r>
      <w:r w:rsidRPr="006C4B35">
        <w:rPr>
          <w:rStyle w:val="Emphasis"/>
        </w:rPr>
        <w:t>Articles 21 (citizens), 45 (workers), 49 (e</w:t>
      </w:r>
      <w:r w:rsidRPr="000230ED">
        <w:rPr>
          <w:rStyle w:val="Emphasis"/>
        </w:rPr>
        <w:t>st</w:t>
      </w:r>
      <w:r w:rsidRPr="006C4B35">
        <w:rPr>
          <w:rStyle w:val="Emphasis"/>
        </w:rPr>
        <w:t>ablishment) and 56 (services) of the</w:t>
      </w:r>
      <w:r w:rsidRPr="006C4B35">
        <w:rPr>
          <w:rFonts w:asciiTheme="minorHAnsi" w:eastAsia="Segoe UI" w:hAnsiTheme="minorHAnsi"/>
          <w:sz w:val="24"/>
          <w:szCs w:val="24"/>
          <w:shd w:val="clear" w:color="auto" w:fill="DAE9F2"/>
          <w:lang w:val="en-GB"/>
        </w:rPr>
        <w:t xml:space="preserve"> </w:t>
      </w:r>
      <w:bookmarkStart w:id="13" w:name="_Hlk135746611"/>
      <w:r w:rsidRPr="006C4B35">
        <w:rPr>
          <w:rFonts w:asciiTheme="minorHAnsi" w:eastAsia="Segoe UI" w:hAnsiTheme="minorHAnsi"/>
          <w:sz w:val="24"/>
          <w:szCs w:val="24"/>
          <w:shd w:val="clear" w:color="auto" w:fill="DAE9F2"/>
          <w:lang w:val="en-GB"/>
        </w:rPr>
        <w:t xml:space="preserve">Treaty on the Functioning of </w:t>
      </w:r>
      <w:r w:rsidRPr="006C4B35">
        <w:rPr>
          <w:rStyle w:val="Emphasis"/>
        </w:rPr>
        <w:t>the European Union</w:t>
      </w:r>
      <w:r w:rsidRPr="008F51C6">
        <w:rPr>
          <w:rFonts w:asciiTheme="minorHAnsi" w:eastAsia="Segoe UI" w:hAnsiTheme="minorHAnsi"/>
          <w:sz w:val="24"/>
          <w:szCs w:val="24"/>
          <w:lang w:val="en-GB"/>
        </w:rPr>
        <w:t xml:space="preserve"> (TFEU). </w:t>
      </w:r>
      <w:bookmarkEnd w:id="13"/>
      <w:r w:rsidRPr="008F51C6">
        <w:rPr>
          <w:rFonts w:asciiTheme="minorHAnsi" w:eastAsia="Segoe UI" w:hAnsiTheme="minorHAnsi"/>
          <w:sz w:val="24"/>
          <w:szCs w:val="24"/>
          <w:lang w:val="en-GB"/>
        </w:rPr>
        <w:t xml:space="preserve">The core provision of free movement of EU citizens within the EU is </w:t>
      </w:r>
      <w:r w:rsidRPr="003C6FD7">
        <w:rPr>
          <w:rFonts w:asciiTheme="minorHAnsi" w:eastAsia="Segoe UI" w:hAnsiTheme="minorHAnsi"/>
          <w:sz w:val="24"/>
          <w:szCs w:val="24"/>
          <w:lang w:val="en-GB"/>
        </w:rPr>
        <w:t>Article 21 (1) TFEU</w:t>
      </w:r>
      <w:r w:rsidRPr="008F51C6">
        <w:rPr>
          <w:rFonts w:asciiTheme="minorHAnsi" w:eastAsia="Segoe UI" w:hAnsiTheme="minorHAnsi"/>
          <w:sz w:val="24"/>
          <w:szCs w:val="24"/>
          <w:lang w:val="en-GB"/>
        </w:rPr>
        <w:t xml:space="preserve"> which states that:</w:t>
      </w:r>
      <w:r w:rsidR="009C5368" w:rsidRPr="009C5368">
        <w:t xml:space="preserve"> </w:t>
      </w:r>
      <w:r w:rsidR="009C5368">
        <w:t>“</w:t>
      </w:r>
      <w:r w:rsidR="009C5368" w:rsidRPr="009C5368">
        <w:rPr>
          <w:rFonts w:asciiTheme="minorHAnsi" w:eastAsia="Segoe UI" w:hAnsiTheme="minorHAnsi"/>
          <w:sz w:val="24"/>
          <w:szCs w:val="24"/>
          <w:lang w:val="en-GB"/>
        </w:rPr>
        <w:t>Every citizen of the Union shall have the right to move and reside freely within the territory of the Member States, subject to the limitations and conditions laid down in the Treaties and by the measures adopted to give them effect.”</w:t>
      </w:r>
    </w:p>
    <w:p w14:paraId="727F9567" w14:textId="0EC8B514" w:rsidR="00052F84" w:rsidRPr="008F51C6" w:rsidRDefault="00052F84" w:rsidP="008F51C6">
      <w:pPr>
        <w:spacing w:before="120" w:after="120" w:line="360" w:lineRule="auto"/>
        <w:rPr>
          <w:rFonts w:asciiTheme="minorHAnsi" w:eastAsia="Segoe UI" w:hAnsiTheme="minorHAnsi" w:cstheme="minorHAnsi"/>
          <w:sz w:val="24"/>
          <w:szCs w:val="24"/>
          <w:lang w:val="en-GB"/>
        </w:rPr>
      </w:pPr>
      <w:r w:rsidRPr="008F51C6">
        <w:rPr>
          <w:rFonts w:asciiTheme="minorHAnsi" w:eastAsia="Segoe UI" w:hAnsiTheme="minorHAnsi" w:cstheme="minorHAnsi"/>
          <w:sz w:val="24"/>
          <w:szCs w:val="24"/>
          <w:lang w:val="en-GB"/>
        </w:rPr>
        <w:t xml:space="preserve">Freedom of movement and residence of EU citizens is also guaranteed under </w:t>
      </w:r>
      <w:r w:rsidRPr="0078510A">
        <w:rPr>
          <w:rStyle w:val="Emphasis"/>
        </w:rPr>
        <w:t>Article 45 of</w:t>
      </w:r>
      <w:r w:rsidRPr="008F51C6">
        <w:rPr>
          <w:rFonts w:asciiTheme="minorHAnsi" w:eastAsia="Segoe UI" w:hAnsiTheme="minorHAnsi" w:cstheme="minorHAnsi"/>
          <w:b/>
          <w:bCs/>
          <w:sz w:val="24"/>
          <w:szCs w:val="24"/>
          <w:lang w:val="en-GB"/>
        </w:rPr>
        <w:t xml:space="preserve"> </w:t>
      </w:r>
      <w:r w:rsidRPr="003C6FD7">
        <w:rPr>
          <w:rStyle w:val="Emphasis"/>
        </w:rPr>
        <w:t>the Charter of Fundamental Rights of the European Union</w:t>
      </w:r>
      <w:r w:rsidRPr="008F51C6">
        <w:rPr>
          <w:rFonts w:asciiTheme="minorHAnsi" w:eastAsia="Segoe UI" w:hAnsiTheme="minorHAnsi" w:cstheme="minorHAnsi"/>
          <w:sz w:val="24"/>
          <w:szCs w:val="24"/>
          <w:lang w:val="en-GB"/>
        </w:rPr>
        <w:t xml:space="preserve"> (EU Charter). Accordingly, all EU citizens have </w:t>
      </w:r>
      <w:r w:rsidR="00A50A1A" w:rsidRPr="009C5368">
        <w:rPr>
          <w:rFonts w:asciiTheme="minorHAnsi" w:eastAsia="Segoe UI" w:hAnsiTheme="minorHAnsi" w:cstheme="minorHAnsi"/>
          <w:sz w:val="24"/>
          <w:szCs w:val="24"/>
          <w:lang w:val="en-GB"/>
        </w:rPr>
        <w:t>“</w:t>
      </w:r>
      <w:r w:rsidRPr="009C5368">
        <w:rPr>
          <w:rFonts w:asciiTheme="minorHAnsi" w:eastAsia="Segoe UI" w:hAnsiTheme="minorHAnsi" w:cstheme="minorHAnsi"/>
          <w:sz w:val="24"/>
          <w:szCs w:val="24"/>
          <w:lang w:val="en-GB"/>
        </w:rPr>
        <w:t>the right to move and reside freely within the territory of the Member States</w:t>
      </w:r>
      <w:r w:rsidR="00A50A1A" w:rsidRPr="009C5368">
        <w:rPr>
          <w:rFonts w:asciiTheme="minorHAnsi" w:eastAsia="Segoe UI" w:hAnsiTheme="minorHAnsi" w:cstheme="minorHAnsi"/>
          <w:sz w:val="24"/>
          <w:szCs w:val="24"/>
          <w:lang w:val="en-GB"/>
        </w:rPr>
        <w:t>”</w:t>
      </w:r>
      <w:r w:rsidRPr="009C5368">
        <w:rPr>
          <w:rFonts w:asciiTheme="minorHAnsi" w:eastAsia="Segoe UI" w:hAnsiTheme="minorHAnsi" w:cstheme="minorHAnsi"/>
          <w:sz w:val="24"/>
          <w:szCs w:val="24"/>
          <w:lang w:val="en-GB"/>
        </w:rPr>
        <w:t>.</w:t>
      </w:r>
      <w:r w:rsidRPr="008F51C6">
        <w:rPr>
          <w:rFonts w:asciiTheme="minorHAnsi" w:eastAsia="Segoe UI" w:hAnsiTheme="minorHAnsi" w:cstheme="minorHAnsi"/>
          <w:sz w:val="24"/>
          <w:szCs w:val="24"/>
          <w:lang w:val="en-GB"/>
        </w:rPr>
        <w:t xml:space="preserve"> </w:t>
      </w:r>
      <w:r w:rsidRPr="0078510A">
        <w:rPr>
          <w:rStyle w:val="Emphasis"/>
        </w:rPr>
        <w:t>Article 45 (2) of the EU</w:t>
      </w:r>
      <w:r w:rsidRPr="003C6FD7">
        <w:rPr>
          <w:rStyle w:val="Emphasis"/>
        </w:rPr>
        <w:t xml:space="preserve"> Charter</w:t>
      </w:r>
      <w:r w:rsidRPr="008F51C6">
        <w:rPr>
          <w:rFonts w:asciiTheme="minorHAnsi" w:eastAsia="Segoe UI" w:hAnsiTheme="minorHAnsi" w:cstheme="minorHAnsi"/>
          <w:sz w:val="24"/>
          <w:szCs w:val="24"/>
          <w:lang w:val="en-GB"/>
        </w:rPr>
        <w:t xml:space="preserve"> states that nationals of third countries legally residing in the territory of an EU Member State may also be granted freedom of movement. </w:t>
      </w:r>
    </w:p>
    <w:p w14:paraId="23937799" w14:textId="48045A12" w:rsidR="00052F84" w:rsidRPr="008F51C6" w:rsidRDefault="00052F84" w:rsidP="008F51C6">
      <w:pPr>
        <w:spacing w:before="120" w:after="120" w:line="360" w:lineRule="auto"/>
        <w:rPr>
          <w:rFonts w:asciiTheme="minorHAnsi" w:eastAsia="Segoe UI" w:hAnsiTheme="minorHAnsi"/>
          <w:sz w:val="24"/>
          <w:szCs w:val="24"/>
          <w:lang w:val="en-GB"/>
        </w:rPr>
      </w:pPr>
      <w:r w:rsidRPr="008F51C6">
        <w:rPr>
          <w:rFonts w:asciiTheme="minorHAnsi" w:eastAsia="Segoe UI" w:hAnsiTheme="minorHAnsi"/>
          <w:sz w:val="24"/>
          <w:szCs w:val="24"/>
          <w:lang w:val="en-GB"/>
        </w:rPr>
        <w:t xml:space="preserve">Conditions governing the exercise of the right of free movement and residence within the territory of the Member States by EU citizens and their family members are further governed by the </w:t>
      </w:r>
      <w:r w:rsidRPr="003C6FD7">
        <w:rPr>
          <w:rStyle w:val="Emphasis"/>
        </w:rPr>
        <w:t>Directive 2004/38/EC of the European Parliament and the Council of 29 April 2004 on the right of citizens of the Union and their family members to move and reside freely within the territory of the Member States amending Regulation (EEC) No 1612/68 and repealing Directives 64/221/EEC, 68/360/EEC, 72/194/EEC, 73/148/EEC, 75/34/EEC, 75/35/EEC, 90/364/EEC, 90/365/EEC and 93/96/EEC</w:t>
      </w:r>
      <w:r w:rsidRPr="008F51C6">
        <w:rPr>
          <w:rFonts w:asciiTheme="minorHAnsi" w:eastAsia="Segoe UI" w:hAnsiTheme="minorHAnsi"/>
          <w:sz w:val="24"/>
          <w:szCs w:val="24"/>
          <w:lang w:val="en-GB"/>
        </w:rPr>
        <w:t xml:space="preserve">. In its preamble, the Directive states that it should be implemented without discrimination between the beneficiaries of this Directive on grounds such as sex, race, colour, ethnic or social origin, genetic characteristics, language, religion or beliefs, political or other opinion, membership of an ethnic minority, property, birth, disability, age or </w:t>
      </w:r>
      <w:r w:rsidRPr="007E30B4">
        <w:rPr>
          <w:rStyle w:val="Emphasis"/>
        </w:rPr>
        <w:t>sexual orientation</w:t>
      </w:r>
      <w:r w:rsidRPr="008F51C6">
        <w:rPr>
          <w:rFonts w:asciiTheme="minorHAnsi" w:eastAsia="Segoe UI" w:hAnsiTheme="minorHAnsi"/>
          <w:sz w:val="24"/>
          <w:szCs w:val="24"/>
          <w:lang w:val="en-GB"/>
        </w:rPr>
        <w:t xml:space="preserve">. The provisions of the </w:t>
      </w:r>
      <w:r w:rsidRPr="003C6FD7">
        <w:rPr>
          <w:rStyle w:val="Emphasis"/>
        </w:rPr>
        <w:t>Family Reunification Directive</w:t>
      </w:r>
      <w:r w:rsidRPr="008F51C6">
        <w:rPr>
          <w:rStyle w:val="FootnoteReference"/>
          <w:rFonts w:asciiTheme="minorHAnsi" w:eastAsia="Segoe UI" w:hAnsiTheme="minorHAnsi"/>
          <w:sz w:val="24"/>
          <w:szCs w:val="24"/>
          <w:lang w:val="en-GB"/>
        </w:rPr>
        <w:footnoteReference w:id="2"/>
      </w:r>
      <w:r w:rsidRPr="008F51C6">
        <w:rPr>
          <w:rFonts w:asciiTheme="minorHAnsi" w:eastAsia="Segoe UI" w:hAnsiTheme="minorHAnsi"/>
          <w:sz w:val="24"/>
          <w:szCs w:val="24"/>
          <w:lang w:val="en-GB"/>
        </w:rPr>
        <w:t xml:space="preserve"> have been the </w:t>
      </w:r>
      <w:r w:rsidR="00D011D3" w:rsidRPr="008F51C6">
        <w:rPr>
          <w:rFonts w:asciiTheme="minorHAnsi" w:eastAsia="Segoe UI" w:hAnsiTheme="minorHAnsi"/>
          <w:sz w:val="24"/>
          <w:szCs w:val="24"/>
          <w:lang w:val="en-GB"/>
        </w:rPr>
        <w:t>point of reference</w:t>
      </w:r>
      <w:r w:rsidRPr="008F51C6">
        <w:rPr>
          <w:rStyle w:val="FootnoteReference"/>
          <w:rFonts w:asciiTheme="minorHAnsi" w:eastAsia="Segoe UI" w:hAnsiTheme="minorHAnsi"/>
          <w:sz w:val="24"/>
          <w:szCs w:val="24"/>
          <w:lang w:val="en-GB"/>
        </w:rPr>
        <w:footnoteReference w:id="3"/>
      </w:r>
      <w:r w:rsidR="00D011D3" w:rsidRPr="008F51C6">
        <w:rPr>
          <w:rFonts w:asciiTheme="minorHAnsi" w:eastAsia="Segoe UI" w:hAnsiTheme="minorHAnsi"/>
          <w:sz w:val="24"/>
          <w:szCs w:val="24"/>
          <w:lang w:val="en-GB"/>
        </w:rPr>
        <w:t xml:space="preserve"> </w:t>
      </w:r>
      <w:r w:rsidRPr="008F51C6">
        <w:rPr>
          <w:rFonts w:asciiTheme="minorHAnsi" w:eastAsia="Segoe UI" w:hAnsiTheme="minorHAnsi"/>
          <w:sz w:val="24"/>
          <w:szCs w:val="24"/>
          <w:lang w:val="en-GB"/>
        </w:rPr>
        <w:t xml:space="preserve">of CJEU decisions giving grounds </w:t>
      </w:r>
      <w:r w:rsidRPr="008F51C6">
        <w:rPr>
          <w:rFonts w:asciiTheme="minorHAnsi" w:eastAsia="Segoe UI" w:hAnsiTheme="minorHAnsi"/>
          <w:sz w:val="24"/>
          <w:szCs w:val="24"/>
          <w:lang w:val="en-GB"/>
        </w:rPr>
        <w:lastRenderedPageBreak/>
        <w:t>for mutual recognition of same-sex partnerships and same-sex parenthood established in one EU Member State by other Member States when exercising the free movement rights. </w:t>
      </w:r>
    </w:p>
    <w:p w14:paraId="6B5FE0B3" w14:textId="0572E9C6" w:rsidR="00052F84" w:rsidRPr="00501328" w:rsidRDefault="00052F84" w:rsidP="008F51C6">
      <w:pPr>
        <w:spacing w:before="120" w:after="120" w:line="360" w:lineRule="auto"/>
        <w:rPr>
          <w:rFonts w:asciiTheme="minorHAnsi" w:eastAsia="Segoe UI" w:hAnsiTheme="minorHAnsi"/>
          <w:sz w:val="24"/>
          <w:szCs w:val="24"/>
          <w:lang w:val="en-GB"/>
        </w:rPr>
      </w:pPr>
      <w:r w:rsidRPr="008F51C6">
        <w:rPr>
          <w:rFonts w:asciiTheme="minorHAnsi" w:eastAsia="Segoe UI" w:hAnsiTheme="minorHAnsi"/>
          <w:sz w:val="24"/>
          <w:szCs w:val="24"/>
          <w:lang w:val="en-GB"/>
        </w:rPr>
        <w:t>For the purposes of this Directive, the term family member enjoying automatic family reunification rights includes, among others</w:t>
      </w:r>
      <w:r w:rsidRPr="00501328">
        <w:rPr>
          <w:rFonts w:asciiTheme="minorHAnsi" w:eastAsia="Segoe UI" w:hAnsiTheme="minorHAnsi"/>
          <w:sz w:val="24"/>
          <w:szCs w:val="24"/>
          <w:lang w:val="en-GB"/>
        </w:rPr>
        <w:t>, “the spouse”</w:t>
      </w:r>
      <w:r w:rsidRPr="00501328">
        <w:rPr>
          <w:rStyle w:val="FootnoteReference"/>
          <w:rFonts w:asciiTheme="minorHAnsi" w:eastAsia="Segoe UI" w:hAnsiTheme="minorHAnsi"/>
          <w:sz w:val="24"/>
          <w:szCs w:val="24"/>
          <w:lang w:val="en-GB"/>
        </w:rPr>
        <w:footnoteReference w:id="4"/>
      </w:r>
      <w:r w:rsidRPr="008F51C6">
        <w:rPr>
          <w:rFonts w:asciiTheme="minorHAnsi" w:eastAsia="Segoe UI" w:hAnsiTheme="minorHAnsi"/>
          <w:sz w:val="24"/>
          <w:szCs w:val="24"/>
          <w:lang w:val="en-GB"/>
        </w:rPr>
        <w:t xml:space="preserve"> and </w:t>
      </w:r>
      <w:r w:rsidRPr="00501328">
        <w:rPr>
          <w:rFonts w:asciiTheme="minorHAnsi" w:eastAsia="Segoe UI" w:hAnsiTheme="minorHAnsi"/>
          <w:sz w:val="24"/>
          <w:szCs w:val="24"/>
          <w:lang w:val="en-GB"/>
        </w:rPr>
        <w:t>“the partner with whom the Union citizen has contracted a registered partnership, on the basis of the legislation of a Member State, if the legislation of the host Member State treats registered partnerships as equivalent to marriage and in accordance with the conditions laid down in the relevant legislation of the host Member State”</w:t>
      </w:r>
      <w:r w:rsidRPr="008F51C6">
        <w:rPr>
          <w:rFonts w:asciiTheme="minorHAnsi" w:eastAsia="Segoe UI" w:hAnsiTheme="minorHAnsi"/>
          <w:sz w:val="24"/>
          <w:szCs w:val="24"/>
          <w:lang w:val="en-GB"/>
        </w:rPr>
        <w:t>.</w:t>
      </w:r>
      <w:r w:rsidRPr="008F51C6">
        <w:rPr>
          <w:rStyle w:val="FootnoteReference"/>
          <w:rFonts w:asciiTheme="minorHAnsi" w:eastAsia="Segoe UI" w:hAnsiTheme="minorHAnsi"/>
          <w:sz w:val="24"/>
          <w:szCs w:val="24"/>
          <w:lang w:val="en-GB"/>
        </w:rPr>
        <w:footnoteReference w:id="5"/>
      </w:r>
      <w:r w:rsidRPr="008F51C6">
        <w:rPr>
          <w:rFonts w:asciiTheme="minorHAnsi" w:eastAsia="Segoe UI" w:hAnsiTheme="minorHAnsi"/>
          <w:sz w:val="24"/>
          <w:szCs w:val="24"/>
          <w:lang w:val="en-GB"/>
        </w:rPr>
        <w:t xml:space="preserve"> </w:t>
      </w:r>
      <w:r w:rsidRPr="008F51C6">
        <w:rPr>
          <w:rFonts w:asciiTheme="minorHAnsi" w:eastAsia="Segoe UI" w:hAnsiTheme="minorHAnsi"/>
          <w:sz w:val="24"/>
          <w:szCs w:val="24"/>
          <w:vertAlign w:val="superscript"/>
          <w:lang w:val="en-GB"/>
        </w:rPr>
        <w:t xml:space="preserve"> </w:t>
      </w:r>
      <w:r w:rsidRPr="008F51C6">
        <w:rPr>
          <w:rFonts w:asciiTheme="minorHAnsi" w:eastAsia="Segoe UI" w:hAnsiTheme="minorHAnsi"/>
          <w:sz w:val="24"/>
          <w:szCs w:val="24"/>
          <w:lang w:val="en-GB"/>
        </w:rPr>
        <w:t xml:space="preserve">The term spouse has been defined by the CJEU in case </w:t>
      </w:r>
      <w:r w:rsidRPr="00C012BA">
        <w:rPr>
          <w:rStyle w:val="Emphasis"/>
        </w:rPr>
        <w:t>Coman</w:t>
      </w:r>
      <w:r w:rsidRPr="008F51C6">
        <w:rPr>
          <w:rFonts w:asciiTheme="minorHAnsi" w:eastAsia="Segoe UI" w:hAnsiTheme="minorHAnsi"/>
          <w:sz w:val="24"/>
          <w:szCs w:val="24"/>
          <w:lang w:val="en-GB"/>
        </w:rPr>
        <w:t xml:space="preserve"> as gender-neutral, applying also to a same-sex spouse of an EU citizen to whom he or she is married.</w:t>
      </w:r>
      <w:r w:rsidRPr="008F51C6">
        <w:rPr>
          <w:rStyle w:val="FootnoteReference"/>
          <w:rFonts w:asciiTheme="minorHAnsi" w:eastAsia="Segoe UI" w:hAnsiTheme="minorHAnsi"/>
          <w:sz w:val="24"/>
          <w:szCs w:val="24"/>
          <w:lang w:val="en-GB"/>
        </w:rPr>
        <w:footnoteReference w:id="6"/>
      </w:r>
      <w:r w:rsidRPr="008F51C6">
        <w:rPr>
          <w:rFonts w:asciiTheme="minorHAnsi" w:eastAsia="Segoe UI" w:hAnsiTheme="minorHAnsi"/>
          <w:sz w:val="24"/>
          <w:szCs w:val="24"/>
          <w:lang w:val="en-GB"/>
        </w:rPr>
        <w:t xml:space="preserve"> This case involved a same-sex married couple, Mr. Coman, who was both Romanian and American citizen, and his husband, Mr. Hamilton, an American citizen, who married in Belgium and later on in their life wished to settle permanently in Romania together, relying on the family reunification rights that Mr. Coman enjoyed under the EU free movement law. </w:t>
      </w:r>
      <w:r w:rsidR="00DC5C64" w:rsidRPr="008F51C6">
        <w:rPr>
          <w:rFonts w:asciiTheme="minorHAnsi" w:eastAsia="Segoe UI" w:hAnsiTheme="minorHAnsi"/>
          <w:sz w:val="24"/>
          <w:szCs w:val="24"/>
          <w:lang w:val="en-GB"/>
        </w:rPr>
        <w:t xml:space="preserve">The </w:t>
      </w:r>
      <w:r w:rsidRPr="008F51C6">
        <w:rPr>
          <w:rFonts w:asciiTheme="minorHAnsi" w:eastAsia="Segoe UI" w:hAnsiTheme="minorHAnsi"/>
          <w:sz w:val="24"/>
          <w:szCs w:val="24"/>
          <w:lang w:val="en-GB"/>
        </w:rPr>
        <w:t>CJEU argued that allowing Member States the freedom to grant or refuse entry into and residence in their territory to a third-country national married to an EU citizen in another EU Member State in accordance with its national law based on whether or not national laws of the host Member State allow same-sex marriages, would cause that the freedom of movement of EU citizens who have already made use of that freedom would vary from one Member State to another, depending on whether such provisions of national law exist.</w:t>
      </w:r>
      <w:r w:rsidRPr="008F51C6">
        <w:rPr>
          <w:rStyle w:val="FootnoteReference"/>
          <w:rFonts w:asciiTheme="minorHAnsi" w:eastAsia="Segoe UI" w:hAnsiTheme="minorHAnsi"/>
          <w:sz w:val="24"/>
          <w:szCs w:val="24"/>
          <w:lang w:val="en-GB"/>
        </w:rPr>
        <w:footnoteReference w:id="7"/>
      </w:r>
      <w:r w:rsidRPr="008F51C6">
        <w:rPr>
          <w:rFonts w:asciiTheme="minorHAnsi" w:eastAsia="Segoe UI" w:hAnsiTheme="minorHAnsi"/>
          <w:sz w:val="24"/>
          <w:szCs w:val="24"/>
          <w:lang w:val="en-GB"/>
        </w:rPr>
        <w:t xml:space="preserve"> </w:t>
      </w:r>
      <w:r w:rsidR="001911D9" w:rsidRPr="008F51C6">
        <w:rPr>
          <w:rFonts w:asciiTheme="minorHAnsi" w:eastAsia="Segoe UI" w:hAnsiTheme="minorHAnsi"/>
          <w:sz w:val="24"/>
          <w:szCs w:val="24"/>
          <w:lang w:val="en-GB"/>
        </w:rPr>
        <w:t xml:space="preserve">The </w:t>
      </w:r>
      <w:r w:rsidRPr="008F51C6">
        <w:rPr>
          <w:rFonts w:asciiTheme="minorHAnsi" w:eastAsia="Segoe UI" w:hAnsiTheme="minorHAnsi"/>
          <w:sz w:val="24"/>
          <w:szCs w:val="24"/>
          <w:lang w:val="en-GB"/>
        </w:rPr>
        <w:t xml:space="preserve">CJEU also noted that the obligation for a Member State to recognise a same-sex marriage entered into in another Member State in accordance with the law of that state, for the sole purpose of granting a derived right of residence to a third-country national and to enable such persons to exercise the rights they enjoy under EU law, does not undermine the competence of Member States to define the instrument of marriage by national law. </w:t>
      </w:r>
      <w:r w:rsidRPr="00501328">
        <w:rPr>
          <w:rFonts w:asciiTheme="minorHAnsi" w:eastAsia="Segoe UI" w:hAnsiTheme="minorHAnsi"/>
          <w:sz w:val="24"/>
          <w:szCs w:val="24"/>
          <w:lang w:val="en-GB"/>
        </w:rPr>
        <w:t xml:space="preserve">“Accordingly, an obligation to recognise such marriages for the </w:t>
      </w:r>
      <w:r w:rsidRPr="00501328">
        <w:rPr>
          <w:rFonts w:asciiTheme="minorHAnsi" w:eastAsia="Segoe UI" w:hAnsiTheme="minorHAnsi"/>
          <w:sz w:val="24"/>
          <w:szCs w:val="24"/>
          <w:lang w:val="en-GB"/>
        </w:rPr>
        <w:lastRenderedPageBreak/>
        <w:t>sole purpose of granting a derived right of residence to a third-country national does not undermine the national identity or pose a threat to the public policy of the Member State concerned.</w:t>
      </w:r>
      <w:r w:rsidR="00501328">
        <w:rPr>
          <w:rFonts w:asciiTheme="minorHAnsi" w:eastAsia="Segoe UI" w:hAnsiTheme="minorHAnsi"/>
          <w:sz w:val="24"/>
          <w:szCs w:val="24"/>
          <w:lang w:val="en-GB"/>
        </w:rPr>
        <w:t>”</w:t>
      </w:r>
      <w:r w:rsidRPr="00501328">
        <w:rPr>
          <w:rStyle w:val="FootnoteReference"/>
          <w:rFonts w:asciiTheme="minorHAnsi" w:eastAsia="Segoe UI" w:hAnsiTheme="minorHAnsi"/>
          <w:sz w:val="24"/>
          <w:szCs w:val="24"/>
          <w:lang w:val="en-GB"/>
        </w:rPr>
        <w:footnoteReference w:id="8"/>
      </w:r>
      <w:r w:rsidRPr="00501328">
        <w:rPr>
          <w:rFonts w:asciiTheme="minorHAnsi" w:eastAsia="Segoe UI" w:hAnsiTheme="minorHAnsi"/>
          <w:sz w:val="24"/>
          <w:szCs w:val="24"/>
          <w:lang w:val="en-GB"/>
        </w:rPr>
        <w:t> </w:t>
      </w:r>
    </w:p>
    <w:p w14:paraId="583C351A" w14:textId="5B0A2639" w:rsidR="00052F84" w:rsidRPr="008F51C6" w:rsidRDefault="00052F84" w:rsidP="008F51C6">
      <w:pPr>
        <w:spacing w:before="120" w:after="120" w:line="360" w:lineRule="auto"/>
        <w:rPr>
          <w:rFonts w:asciiTheme="minorHAnsi" w:eastAsia="Segoe UI" w:hAnsiTheme="minorHAnsi"/>
          <w:sz w:val="24"/>
          <w:szCs w:val="24"/>
          <w:lang w:val="en-GB"/>
        </w:rPr>
      </w:pPr>
      <w:r w:rsidRPr="008F51C6">
        <w:rPr>
          <w:rFonts w:asciiTheme="minorHAnsi" w:eastAsia="Segoe UI" w:hAnsiTheme="minorHAnsi"/>
          <w:sz w:val="24"/>
          <w:szCs w:val="24"/>
          <w:lang w:val="en-GB"/>
        </w:rPr>
        <w:t xml:space="preserve">Furthermore, under the Directive 2004/38/EC, </w:t>
      </w:r>
      <w:r w:rsidRPr="002A13B5">
        <w:rPr>
          <w:rStyle w:val="Emphasis"/>
        </w:rPr>
        <w:t>discretionary family reunification rights are granted to persons who have a certain relationship with an EU citizen, including “any other family members, irrespective of their nationality, not falling under the definition [a family member</w:t>
      </w:r>
      <w:r w:rsidRPr="002A5643">
        <w:rPr>
          <w:rStyle w:val="Emphasis"/>
        </w:rPr>
        <w:t>]</w:t>
      </w:r>
      <w:r w:rsidRPr="002A5643">
        <w:rPr>
          <w:rFonts w:asciiTheme="minorHAnsi" w:eastAsia="Segoe UI" w:hAnsiTheme="minorHAnsi"/>
          <w:sz w:val="24"/>
          <w:szCs w:val="24"/>
          <w:lang w:val="en-GB"/>
        </w:rPr>
        <w:t>, in the country from which they have come, are dependents or members of the household of the Union citizen having the primary right of residence….” and “the partner with whom the Union citizen has a durable relationship, duly attested”.</w:t>
      </w:r>
      <w:r w:rsidRPr="002A5643">
        <w:rPr>
          <w:rStyle w:val="FootnoteReference"/>
          <w:rFonts w:asciiTheme="minorHAnsi" w:eastAsia="Segoe UI" w:hAnsiTheme="minorHAnsi"/>
          <w:sz w:val="24"/>
          <w:szCs w:val="24"/>
          <w:lang w:val="en-GB"/>
        </w:rPr>
        <w:footnoteReference w:id="9"/>
      </w:r>
      <w:r w:rsidRPr="002A5643">
        <w:rPr>
          <w:rFonts w:asciiTheme="minorHAnsi" w:eastAsia="Segoe UI" w:hAnsiTheme="minorHAnsi"/>
          <w:sz w:val="24"/>
          <w:szCs w:val="24"/>
          <w:lang w:val="en-GB"/>
        </w:rPr>
        <w:t xml:space="preserve"> With</w:t>
      </w:r>
      <w:r w:rsidRPr="008F51C6">
        <w:rPr>
          <w:rFonts w:asciiTheme="minorHAnsi" w:eastAsia="Segoe UI" w:hAnsiTheme="minorHAnsi"/>
          <w:sz w:val="24"/>
          <w:szCs w:val="24"/>
          <w:lang w:val="en-GB"/>
        </w:rPr>
        <w:t xml:space="preserve"> regards to these groups of persons, the host Member States have the duty to facilitate their entry and residence.  </w:t>
      </w:r>
    </w:p>
    <w:p w14:paraId="677528D2" w14:textId="7AE41731" w:rsidR="00052F84" w:rsidRPr="008F51C6" w:rsidRDefault="00052F84" w:rsidP="006773AE">
      <w:pPr>
        <w:spacing w:before="120" w:after="120" w:line="360" w:lineRule="auto"/>
        <w:rPr>
          <w:rFonts w:asciiTheme="minorHAnsi" w:eastAsia="Segoe UI" w:hAnsiTheme="minorHAnsi"/>
          <w:sz w:val="24"/>
          <w:szCs w:val="24"/>
          <w:lang w:val="en-GB"/>
        </w:rPr>
      </w:pPr>
      <w:r w:rsidRPr="008F51C6">
        <w:rPr>
          <w:rFonts w:asciiTheme="minorHAnsi" w:eastAsia="Segoe UI" w:hAnsiTheme="minorHAnsi"/>
          <w:sz w:val="24"/>
          <w:szCs w:val="24"/>
          <w:lang w:val="en-GB"/>
        </w:rPr>
        <w:t xml:space="preserve">In order to promote the free movement of persons within the EU, the EU has adopted the </w:t>
      </w:r>
      <w:r w:rsidRPr="002A13B5">
        <w:rPr>
          <w:rStyle w:val="Emphasis"/>
        </w:rPr>
        <w:t>Regulation 2016/1191 of the European Parliament and of the Council of 6 July 2016 on promoting the free movement of citizens by simplifying the requirements for presenting certain public documents in the European Union and amending Regulation (EU) No 1024/2012</w:t>
      </w:r>
      <w:r w:rsidRPr="008F51C6">
        <w:rPr>
          <w:rFonts w:asciiTheme="minorHAnsi" w:eastAsia="Segoe UI" w:hAnsiTheme="minorHAnsi"/>
          <w:sz w:val="24"/>
          <w:szCs w:val="24"/>
          <w:lang w:val="en-GB"/>
        </w:rPr>
        <w:t xml:space="preserve">. It sets out a system for further simplification of administrative formalities for the circulation of certain public documents and their certified copies issued by a Member State authority for presentation in another Member State. It applies to public documents concerning various issues of personal status, including inter alia </w:t>
      </w:r>
      <w:r w:rsidRPr="002A13B5">
        <w:rPr>
          <w:rStyle w:val="Emphasis"/>
        </w:rPr>
        <w:t>registered partnerships</w:t>
      </w:r>
      <w:r w:rsidRPr="002A13B5">
        <w:rPr>
          <w:rFonts w:asciiTheme="minorHAnsi" w:eastAsia="Segoe UI" w:hAnsiTheme="minorHAnsi"/>
          <w:sz w:val="24"/>
          <w:szCs w:val="24"/>
          <w:lang w:val="en-GB"/>
        </w:rPr>
        <w:t>,</w:t>
      </w:r>
      <w:r w:rsidRPr="008F51C6">
        <w:rPr>
          <w:rFonts w:asciiTheme="minorHAnsi" w:eastAsia="Segoe UI" w:hAnsiTheme="minorHAnsi"/>
          <w:sz w:val="24"/>
          <w:szCs w:val="24"/>
          <w:lang w:val="en-GB"/>
        </w:rPr>
        <w:t xml:space="preserve"> </w:t>
      </w:r>
      <w:r w:rsidR="38BDE3DE" w:rsidRPr="008F51C6">
        <w:rPr>
          <w:rFonts w:asciiTheme="minorHAnsi" w:eastAsia="Segoe UI" w:hAnsiTheme="minorHAnsi"/>
          <w:sz w:val="24"/>
          <w:szCs w:val="24"/>
          <w:lang w:val="en-GB"/>
        </w:rPr>
        <w:t>i.e.,</w:t>
      </w:r>
      <w:r w:rsidRPr="008F51C6">
        <w:rPr>
          <w:rFonts w:asciiTheme="minorHAnsi" w:eastAsia="Segoe UI" w:hAnsiTheme="minorHAnsi"/>
          <w:sz w:val="24"/>
          <w:szCs w:val="24"/>
          <w:lang w:val="en-GB"/>
        </w:rPr>
        <w:t xml:space="preserve"> the capacity to enter into a registered partnership and the registered partnership status.</w:t>
      </w:r>
    </w:p>
    <w:p w14:paraId="14ABE718" w14:textId="77777777" w:rsidR="00052F84" w:rsidRPr="00CA1527" w:rsidRDefault="00052F84" w:rsidP="001F0D75">
      <w:pPr>
        <w:pStyle w:val="Heading3"/>
      </w:pPr>
      <w:bookmarkStart w:id="14" w:name="_Toc157782130"/>
      <w:r w:rsidRPr="00CA1527">
        <w:t>EU anti-discrimination framework and mutual recognition of partnerships</w:t>
      </w:r>
      <w:bookmarkEnd w:id="14"/>
      <w:r w:rsidRPr="00CA1527">
        <w:t> </w:t>
      </w:r>
    </w:p>
    <w:p w14:paraId="21CD3F4A" w14:textId="5A910120" w:rsidR="00052F84" w:rsidRPr="00105CA0" w:rsidRDefault="00052F84" w:rsidP="00105CA0">
      <w:pPr>
        <w:spacing w:before="120" w:after="120" w:line="360" w:lineRule="auto"/>
        <w:rPr>
          <w:rFonts w:asciiTheme="minorHAnsi" w:eastAsia="Segoe UI" w:hAnsiTheme="minorHAnsi"/>
          <w:sz w:val="24"/>
          <w:szCs w:val="24"/>
          <w:lang w:val="en-GB"/>
        </w:rPr>
      </w:pPr>
      <w:r w:rsidRPr="00105CA0">
        <w:rPr>
          <w:rFonts w:asciiTheme="minorHAnsi" w:eastAsia="Segoe UI" w:hAnsiTheme="minorHAnsi"/>
          <w:sz w:val="24"/>
          <w:szCs w:val="24"/>
          <w:lang w:val="en-GB"/>
        </w:rPr>
        <w:t xml:space="preserve">In its </w:t>
      </w:r>
      <w:r w:rsidRPr="002A13B5">
        <w:rPr>
          <w:rStyle w:val="Emphasis"/>
        </w:rPr>
        <w:t>LGBTIQ Equality Strategy 2020-2025</w:t>
      </w:r>
      <w:r w:rsidRPr="002A13B5">
        <w:rPr>
          <w:rFonts w:asciiTheme="minorHAnsi" w:eastAsia="Segoe UI" w:hAnsiTheme="minorHAnsi"/>
          <w:sz w:val="24"/>
          <w:szCs w:val="24"/>
          <w:lang w:val="en-GB"/>
        </w:rPr>
        <w:t>,</w:t>
      </w:r>
      <w:r w:rsidRPr="00105CA0">
        <w:rPr>
          <w:rFonts w:asciiTheme="minorHAnsi" w:eastAsia="Segoe UI" w:hAnsiTheme="minorHAnsi"/>
          <w:b/>
          <w:bCs/>
          <w:sz w:val="24"/>
          <w:szCs w:val="24"/>
          <w:lang w:val="en-GB"/>
        </w:rPr>
        <w:t xml:space="preserve"> </w:t>
      </w:r>
      <w:r w:rsidRPr="00105CA0">
        <w:rPr>
          <w:rFonts w:asciiTheme="minorHAnsi" w:eastAsia="Segoe UI" w:hAnsiTheme="minorHAnsi"/>
          <w:sz w:val="24"/>
          <w:szCs w:val="24"/>
          <w:lang w:val="en-GB"/>
        </w:rPr>
        <w:t xml:space="preserve">the European Commission expressed its intention to keep ensuring the correct application of free movement law, including the </w:t>
      </w:r>
      <w:r w:rsidRPr="002A13B5">
        <w:rPr>
          <w:rStyle w:val="Emphasis"/>
        </w:rPr>
        <w:t>Coman</w:t>
      </w:r>
      <w:r w:rsidRPr="00105CA0">
        <w:rPr>
          <w:rFonts w:asciiTheme="minorHAnsi" w:eastAsia="Segoe UI" w:hAnsiTheme="minorHAnsi"/>
          <w:sz w:val="24"/>
          <w:szCs w:val="24"/>
          <w:lang w:val="en-GB"/>
        </w:rPr>
        <w:t xml:space="preserve"> judgement, in order to address specific difficulties preventing LGBTIQ people and their families from enjoying their rights. Among the key actions in this area, the European </w:t>
      </w:r>
      <w:r w:rsidRPr="00105CA0">
        <w:rPr>
          <w:rFonts w:asciiTheme="minorHAnsi" w:eastAsia="Segoe UI" w:hAnsiTheme="minorHAnsi"/>
          <w:sz w:val="24"/>
          <w:szCs w:val="24"/>
          <w:lang w:val="en-GB"/>
        </w:rPr>
        <w:lastRenderedPageBreak/>
        <w:t>Commission committed to review the 2009 guidelines on free movement</w:t>
      </w:r>
      <w:r w:rsidRPr="00105CA0">
        <w:rPr>
          <w:rStyle w:val="FootnoteReference"/>
          <w:rFonts w:asciiTheme="minorHAnsi" w:eastAsia="Segoe UI" w:hAnsiTheme="minorHAnsi"/>
          <w:sz w:val="24"/>
          <w:szCs w:val="24"/>
          <w:lang w:val="en-GB"/>
        </w:rPr>
        <w:footnoteReference w:id="10"/>
      </w:r>
      <w:r w:rsidRPr="00105CA0">
        <w:rPr>
          <w:rFonts w:asciiTheme="minorHAnsi" w:eastAsia="Segoe UI" w:hAnsiTheme="minorHAnsi"/>
          <w:sz w:val="24"/>
          <w:szCs w:val="24"/>
          <w:lang w:val="en-GB"/>
        </w:rPr>
        <w:t xml:space="preserve"> to reflect the diversity of families and contribute to facilitating the exercise of free movement rights for all families, including rainbow families as well as to explore possible measures to support the mutual recognition of same-gender partnership between Member States.</w:t>
      </w:r>
      <w:r w:rsidRPr="00105CA0">
        <w:rPr>
          <w:rStyle w:val="FootnoteReference"/>
          <w:rFonts w:asciiTheme="minorHAnsi" w:eastAsia="Segoe UI" w:hAnsiTheme="minorHAnsi"/>
          <w:sz w:val="24"/>
          <w:szCs w:val="24"/>
          <w:lang w:val="en-GB"/>
        </w:rPr>
        <w:footnoteReference w:id="11"/>
      </w:r>
      <w:r w:rsidRPr="00105CA0">
        <w:rPr>
          <w:rFonts w:asciiTheme="minorHAnsi" w:eastAsia="Segoe UI" w:hAnsiTheme="minorHAnsi"/>
          <w:sz w:val="24"/>
          <w:szCs w:val="24"/>
          <w:lang w:val="en-GB"/>
        </w:rPr>
        <w:t> </w:t>
      </w:r>
    </w:p>
    <w:p w14:paraId="5A01BCDE" w14:textId="073EDF4F" w:rsidR="00052F84" w:rsidRPr="00105CA0" w:rsidRDefault="0874B25A" w:rsidP="00105CA0">
      <w:pPr>
        <w:spacing w:before="120" w:after="120" w:line="360" w:lineRule="auto"/>
        <w:rPr>
          <w:rFonts w:asciiTheme="minorHAnsi" w:eastAsia="Segoe UI" w:hAnsiTheme="minorHAnsi"/>
          <w:sz w:val="24"/>
          <w:szCs w:val="24"/>
          <w:lang w:val="en-GB"/>
        </w:rPr>
      </w:pPr>
      <w:r w:rsidRPr="00105CA0">
        <w:rPr>
          <w:rFonts w:asciiTheme="minorHAnsi" w:eastAsia="Segoe UI" w:hAnsiTheme="minorHAnsi"/>
          <w:sz w:val="24"/>
          <w:szCs w:val="24"/>
          <w:lang w:val="en-GB"/>
        </w:rPr>
        <w:t>G</w:t>
      </w:r>
      <w:r w:rsidR="00052F84" w:rsidRPr="00105CA0">
        <w:rPr>
          <w:rFonts w:asciiTheme="minorHAnsi" w:eastAsia="Segoe UI" w:hAnsiTheme="minorHAnsi"/>
          <w:sz w:val="24"/>
          <w:szCs w:val="24"/>
          <w:lang w:val="en-GB"/>
        </w:rPr>
        <w:t xml:space="preserve">eneral EU framework for the protection from discrimination on the ground of sexual orientation is </w:t>
      </w:r>
      <w:r w:rsidR="400EE1D0" w:rsidRPr="00105CA0">
        <w:rPr>
          <w:rFonts w:asciiTheme="minorHAnsi" w:eastAsia="Segoe UI" w:hAnsiTheme="minorHAnsi"/>
          <w:sz w:val="24"/>
          <w:szCs w:val="24"/>
          <w:lang w:val="en-GB"/>
        </w:rPr>
        <w:t>based on</w:t>
      </w:r>
      <w:r w:rsidR="00052F84" w:rsidRPr="00105CA0">
        <w:rPr>
          <w:rFonts w:asciiTheme="minorHAnsi" w:eastAsia="Segoe UI" w:hAnsiTheme="minorHAnsi"/>
          <w:sz w:val="24"/>
          <w:szCs w:val="24"/>
          <w:lang w:val="en-GB"/>
        </w:rPr>
        <w:t xml:space="preserve"> in </w:t>
      </w:r>
      <w:r w:rsidR="00052F84" w:rsidRPr="00124628">
        <w:rPr>
          <w:rStyle w:val="Emphasis"/>
        </w:rPr>
        <w:t>Article 19 TFEU</w:t>
      </w:r>
      <w:r w:rsidR="00052F84" w:rsidRPr="00105CA0">
        <w:rPr>
          <w:rFonts w:asciiTheme="minorHAnsi" w:eastAsia="Segoe UI" w:hAnsiTheme="minorHAnsi"/>
          <w:sz w:val="24"/>
          <w:szCs w:val="24"/>
          <w:lang w:val="en-GB"/>
        </w:rPr>
        <w:t xml:space="preserve"> granting the Council with the consent of the European Parliament the </w:t>
      </w:r>
      <w:r w:rsidR="00052F84" w:rsidRPr="002A5643">
        <w:rPr>
          <w:rFonts w:asciiTheme="minorHAnsi" w:eastAsia="Segoe UI" w:hAnsiTheme="minorHAnsi"/>
          <w:sz w:val="24"/>
          <w:szCs w:val="24"/>
          <w:lang w:val="en-GB"/>
        </w:rPr>
        <w:t>power to “take appropriate action to combat discrimination based on sex, racial or ethnic origin, religion or belief, disability, age or sexual orientation</w:t>
      </w:r>
      <w:r w:rsidR="00E16845" w:rsidRPr="002A5643">
        <w:rPr>
          <w:rFonts w:asciiTheme="minorHAnsi" w:eastAsia="Segoe UI" w:hAnsiTheme="minorHAnsi"/>
          <w:sz w:val="24"/>
          <w:szCs w:val="24"/>
          <w:lang w:val="en-GB"/>
        </w:rPr>
        <w:t>”</w:t>
      </w:r>
      <w:r w:rsidR="00052F84" w:rsidRPr="002A5643">
        <w:rPr>
          <w:rFonts w:asciiTheme="minorHAnsi" w:eastAsia="Segoe UI" w:hAnsiTheme="minorHAnsi"/>
          <w:sz w:val="24"/>
          <w:szCs w:val="24"/>
          <w:lang w:val="en-GB"/>
        </w:rPr>
        <w:t xml:space="preserve">. According to </w:t>
      </w:r>
      <w:r w:rsidR="00052F84" w:rsidRPr="002A5643">
        <w:rPr>
          <w:rStyle w:val="Emphasis"/>
        </w:rPr>
        <w:t>Article 21 (1) of the EU Charter</w:t>
      </w:r>
      <w:r w:rsidR="00052F84" w:rsidRPr="002A5643">
        <w:rPr>
          <w:rFonts w:asciiTheme="minorHAnsi" w:eastAsia="Segoe UI" w:hAnsiTheme="minorHAnsi"/>
          <w:b/>
          <w:bCs/>
          <w:sz w:val="24"/>
          <w:szCs w:val="24"/>
          <w:lang w:val="en-GB"/>
        </w:rPr>
        <w:t xml:space="preserve"> </w:t>
      </w:r>
      <w:r w:rsidR="00E16845" w:rsidRPr="002A5643">
        <w:rPr>
          <w:rFonts w:asciiTheme="minorHAnsi" w:eastAsia="Segoe UI" w:hAnsiTheme="minorHAnsi"/>
          <w:sz w:val="24"/>
          <w:szCs w:val="24"/>
          <w:lang w:val="en-GB"/>
        </w:rPr>
        <w:t>“</w:t>
      </w:r>
      <w:r w:rsidR="00052F84" w:rsidRPr="002A5643">
        <w:rPr>
          <w:rFonts w:asciiTheme="minorHAnsi" w:eastAsia="Segoe UI" w:hAnsiTheme="minorHAnsi"/>
          <w:sz w:val="24"/>
          <w:szCs w:val="24"/>
          <w:lang w:val="en-GB"/>
        </w:rPr>
        <w:t>Any discrimination based on any ground such as sex, race, colour, ethnic or social origin, genetic features, language, religion or belief, political or any other opinion, membership of a national minority, property, birth, disability, age or sexual orientation shall be prohibited.</w:t>
      </w:r>
      <w:r w:rsidR="005207C8" w:rsidRPr="002A5643">
        <w:rPr>
          <w:rFonts w:asciiTheme="minorHAnsi" w:eastAsia="Segoe UI" w:hAnsiTheme="minorHAnsi"/>
          <w:sz w:val="24"/>
          <w:szCs w:val="24"/>
          <w:lang w:val="en-GB"/>
        </w:rPr>
        <w:t>”</w:t>
      </w:r>
      <w:r w:rsidR="00052F84" w:rsidRPr="00105CA0">
        <w:rPr>
          <w:rFonts w:asciiTheme="minorHAnsi" w:eastAsia="Segoe UI" w:hAnsiTheme="minorHAnsi"/>
          <w:sz w:val="24"/>
          <w:szCs w:val="24"/>
          <w:lang w:val="en-GB"/>
        </w:rPr>
        <w:t xml:space="preserve">  Discrimination on the ground of sexual orientation is also prohibited in the area of employment and occupation by the </w:t>
      </w:r>
      <w:r w:rsidR="00052F84" w:rsidRPr="002A13B5">
        <w:rPr>
          <w:rStyle w:val="Emphasis"/>
        </w:rPr>
        <w:t>Directive 2000/78/EC of 27 November 2000 establishing a general framework for equal treatment in employment and occupation</w:t>
      </w:r>
      <w:r w:rsidR="00052F84" w:rsidRPr="00105CA0">
        <w:rPr>
          <w:rFonts w:asciiTheme="minorHAnsi" w:eastAsia="Segoe UI" w:hAnsiTheme="minorHAnsi"/>
          <w:sz w:val="24"/>
          <w:szCs w:val="24"/>
          <w:lang w:val="en-GB"/>
        </w:rPr>
        <w:t>. </w:t>
      </w:r>
    </w:p>
    <w:p w14:paraId="0CB6357B" w14:textId="16FC4BF2" w:rsidR="00052F84" w:rsidRPr="00105CA0" w:rsidRDefault="00052F84" w:rsidP="00105CA0">
      <w:pPr>
        <w:spacing w:before="120" w:after="120" w:line="360" w:lineRule="auto"/>
        <w:rPr>
          <w:rFonts w:asciiTheme="minorHAnsi" w:eastAsia="Segoe UI" w:hAnsiTheme="minorHAnsi"/>
          <w:sz w:val="24"/>
          <w:szCs w:val="24"/>
          <w:lang w:val="en-GB"/>
        </w:rPr>
      </w:pPr>
      <w:r w:rsidRPr="00105CA0">
        <w:rPr>
          <w:rFonts w:asciiTheme="minorHAnsi" w:eastAsia="Segoe UI" w:hAnsiTheme="minorHAnsi"/>
          <w:sz w:val="24"/>
          <w:szCs w:val="24"/>
          <w:lang w:val="en-GB"/>
        </w:rPr>
        <w:t>The interpretation of Directive 2000/78/EC by CJEU involved also cases concerning the level of rights granted to persons in same-sex partnerships. CJEU has ruled in several cases that in situations where a Member State provides in its national legislation for same-sex registered partnerships equivalent to marriage, while not allowing same-sex marriages, for certain purposes (such as pensions, special leave, salary bonuses etc.), employers must extend the treatment they afford to married couples also to registered partners.</w:t>
      </w:r>
      <w:r w:rsidRPr="00C24C92">
        <w:rPr>
          <w:rFonts w:asciiTheme="minorHAnsi" w:eastAsia="Segoe UI" w:hAnsiTheme="minorHAnsi"/>
          <w:sz w:val="24"/>
          <w:szCs w:val="24"/>
          <w:lang w:val="en-GB"/>
        </w:rPr>
        <w:t xml:space="preserve"> Otherwise</w:t>
      </w:r>
      <w:r w:rsidRPr="00105CA0">
        <w:rPr>
          <w:rFonts w:asciiTheme="minorHAnsi" w:eastAsia="Segoe UI" w:hAnsiTheme="minorHAnsi"/>
          <w:sz w:val="24"/>
          <w:szCs w:val="24"/>
          <w:lang w:val="en-GB"/>
        </w:rPr>
        <w:t xml:space="preserve">, the employers would be directly discriminating persons in registered partnerships based on </w:t>
      </w:r>
      <w:r w:rsidRPr="00105CA0">
        <w:rPr>
          <w:rFonts w:asciiTheme="minorHAnsi" w:eastAsia="Segoe UI" w:hAnsiTheme="minorHAnsi"/>
          <w:sz w:val="24"/>
          <w:szCs w:val="24"/>
          <w:lang w:val="en-GB"/>
        </w:rPr>
        <w:lastRenderedPageBreak/>
        <w:t>their sexual orientation.</w:t>
      </w:r>
      <w:r w:rsidRPr="00105CA0">
        <w:rPr>
          <w:rStyle w:val="FootnoteReference"/>
          <w:rFonts w:asciiTheme="minorHAnsi" w:eastAsia="Segoe UI" w:hAnsiTheme="minorHAnsi"/>
          <w:sz w:val="24"/>
          <w:szCs w:val="24"/>
          <w:lang w:val="en-GB"/>
        </w:rPr>
        <w:footnoteReference w:id="12"/>
      </w:r>
      <w:r w:rsidRPr="00105CA0">
        <w:rPr>
          <w:rFonts w:asciiTheme="minorHAnsi" w:eastAsia="Segoe UI" w:hAnsiTheme="minorHAnsi"/>
          <w:sz w:val="24"/>
          <w:szCs w:val="24"/>
          <w:lang w:val="en-GB"/>
        </w:rPr>
        <w:t xml:space="preserve"> Hence, in terms of free movement rights, </w:t>
      </w:r>
      <w:r w:rsidRPr="00C64C21">
        <w:rPr>
          <w:rStyle w:val="Emphasis"/>
        </w:rPr>
        <w:t xml:space="preserve">when the host Member State treats registered same-sex couples differently than </w:t>
      </w:r>
      <w:r w:rsidR="524F21AD" w:rsidRPr="00C64C21">
        <w:rPr>
          <w:rStyle w:val="Emphasis"/>
        </w:rPr>
        <w:t xml:space="preserve">married or </w:t>
      </w:r>
      <w:r w:rsidRPr="00C64C21">
        <w:rPr>
          <w:rStyle w:val="Emphasis"/>
        </w:rPr>
        <w:t>registered opposite-sex couples in relation to employment-related issues and benefits, such treatment is discriminatory</w:t>
      </w:r>
      <w:r w:rsidRPr="00105CA0">
        <w:rPr>
          <w:rFonts w:asciiTheme="minorHAnsi" w:eastAsia="Segoe UI" w:hAnsiTheme="minorHAnsi"/>
          <w:sz w:val="24"/>
          <w:szCs w:val="24"/>
          <w:lang w:val="en-GB"/>
        </w:rPr>
        <w:t xml:space="preserve"> and in breach </w:t>
      </w:r>
      <w:r w:rsidR="00DB1279" w:rsidRPr="00105CA0">
        <w:rPr>
          <w:rFonts w:asciiTheme="minorHAnsi" w:eastAsia="Segoe UI" w:hAnsiTheme="minorHAnsi"/>
          <w:sz w:val="24"/>
          <w:szCs w:val="24"/>
          <w:lang w:val="en-GB"/>
        </w:rPr>
        <w:t xml:space="preserve">of </w:t>
      </w:r>
      <w:r w:rsidRPr="00105CA0">
        <w:rPr>
          <w:rFonts w:asciiTheme="minorHAnsi" w:eastAsia="Segoe UI" w:hAnsiTheme="minorHAnsi"/>
          <w:sz w:val="24"/>
          <w:szCs w:val="24"/>
          <w:lang w:val="en-GB"/>
        </w:rPr>
        <w:t>the Directive 2000/78/EC. </w:t>
      </w:r>
    </w:p>
    <w:p w14:paraId="452E585F" w14:textId="77777777" w:rsidR="00052F84" w:rsidRPr="00CA1527" w:rsidRDefault="00052F84" w:rsidP="001F0D75">
      <w:pPr>
        <w:pStyle w:val="Heading3"/>
      </w:pPr>
      <w:bookmarkStart w:id="15" w:name="_Toc157782131"/>
      <w:r w:rsidRPr="00CA1527">
        <w:t>Free movement and mutual recognition of parenthood</w:t>
      </w:r>
      <w:bookmarkEnd w:id="15"/>
      <w:r w:rsidRPr="00CA1527">
        <w:t>  </w:t>
      </w:r>
    </w:p>
    <w:p w14:paraId="1E010031" w14:textId="1DA05B7F" w:rsidR="00052F84" w:rsidRPr="00105CA0" w:rsidRDefault="00052F84" w:rsidP="00105CA0">
      <w:pPr>
        <w:spacing w:before="120" w:after="120" w:line="360" w:lineRule="auto"/>
        <w:rPr>
          <w:rFonts w:asciiTheme="minorHAnsi" w:eastAsia="Segoe UI" w:hAnsiTheme="minorHAnsi"/>
          <w:sz w:val="24"/>
          <w:szCs w:val="24"/>
          <w:lang w:val="en-GB"/>
        </w:rPr>
      </w:pPr>
      <w:r w:rsidRPr="00105CA0">
        <w:rPr>
          <w:rFonts w:asciiTheme="minorHAnsi" w:eastAsia="Segoe UI" w:hAnsiTheme="minorHAnsi"/>
          <w:sz w:val="24"/>
          <w:szCs w:val="24"/>
          <w:lang w:val="en-GB"/>
        </w:rPr>
        <w:t xml:space="preserve">In terms of rainbow families composed of same-sex parents and a child, the main issue is not </w:t>
      </w:r>
      <w:r w:rsidR="006B59E5" w:rsidRPr="00105CA0">
        <w:rPr>
          <w:rFonts w:asciiTheme="minorHAnsi" w:eastAsia="Segoe UI" w:hAnsiTheme="minorHAnsi"/>
          <w:sz w:val="24"/>
          <w:szCs w:val="24"/>
          <w:lang w:val="en-GB"/>
        </w:rPr>
        <w:t xml:space="preserve">only </w:t>
      </w:r>
      <w:r w:rsidRPr="00105CA0">
        <w:rPr>
          <w:rFonts w:asciiTheme="minorHAnsi" w:eastAsia="Segoe UI" w:hAnsiTheme="minorHAnsi"/>
          <w:sz w:val="24"/>
          <w:szCs w:val="24"/>
          <w:lang w:val="en-GB"/>
        </w:rPr>
        <w:t xml:space="preserve">whether they will be able to exercise their freedom of movement rights, but </w:t>
      </w:r>
      <w:r w:rsidR="006B59E5" w:rsidRPr="00105CA0">
        <w:rPr>
          <w:rFonts w:asciiTheme="minorHAnsi" w:eastAsia="Segoe UI" w:hAnsiTheme="minorHAnsi"/>
          <w:sz w:val="24"/>
          <w:szCs w:val="24"/>
          <w:lang w:val="en-GB"/>
        </w:rPr>
        <w:t xml:space="preserve">also </w:t>
      </w:r>
      <w:r w:rsidRPr="00105CA0">
        <w:rPr>
          <w:rFonts w:asciiTheme="minorHAnsi" w:eastAsia="Segoe UI" w:hAnsiTheme="minorHAnsi"/>
          <w:sz w:val="24"/>
          <w:szCs w:val="24"/>
          <w:lang w:val="en-GB"/>
        </w:rPr>
        <w:t>whether they will be recognized as a family for all legal purposes in the host Member State and whether the legal ties between the child and both same-sex parents established in one Member State would be recognized in the host Member State. </w:t>
      </w:r>
    </w:p>
    <w:p w14:paraId="27711CD0" w14:textId="3C6D5603" w:rsidR="00052F84" w:rsidRPr="00105CA0" w:rsidRDefault="00052F84" w:rsidP="00105CA0">
      <w:pPr>
        <w:spacing w:before="120" w:after="120" w:line="360" w:lineRule="auto"/>
        <w:rPr>
          <w:rFonts w:asciiTheme="minorHAnsi" w:eastAsia="Segoe UI" w:hAnsiTheme="minorHAnsi"/>
          <w:sz w:val="24"/>
          <w:szCs w:val="24"/>
          <w:lang w:val="en-GB"/>
        </w:rPr>
      </w:pPr>
      <w:r w:rsidRPr="00105CA0">
        <w:rPr>
          <w:rFonts w:asciiTheme="minorHAnsi" w:eastAsia="Segoe UI" w:hAnsiTheme="minorHAnsi"/>
          <w:sz w:val="24"/>
          <w:szCs w:val="24"/>
          <w:lang w:val="en-GB"/>
        </w:rPr>
        <w:t>Commitment of the European Commission to propose a</w:t>
      </w:r>
      <w:r w:rsidR="54BEF715" w:rsidRPr="00105CA0">
        <w:rPr>
          <w:rFonts w:asciiTheme="minorHAnsi" w:eastAsia="Segoe UI" w:hAnsiTheme="minorHAnsi"/>
          <w:sz w:val="24"/>
          <w:szCs w:val="24"/>
          <w:lang w:val="en-GB"/>
        </w:rPr>
        <w:t xml:space="preserve"> horizontal</w:t>
      </w:r>
      <w:r w:rsidRPr="00105CA0">
        <w:rPr>
          <w:rFonts w:asciiTheme="minorHAnsi" w:eastAsia="Segoe UI" w:hAnsiTheme="minorHAnsi"/>
          <w:sz w:val="24"/>
          <w:szCs w:val="24"/>
          <w:lang w:val="en-GB"/>
        </w:rPr>
        <w:t xml:space="preserve"> legislative initiative on the mutual recognition of parenthood between Member States has been explicitly based in the </w:t>
      </w:r>
      <w:r w:rsidRPr="00C54A17">
        <w:rPr>
          <w:rStyle w:val="Emphasis"/>
        </w:rPr>
        <w:t>LGBTIQ Equality Strategy 2020-2025</w:t>
      </w:r>
      <w:r w:rsidRPr="00105CA0">
        <w:rPr>
          <w:rFonts w:asciiTheme="minorHAnsi" w:eastAsia="Segoe UI" w:hAnsiTheme="minorHAnsi"/>
          <w:sz w:val="24"/>
          <w:szCs w:val="24"/>
          <w:lang w:val="en-GB"/>
        </w:rPr>
        <w:t xml:space="preserve"> underlying </w:t>
      </w:r>
      <w:r w:rsidRPr="002A5643">
        <w:rPr>
          <w:rFonts w:asciiTheme="minorHAnsi" w:eastAsia="Segoe UI" w:hAnsiTheme="minorHAnsi"/>
          <w:sz w:val="24"/>
          <w:szCs w:val="24"/>
          <w:lang w:val="en-GB"/>
        </w:rPr>
        <w:t>that “if one is parent in one country, one is parent in every country”.</w:t>
      </w:r>
      <w:r w:rsidRPr="002A5643">
        <w:rPr>
          <w:rStyle w:val="FootnoteReference"/>
          <w:rFonts w:asciiTheme="minorHAnsi" w:eastAsia="Segoe UI" w:hAnsiTheme="minorHAnsi"/>
          <w:sz w:val="24"/>
          <w:szCs w:val="24"/>
          <w:lang w:val="en-GB"/>
        </w:rPr>
        <w:footnoteReference w:id="13"/>
      </w:r>
      <w:r w:rsidR="657347B2" w:rsidRPr="002A5643">
        <w:rPr>
          <w:rFonts w:asciiTheme="minorHAnsi" w:eastAsia="Segoe UI" w:hAnsiTheme="minorHAnsi"/>
          <w:sz w:val="24"/>
          <w:szCs w:val="24"/>
          <w:lang w:val="en-GB"/>
        </w:rPr>
        <w:t xml:space="preserve"> </w:t>
      </w:r>
      <w:r w:rsidRPr="002A5643">
        <w:rPr>
          <w:rFonts w:asciiTheme="minorHAnsi" w:eastAsia="Segoe UI" w:hAnsiTheme="minorHAnsi"/>
          <w:sz w:val="24"/>
          <w:szCs w:val="24"/>
          <w:lang w:val="en-GB"/>
        </w:rPr>
        <w:t>In line with t</w:t>
      </w:r>
      <w:r w:rsidRPr="00105CA0">
        <w:rPr>
          <w:rFonts w:asciiTheme="minorHAnsi" w:eastAsia="Segoe UI" w:hAnsiTheme="minorHAnsi"/>
          <w:sz w:val="24"/>
          <w:szCs w:val="24"/>
          <w:lang w:val="en-GB"/>
        </w:rPr>
        <w:t xml:space="preserve">he interpretation of </w:t>
      </w:r>
      <w:r w:rsidR="00F638B6" w:rsidRPr="00105CA0">
        <w:rPr>
          <w:rFonts w:asciiTheme="minorHAnsi" w:eastAsia="Segoe UI" w:hAnsiTheme="minorHAnsi"/>
          <w:sz w:val="24"/>
          <w:szCs w:val="24"/>
          <w:lang w:val="en-GB"/>
        </w:rPr>
        <w:t xml:space="preserve">the </w:t>
      </w:r>
      <w:r w:rsidRPr="00105CA0">
        <w:rPr>
          <w:rFonts w:asciiTheme="minorHAnsi" w:eastAsia="Segoe UI" w:hAnsiTheme="minorHAnsi"/>
          <w:sz w:val="24"/>
          <w:szCs w:val="24"/>
          <w:lang w:val="en-GB"/>
        </w:rPr>
        <w:t>CJEU</w:t>
      </w:r>
      <w:r w:rsidR="0093121E">
        <w:rPr>
          <w:rFonts w:asciiTheme="minorHAnsi" w:eastAsia="Segoe UI" w:hAnsiTheme="minorHAnsi"/>
          <w:sz w:val="24"/>
          <w:szCs w:val="24"/>
          <w:lang w:val="en-GB"/>
        </w:rPr>
        <w:t>,</w:t>
      </w:r>
      <w:r w:rsidRPr="00105CA0">
        <w:rPr>
          <w:rFonts w:asciiTheme="minorHAnsi" w:eastAsia="Segoe UI" w:hAnsiTheme="minorHAnsi"/>
          <w:sz w:val="24"/>
          <w:szCs w:val="24"/>
          <w:lang w:val="en-GB"/>
        </w:rPr>
        <w:t xml:space="preserve"> it refers to such situations face</w:t>
      </w:r>
      <w:r w:rsidR="00403DD9" w:rsidRPr="00105CA0">
        <w:rPr>
          <w:rFonts w:asciiTheme="minorHAnsi" w:eastAsia="Segoe UI" w:hAnsiTheme="minorHAnsi"/>
          <w:sz w:val="24"/>
          <w:szCs w:val="24"/>
          <w:lang w:val="en-GB"/>
        </w:rPr>
        <w:t>d</w:t>
      </w:r>
      <w:r w:rsidRPr="00105CA0">
        <w:rPr>
          <w:rFonts w:asciiTheme="minorHAnsi" w:eastAsia="Segoe UI" w:hAnsiTheme="minorHAnsi"/>
          <w:sz w:val="24"/>
          <w:szCs w:val="24"/>
          <w:lang w:val="en-GB"/>
        </w:rPr>
        <w:t xml:space="preserve"> by same-sex parents when they travel or move to another Member State. </w:t>
      </w:r>
    </w:p>
    <w:p w14:paraId="5C3F9D09" w14:textId="29ACD561" w:rsidR="00052F84" w:rsidRPr="00B06FC3" w:rsidRDefault="00052F84" w:rsidP="00105CA0">
      <w:pPr>
        <w:spacing w:before="120" w:after="120" w:line="360" w:lineRule="auto"/>
        <w:rPr>
          <w:rFonts w:asciiTheme="minorHAnsi" w:eastAsia="Segoe UI" w:hAnsiTheme="minorHAnsi"/>
          <w:sz w:val="24"/>
          <w:szCs w:val="24"/>
          <w:lang w:val="en-GB"/>
        </w:rPr>
      </w:pPr>
      <w:r w:rsidRPr="00105CA0">
        <w:rPr>
          <w:rFonts w:asciiTheme="minorHAnsi" w:eastAsia="Segoe UI" w:hAnsiTheme="minorHAnsi"/>
          <w:sz w:val="24"/>
          <w:szCs w:val="24"/>
          <w:lang w:val="en-GB"/>
        </w:rPr>
        <w:t xml:space="preserve">In December 2022, the European Commission adopted a </w:t>
      </w:r>
      <w:r w:rsidRPr="00C54A17">
        <w:rPr>
          <w:rStyle w:val="Emphasis"/>
        </w:rPr>
        <w:t>proposal for a Council Regulation on jurisdiction, applicable Law, recognition of decisions and acceptance of authentic instruments in matters of parenthood and on the creation of a European Certificate of Parenthood</w:t>
      </w:r>
      <w:r w:rsidRPr="002A5643">
        <w:rPr>
          <w:rStyle w:val="Emphasis"/>
          <w:szCs w:val="32"/>
          <w:vertAlign w:val="superscript"/>
        </w:rPr>
        <w:footnoteReference w:id="14"/>
      </w:r>
      <w:r w:rsidRPr="00C54A17">
        <w:rPr>
          <w:rStyle w:val="Emphasis"/>
        </w:rPr>
        <w:t>, which harmonises the rules of private international law in the field of parenthood across the EU Member States</w:t>
      </w:r>
      <w:r w:rsidRPr="00C54A17">
        <w:rPr>
          <w:rFonts w:asciiTheme="minorHAnsi" w:eastAsia="Segoe UI" w:hAnsiTheme="minorHAnsi"/>
          <w:sz w:val="24"/>
          <w:szCs w:val="24"/>
          <w:lang w:val="en-GB"/>
        </w:rPr>
        <w:t>.</w:t>
      </w:r>
      <w:r w:rsidRPr="00105CA0">
        <w:rPr>
          <w:rFonts w:asciiTheme="minorHAnsi" w:eastAsia="Segoe UI" w:hAnsiTheme="minorHAnsi"/>
          <w:sz w:val="24"/>
          <w:szCs w:val="24"/>
          <w:lang w:val="en-GB"/>
        </w:rPr>
        <w:t xml:space="preserve"> </w:t>
      </w:r>
      <w:r w:rsidR="4CFBFBCD" w:rsidRPr="00105CA0">
        <w:rPr>
          <w:rFonts w:asciiTheme="minorHAnsi" w:eastAsia="Segoe UI" w:hAnsiTheme="minorHAnsi"/>
          <w:sz w:val="24"/>
          <w:szCs w:val="24"/>
          <w:lang w:val="en-GB"/>
        </w:rPr>
        <w:t>The aim is to provide</w:t>
      </w:r>
      <w:r w:rsidR="4CFBFBCD" w:rsidRPr="00105CA0">
        <w:rPr>
          <w:rFonts w:ascii="Arial" w:eastAsia="Arial" w:hAnsi="Arial" w:cs="Arial"/>
          <w:color w:val="000000" w:themeColor="text1"/>
          <w:sz w:val="24"/>
          <w:szCs w:val="24"/>
          <w:lang w:val="en-GB"/>
        </w:rPr>
        <w:t xml:space="preserve"> </w:t>
      </w:r>
      <w:r w:rsidR="4CFBFBCD" w:rsidRPr="00105CA0">
        <w:rPr>
          <w:rFonts w:asciiTheme="minorHAnsi" w:eastAsiaTheme="minorEastAsia" w:hAnsiTheme="minorHAnsi"/>
          <w:sz w:val="24"/>
          <w:szCs w:val="24"/>
          <w:lang w:val="en-GB"/>
        </w:rPr>
        <w:t>legal clarity for all types of families, who find themselves in a cross-border situation within the EU.</w:t>
      </w:r>
      <w:r w:rsidR="4CFBFBCD" w:rsidRPr="00105CA0">
        <w:rPr>
          <w:rFonts w:asciiTheme="minorHAnsi" w:eastAsia="Segoe UI" w:hAnsiTheme="minorHAnsi"/>
          <w:sz w:val="24"/>
          <w:szCs w:val="24"/>
          <w:lang w:val="en-GB"/>
        </w:rPr>
        <w:t xml:space="preserve"> </w:t>
      </w:r>
      <w:r w:rsidRPr="00105CA0">
        <w:rPr>
          <w:rFonts w:asciiTheme="minorHAnsi" w:eastAsia="Segoe UI" w:hAnsiTheme="minorHAnsi"/>
          <w:sz w:val="24"/>
          <w:szCs w:val="24"/>
          <w:lang w:val="en-GB"/>
        </w:rPr>
        <w:t xml:space="preserve">The proposal is based on the </w:t>
      </w:r>
      <w:r w:rsidRPr="00C54A17">
        <w:rPr>
          <w:rStyle w:val="Emphasis"/>
        </w:rPr>
        <w:t>best interest of the child</w:t>
      </w:r>
      <w:r w:rsidRPr="00C54A17">
        <w:rPr>
          <w:rStyle w:val="FootnoteReference"/>
          <w:rFonts w:asciiTheme="minorHAnsi" w:eastAsia="Segoe UI" w:hAnsiTheme="minorHAnsi"/>
          <w:sz w:val="24"/>
          <w:szCs w:val="24"/>
          <w:lang w:val="en-GB"/>
        </w:rPr>
        <w:footnoteReference w:id="15"/>
      </w:r>
      <w:r w:rsidRPr="00105CA0">
        <w:rPr>
          <w:rFonts w:asciiTheme="minorHAnsi" w:eastAsia="Segoe UI" w:hAnsiTheme="minorHAnsi"/>
          <w:sz w:val="24"/>
          <w:szCs w:val="24"/>
          <w:lang w:val="en-GB"/>
        </w:rPr>
        <w:t xml:space="preserve"> requiring that all children have the same rights, </w:t>
      </w:r>
      <w:r w:rsidRPr="00105CA0">
        <w:rPr>
          <w:rFonts w:asciiTheme="minorHAnsi" w:eastAsia="Segoe UI" w:hAnsiTheme="minorHAnsi"/>
          <w:sz w:val="24"/>
          <w:szCs w:val="24"/>
          <w:lang w:val="en-GB"/>
        </w:rPr>
        <w:lastRenderedPageBreak/>
        <w:t>including with respect to the recognition of the parenthood, irrespective of how</w:t>
      </w:r>
      <w:r w:rsidR="0034614C" w:rsidRPr="00105CA0">
        <w:rPr>
          <w:rFonts w:asciiTheme="minorHAnsi" w:eastAsia="Segoe UI" w:hAnsiTheme="minorHAnsi"/>
          <w:sz w:val="24"/>
          <w:szCs w:val="24"/>
          <w:lang w:val="en-GB"/>
        </w:rPr>
        <w:t xml:space="preserve"> children</w:t>
      </w:r>
      <w:r w:rsidRPr="00105CA0">
        <w:rPr>
          <w:rFonts w:asciiTheme="minorHAnsi" w:eastAsia="Segoe UI" w:hAnsiTheme="minorHAnsi"/>
          <w:sz w:val="24"/>
          <w:szCs w:val="24"/>
          <w:lang w:val="en-GB"/>
        </w:rPr>
        <w:t xml:space="preserve"> were conceived or born, and irrespective of the type of family they are from</w:t>
      </w:r>
      <w:r w:rsidRPr="00105CA0">
        <w:rPr>
          <w:rStyle w:val="FootnoteReference"/>
          <w:rFonts w:asciiTheme="minorHAnsi" w:eastAsia="Segoe UI" w:hAnsiTheme="minorHAnsi"/>
          <w:sz w:val="24"/>
          <w:szCs w:val="24"/>
          <w:lang w:val="en-GB"/>
        </w:rPr>
        <w:footnoteReference w:id="16"/>
      </w:r>
      <w:r w:rsidRPr="00105CA0">
        <w:rPr>
          <w:rFonts w:asciiTheme="minorHAnsi" w:eastAsia="Segoe UI" w:hAnsiTheme="minorHAnsi"/>
          <w:sz w:val="24"/>
          <w:szCs w:val="24"/>
          <w:lang w:val="en-GB"/>
        </w:rPr>
        <w:t xml:space="preserve">. The regulation aims to strengthen the protection of the rights of children in cross-border situations within the EU, including their right to an identity, to non-discrimination, and to respect for a private and family life, as well as their right to succession and maintenance in another Member State. By establishing the rules on recognition of parenthood across the EU, it provides </w:t>
      </w:r>
      <w:r w:rsidRPr="00C54A17">
        <w:rPr>
          <w:rStyle w:val="Emphasis"/>
        </w:rPr>
        <w:t>legal certainty and continuity of the parenthood of children</w:t>
      </w:r>
      <w:r w:rsidRPr="00105CA0">
        <w:rPr>
          <w:rFonts w:asciiTheme="minorHAnsi" w:eastAsia="Segoe UI" w:hAnsiTheme="minorHAnsi"/>
          <w:sz w:val="24"/>
          <w:szCs w:val="24"/>
          <w:lang w:val="en-GB"/>
        </w:rPr>
        <w:t xml:space="preserve"> and aims to reduce the costs borne by families and national judicial systems in connection with proceedings for the recognition of parenthood in another Member State</w:t>
      </w:r>
      <w:r w:rsidRPr="00105CA0">
        <w:rPr>
          <w:rStyle w:val="FootnoteReference"/>
          <w:rFonts w:asciiTheme="minorHAnsi" w:eastAsia="Segoe UI" w:hAnsiTheme="minorHAnsi"/>
          <w:sz w:val="24"/>
          <w:szCs w:val="24"/>
          <w:lang w:val="en-GB"/>
        </w:rPr>
        <w:footnoteReference w:id="17"/>
      </w:r>
      <w:r w:rsidRPr="00105CA0">
        <w:rPr>
          <w:rFonts w:asciiTheme="minorHAnsi" w:eastAsia="Segoe UI" w:hAnsiTheme="minorHAnsi"/>
          <w:sz w:val="24"/>
          <w:szCs w:val="24"/>
          <w:lang w:val="en-GB"/>
        </w:rPr>
        <w:t>. </w:t>
      </w:r>
      <w:r w:rsidR="3897690C" w:rsidRPr="00105CA0">
        <w:rPr>
          <w:rFonts w:asciiTheme="minorHAnsi" w:eastAsiaTheme="minorEastAsia" w:hAnsiTheme="minorHAnsi"/>
          <w:sz w:val="24"/>
          <w:szCs w:val="24"/>
          <w:lang w:val="en-GB"/>
        </w:rPr>
        <w:t xml:space="preserve"> The proposal provides for the recognition of court decisions and authentic instruments establishing or providing evidence of the establishment of parenthood. It also proposes to create a European Certificate of Parenthood.</w:t>
      </w:r>
      <w:r w:rsidR="00E46DD1">
        <w:rPr>
          <w:rFonts w:asciiTheme="minorHAnsi" w:eastAsiaTheme="minorEastAsia" w:hAnsiTheme="minorHAnsi"/>
          <w:sz w:val="24"/>
          <w:szCs w:val="24"/>
          <w:lang w:val="en-GB"/>
        </w:rPr>
        <w:t xml:space="preserve"> </w:t>
      </w:r>
      <w:r w:rsidRPr="00105CA0">
        <w:rPr>
          <w:rFonts w:asciiTheme="minorHAnsi" w:eastAsia="Segoe UI" w:hAnsiTheme="minorHAnsi"/>
          <w:sz w:val="24"/>
          <w:szCs w:val="24"/>
          <w:lang w:val="en-GB"/>
        </w:rPr>
        <w:t xml:space="preserve">The case-law of the </w:t>
      </w:r>
      <w:r w:rsidR="002302E2" w:rsidRPr="00105CA0">
        <w:rPr>
          <w:rFonts w:asciiTheme="minorHAnsi" w:eastAsia="Segoe UI" w:hAnsiTheme="minorHAnsi"/>
          <w:sz w:val="24"/>
          <w:szCs w:val="24"/>
          <w:lang w:val="en-GB"/>
        </w:rPr>
        <w:t>CJEU</w:t>
      </w:r>
      <w:r w:rsidRPr="00105CA0">
        <w:rPr>
          <w:rFonts w:asciiTheme="minorHAnsi" w:eastAsia="Segoe UI" w:hAnsiTheme="minorHAnsi"/>
          <w:sz w:val="24"/>
          <w:szCs w:val="24"/>
          <w:lang w:val="en-GB"/>
        </w:rPr>
        <w:t xml:space="preserve"> on mutual recognition of parenthood is quite recent but already establishing a clear obligation </w:t>
      </w:r>
      <w:r w:rsidR="009F0971" w:rsidRPr="00105CA0">
        <w:rPr>
          <w:rFonts w:asciiTheme="minorHAnsi" w:eastAsia="Segoe UI" w:hAnsiTheme="minorHAnsi"/>
          <w:sz w:val="24"/>
          <w:szCs w:val="24"/>
          <w:lang w:val="en-GB"/>
        </w:rPr>
        <w:t xml:space="preserve">for </w:t>
      </w:r>
      <w:r w:rsidRPr="00105CA0">
        <w:rPr>
          <w:rFonts w:asciiTheme="minorHAnsi" w:eastAsia="Segoe UI" w:hAnsiTheme="minorHAnsi"/>
          <w:sz w:val="24"/>
          <w:szCs w:val="24"/>
          <w:lang w:val="en-GB"/>
        </w:rPr>
        <w:t xml:space="preserve">Member States to recognise parenthood of same-sex couples established in line with national laws of another Member State when this recognition is necessary for the purposes of exercising the free movement rights. Together with free movement rights, the CJEU´s argumentation is based on protection of the right to respect for private and family life under </w:t>
      </w:r>
      <w:r w:rsidRPr="00C54A17">
        <w:rPr>
          <w:rStyle w:val="Emphasis"/>
        </w:rPr>
        <w:t>Article 7 of the EU Charter</w:t>
      </w:r>
      <w:r w:rsidRPr="00105CA0">
        <w:rPr>
          <w:rFonts w:asciiTheme="minorHAnsi" w:eastAsia="Segoe UI" w:hAnsiTheme="minorHAnsi"/>
          <w:sz w:val="24"/>
          <w:szCs w:val="24"/>
          <w:lang w:val="en-GB"/>
        </w:rPr>
        <w:t xml:space="preserve">, the right to marry and right to found a family under </w:t>
      </w:r>
      <w:r w:rsidRPr="00F02AE9">
        <w:rPr>
          <w:rStyle w:val="Emphasis"/>
        </w:rPr>
        <w:t>Article 9 of the EU Charter</w:t>
      </w:r>
      <w:r w:rsidRPr="00105CA0">
        <w:rPr>
          <w:rFonts w:asciiTheme="minorHAnsi" w:eastAsia="Segoe UI" w:hAnsiTheme="minorHAnsi"/>
          <w:sz w:val="24"/>
          <w:szCs w:val="24"/>
          <w:lang w:val="en-GB"/>
        </w:rPr>
        <w:t xml:space="preserve"> and the rights of the child. In particular, </w:t>
      </w:r>
      <w:r w:rsidRPr="00F02AE9">
        <w:rPr>
          <w:rStyle w:val="Emphasis"/>
        </w:rPr>
        <w:t>Article 24 (2) of the EU Charter</w:t>
      </w:r>
      <w:r w:rsidRPr="00105CA0">
        <w:rPr>
          <w:rFonts w:asciiTheme="minorHAnsi" w:eastAsia="Segoe UI" w:hAnsiTheme="minorHAnsi"/>
          <w:sz w:val="24"/>
          <w:szCs w:val="24"/>
          <w:lang w:val="en-GB"/>
        </w:rPr>
        <w:t xml:space="preserve"> guarantees that </w:t>
      </w:r>
      <w:r w:rsidRPr="00B06FC3">
        <w:rPr>
          <w:rFonts w:asciiTheme="minorHAnsi" w:eastAsia="Segoe UI" w:hAnsiTheme="minorHAnsi"/>
          <w:sz w:val="24"/>
          <w:szCs w:val="24"/>
          <w:lang w:val="en-GB"/>
        </w:rPr>
        <w:t>“in all actions relating to children, whether taken by public authorities or public institutions, the child´s best interest must be a primary consideration”. </w:t>
      </w:r>
    </w:p>
    <w:p w14:paraId="0F783B70" w14:textId="0AFD50E8" w:rsidR="00052F84" w:rsidRPr="00105CA0" w:rsidRDefault="00052F84" w:rsidP="00105CA0">
      <w:pPr>
        <w:spacing w:before="120" w:after="120" w:line="360" w:lineRule="auto"/>
        <w:rPr>
          <w:rFonts w:asciiTheme="minorHAnsi" w:eastAsia="Segoe UI" w:hAnsiTheme="minorHAnsi"/>
          <w:sz w:val="24"/>
          <w:szCs w:val="24"/>
          <w:lang w:val="en-GB"/>
        </w:rPr>
      </w:pPr>
      <w:r w:rsidRPr="00105CA0">
        <w:rPr>
          <w:rFonts w:asciiTheme="minorHAnsi" w:eastAsia="Segoe UI" w:hAnsiTheme="minorHAnsi"/>
          <w:sz w:val="24"/>
          <w:szCs w:val="24"/>
          <w:lang w:val="en-GB"/>
        </w:rPr>
        <w:t xml:space="preserve">In the case </w:t>
      </w:r>
      <w:r w:rsidRPr="007843BC">
        <w:rPr>
          <w:rStyle w:val="Emphasis"/>
        </w:rPr>
        <w:t>V.M.A. v</w:t>
      </w:r>
      <w:r w:rsidR="00DB3309">
        <w:rPr>
          <w:rStyle w:val="Emphasis"/>
        </w:rPr>
        <w:t>.</w:t>
      </w:r>
      <w:r w:rsidRPr="007843BC">
        <w:rPr>
          <w:rStyle w:val="Emphasis"/>
        </w:rPr>
        <w:t xml:space="preserve"> Stolichna obshtina</w:t>
      </w:r>
      <w:r w:rsidRPr="00105CA0">
        <w:rPr>
          <w:rStyle w:val="FootnoteReference"/>
          <w:rFonts w:asciiTheme="minorHAnsi" w:eastAsia="Segoe UI" w:hAnsiTheme="minorHAnsi"/>
          <w:sz w:val="24"/>
          <w:szCs w:val="24"/>
          <w:lang w:val="en-GB"/>
        </w:rPr>
        <w:footnoteReference w:id="18"/>
      </w:r>
      <w:r w:rsidRPr="00105CA0">
        <w:rPr>
          <w:rFonts w:asciiTheme="minorHAnsi" w:eastAsia="Segoe UI" w:hAnsiTheme="minorHAnsi"/>
          <w:sz w:val="24"/>
          <w:szCs w:val="24"/>
          <w:lang w:val="en-GB"/>
        </w:rPr>
        <w:t>, the CJEU decided on a request for preliminary ruling addressed by the Administrative Court of the City of Sofia, Bulgaria that EU Member States are required to recognize the familial ties established in another EU Member State between a child and his/her parents who are a same-sex couple, for the purposes of EU free movement law. The case concerned a married same-sex couple, a Bulgarian woman and a British wom</w:t>
      </w:r>
      <w:r w:rsidRPr="003E1070">
        <w:rPr>
          <w:rFonts w:asciiTheme="minorHAnsi" w:eastAsia="Segoe UI" w:hAnsiTheme="minorHAnsi"/>
          <w:sz w:val="24"/>
          <w:szCs w:val="24"/>
          <w:lang w:val="en-GB"/>
        </w:rPr>
        <w:t xml:space="preserve">an, who are married and have been living in Spain, where their daughter was born in 2019. Her birth certificate </w:t>
      </w:r>
      <w:r w:rsidR="003E1070" w:rsidRPr="003E1070">
        <w:rPr>
          <w:rFonts w:asciiTheme="minorHAnsi" w:eastAsia="Segoe UI" w:hAnsiTheme="minorHAnsi"/>
          <w:sz w:val="24"/>
          <w:szCs w:val="24"/>
          <w:lang w:val="en-GB"/>
        </w:rPr>
        <w:t>was issued by the Spanish authorities,</w:t>
      </w:r>
      <w:r w:rsidRPr="003E1070">
        <w:rPr>
          <w:rFonts w:asciiTheme="minorHAnsi" w:eastAsia="Segoe UI" w:hAnsiTheme="minorHAnsi"/>
          <w:sz w:val="24"/>
          <w:szCs w:val="24"/>
          <w:lang w:val="en-GB"/>
        </w:rPr>
        <w:t xml:space="preserve"> referring to both women as </w:t>
      </w:r>
      <w:r w:rsidR="003E1070" w:rsidRPr="003E1070">
        <w:rPr>
          <w:rFonts w:asciiTheme="minorHAnsi" w:eastAsia="Segoe UI" w:hAnsiTheme="minorHAnsi"/>
          <w:sz w:val="24"/>
          <w:szCs w:val="24"/>
          <w:lang w:val="en-GB"/>
        </w:rPr>
        <w:t>“</w:t>
      </w:r>
      <w:r w:rsidRPr="003E1070">
        <w:rPr>
          <w:rFonts w:asciiTheme="minorHAnsi" w:eastAsia="Segoe UI" w:hAnsiTheme="minorHAnsi"/>
          <w:sz w:val="24"/>
          <w:szCs w:val="24"/>
          <w:lang w:val="en-GB"/>
        </w:rPr>
        <w:t>mother</w:t>
      </w:r>
      <w:r w:rsidR="003E1070" w:rsidRPr="003E1070">
        <w:rPr>
          <w:rFonts w:asciiTheme="minorHAnsi" w:eastAsia="Segoe UI" w:hAnsiTheme="minorHAnsi"/>
          <w:sz w:val="24"/>
          <w:szCs w:val="24"/>
          <w:lang w:val="en-GB"/>
        </w:rPr>
        <w:t>”</w:t>
      </w:r>
      <w:r w:rsidRPr="003E1070">
        <w:rPr>
          <w:rFonts w:asciiTheme="minorHAnsi" w:eastAsia="Segoe UI" w:hAnsiTheme="minorHAnsi"/>
          <w:sz w:val="24"/>
          <w:szCs w:val="24"/>
          <w:lang w:val="en-GB"/>
        </w:rPr>
        <w:t>. When applying</w:t>
      </w:r>
      <w:r w:rsidRPr="00105CA0">
        <w:rPr>
          <w:rFonts w:asciiTheme="minorHAnsi" w:eastAsia="Segoe UI" w:hAnsiTheme="minorHAnsi"/>
          <w:sz w:val="24"/>
          <w:szCs w:val="24"/>
          <w:lang w:val="en-GB"/>
        </w:rPr>
        <w:t xml:space="preserve"> to Bulgarian authorities for a birth certificate of the </w:t>
      </w:r>
      <w:r w:rsidRPr="00105CA0">
        <w:rPr>
          <w:rFonts w:asciiTheme="minorHAnsi" w:eastAsia="Segoe UI" w:hAnsiTheme="minorHAnsi"/>
          <w:sz w:val="24"/>
          <w:szCs w:val="24"/>
          <w:lang w:val="en-GB"/>
        </w:rPr>
        <w:lastRenderedPageBreak/>
        <w:t xml:space="preserve">child as a precondition to be issued a Bulgarian identity document, the national authorities requested V.M.A. (one of the mothers) to provide evidence of the parentage of the child with respect to the identity of her biological mother. CJEU´s ruling in this case confirmed that the principle of mutual recognition applies to birth certificates issued by EU Member States, including those that in accordance with the national law identify two persons of the same sex as the parents of a child. </w:t>
      </w:r>
      <w:r w:rsidR="0BC75BD1" w:rsidRPr="00105CA0">
        <w:rPr>
          <w:rFonts w:asciiTheme="minorHAnsi" w:eastAsia="Segoe UI" w:hAnsiTheme="minorHAnsi"/>
          <w:sz w:val="24"/>
          <w:szCs w:val="24"/>
          <w:lang w:val="en-GB"/>
        </w:rPr>
        <w:t>The European Court of Justice</w:t>
      </w:r>
      <w:r w:rsidR="1E76ECDB" w:rsidRPr="00105CA0">
        <w:rPr>
          <w:rFonts w:asciiTheme="minorHAnsi" w:eastAsia="Segoe UI" w:hAnsiTheme="minorHAnsi"/>
          <w:sz w:val="24"/>
          <w:szCs w:val="24"/>
          <w:lang w:val="en-GB"/>
        </w:rPr>
        <w:t xml:space="preserve"> </w:t>
      </w:r>
      <w:r w:rsidRPr="00105CA0">
        <w:rPr>
          <w:rFonts w:asciiTheme="minorHAnsi" w:eastAsia="Segoe UI" w:hAnsiTheme="minorHAnsi"/>
          <w:sz w:val="24"/>
          <w:szCs w:val="24"/>
          <w:lang w:val="en-GB"/>
        </w:rPr>
        <w:t xml:space="preserve">argued that when the Spanish authorities lawfully established a parentship, biological or legal, and attested this in the birth certificate of a child – an EU citizen - in line with Article 21 TFEU and Directive 2004/38 they must be </w:t>
      </w:r>
      <w:r w:rsidRPr="00E50C04">
        <w:rPr>
          <w:rFonts w:asciiTheme="minorHAnsi" w:eastAsia="Segoe UI" w:hAnsiTheme="minorHAnsi"/>
          <w:sz w:val="24"/>
          <w:szCs w:val="24"/>
          <w:lang w:val="en-GB"/>
        </w:rPr>
        <w:t>“recognized by all Member States as having the right to accompany that child when her right to move and reside freely within the territory of the Member States is being exercised”</w:t>
      </w:r>
      <w:r w:rsidRPr="00E50C04">
        <w:rPr>
          <w:rStyle w:val="FootnoteReference"/>
          <w:rFonts w:asciiTheme="minorHAnsi" w:eastAsia="Segoe UI" w:hAnsiTheme="minorHAnsi"/>
          <w:sz w:val="24"/>
          <w:szCs w:val="24"/>
          <w:lang w:val="en-GB"/>
        </w:rPr>
        <w:footnoteReference w:id="19"/>
      </w:r>
      <w:r w:rsidRPr="00E50C04">
        <w:rPr>
          <w:rFonts w:asciiTheme="minorHAnsi" w:eastAsia="Segoe UI" w:hAnsiTheme="minorHAnsi"/>
          <w:sz w:val="24"/>
          <w:szCs w:val="24"/>
          <w:lang w:val="en-GB"/>
        </w:rPr>
        <w:t>.</w:t>
      </w:r>
      <w:r w:rsidRPr="00105CA0">
        <w:rPr>
          <w:rFonts w:asciiTheme="minorHAnsi" w:eastAsia="Segoe UI" w:hAnsiTheme="minorHAnsi"/>
          <w:sz w:val="24"/>
          <w:szCs w:val="24"/>
          <w:lang w:val="en-GB"/>
        </w:rPr>
        <w:t xml:space="preserve"> To be able to exercise the free movement rights with each of her two parents, the </w:t>
      </w:r>
      <w:r w:rsidRPr="00E50C04">
        <w:rPr>
          <w:rFonts w:asciiTheme="minorHAnsi" w:eastAsia="Segoe UI" w:hAnsiTheme="minorHAnsi"/>
          <w:sz w:val="24"/>
          <w:szCs w:val="24"/>
          <w:lang w:val="en-GB"/>
        </w:rPr>
        <w:t>child “must have a document with mentions them as being persons entitled to travel with that child”</w:t>
      </w:r>
      <w:r w:rsidRPr="00E50C04">
        <w:rPr>
          <w:rStyle w:val="FootnoteReference"/>
          <w:rFonts w:asciiTheme="minorHAnsi" w:eastAsia="Segoe UI" w:hAnsiTheme="minorHAnsi"/>
          <w:sz w:val="24"/>
          <w:szCs w:val="24"/>
          <w:lang w:val="en-GB"/>
        </w:rPr>
        <w:footnoteReference w:id="20"/>
      </w:r>
      <w:r w:rsidRPr="00E50C04">
        <w:rPr>
          <w:rFonts w:asciiTheme="minorHAnsi" w:eastAsia="Segoe UI" w:hAnsiTheme="minorHAnsi"/>
          <w:sz w:val="24"/>
          <w:szCs w:val="24"/>
          <w:lang w:val="en-GB"/>
        </w:rPr>
        <w:t>.</w:t>
      </w:r>
      <w:r w:rsidRPr="00105CA0">
        <w:rPr>
          <w:rFonts w:asciiTheme="minorHAnsi" w:eastAsia="Segoe UI" w:hAnsiTheme="minorHAnsi"/>
          <w:sz w:val="24"/>
          <w:szCs w:val="24"/>
          <w:lang w:val="en-GB"/>
        </w:rPr>
        <w:t xml:space="preserve"> When such document is issued by one Member State, other Member States are obliged to recognise it. In this breakthrough judgement on </w:t>
      </w:r>
      <w:r w:rsidRPr="007843BC">
        <w:rPr>
          <w:rStyle w:val="Emphasis"/>
        </w:rPr>
        <w:t>mutual recognition of parenthood</w:t>
      </w:r>
      <w:r w:rsidRPr="00105CA0">
        <w:rPr>
          <w:rFonts w:asciiTheme="minorHAnsi" w:eastAsia="Segoe UI" w:hAnsiTheme="minorHAnsi"/>
          <w:sz w:val="24"/>
          <w:szCs w:val="24"/>
          <w:lang w:val="en-GB"/>
        </w:rPr>
        <w:t xml:space="preserve">, the CJEU confirmed that the Member States are free to decide whether or not they allow marriage and parenthood of same-sex couples under their national law, however, they are bound to recognise the civil status established in another Member State for the purposes of exercising freedom of EU citizens to move and reside within the territory of the Member States. When interpreting Article 24 (2) of the EU Charter concerning the best interest of the child, CJEU applied also </w:t>
      </w:r>
      <w:r w:rsidRPr="007843BC">
        <w:rPr>
          <w:rStyle w:val="Emphasis"/>
        </w:rPr>
        <w:t>Article 2 of the Convention on the Rights of the Child</w:t>
      </w:r>
      <w:r w:rsidRPr="00105CA0">
        <w:rPr>
          <w:rFonts w:asciiTheme="minorHAnsi" w:eastAsia="Segoe UI" w:hAnsiTheme="minorHAnsi"/>
          <w:sz w:val="24"/>
          <w:szCs w:val="24"/>
          <w:lang w:val="en-GB"/>
        </w:rPr>
        <w:t xml:space="preserve"> on non-discrimination in conjunction with </w:t>
      </w:r>
      <w:r w:rsidRPr="007843BC">
        <w:rPr>
          <w:rStyle w:val="Emphasis"/>
        </w:rPr>
        <w:t>Article 7 of the Convention on the Rights of the Child</w:t>
      </w:r>
      <w:r w:rsidRPr="00105CA0">
        <w:rPr>
          <w:rFonts w:asciiTheme="minorHAnsi" w:eastAsia="Segoe UI" w:hAnsiTheme="minorHAnsi"/>
          <w:sz w:val="24"/>
          <w:szCs w:val="24"/>
          <w:lang w:val="en-GB"/>
        </w:rPr>
        <w:t xml:space="preserve"> according to which a child has the right to be registered immediately after birth, the right to a name and the right to acquire a nationality without discrimination including based on sexual orientation of the child´s parents (discrimination by association).</w:t>
      </w:r>
      <w:r w:rsidRPr="00105CA0">
        <w:rPr>
          <w:rStyle w:val="FootnoteReference"/>
          <w:rFonts w:asciiTheme="minorHAnsi" w:eastAsia="Segoe UI" w:hAnsiTheme="minorHAnsi"/>
          <w:sz w:val="24"/>
          <w:szCs w:val="24"/>
          <w:lang w:val="en-GB"/>
        </w:rPr>
        <w:footnoteReference w:id="21"/>
      </w:r>
      <w:r w:rsidRPr="00105CA0">
        <w:rPr>
          <w:rFonts w:asciiTheme="minorHAnsi" w:eastAsia="Segoe UI" w:hAnsiTheme="minorHAnsi"/>
          <w:sz w:val="24"/>
          <w:szCs w:val="24"/>
          <w:lang w:val="en-GB"/>
        </w:rPr>
        <w:t>  </w:t>
      </w:r>
    </w:p>
    <w:p w14:paraId="4406B1D8" w14:textId="43D0197C" w:rsidR="00052F84" w:rsidRPr="00E50C04" w:rsidRDefault="00052F84" w:rsidP="00105CA0">
      <w:pPr>
        <w:spacing w:before="120" w:after="120" w:line="360" w:lineRule="auto"/>
        <w:rPr>
          <w:rFonts w:asciiTheme="minorHAnsi" w:eastAsia="Segoe UI" w:hAnsiTheme="minorHAnsi"/>
          <w:sz w:val="24"/>
          <w:szCs w:val="24"/>
          <w:lang w:val="en-GB"/>
        </w:rPr>
      </w:pPr>
      <w:r w:rsidRPr="00105CA0">
        <w:rPr>
          <w:rFonts w:asciiTheme="minorHAnsi" w:eastAsia="Segoe UI" w:hAnsiTheme="minorHAnsi"/>
          <w:sz w:val="24"/>
          <w:szCs w:val="24"/>
          <w:lang w:val="en-GB"/>
        </w:rPr>
        <w:t xml:space="preserve">In a similar case </w:t>
      </w:r>
      <w:r w:rsidRPr="007843BC">
        <w:rPr>
          <w:rStyle w:val="Emphasis"/>
        </w:rPr>
        <w:t>Rzec</w:t>
      </w:r>
      <w:r w:rsidR="00813443" w:rsidRPr="007843BC">
        <w:rPr>
          <w:rStyle w:val="Emphasis"/>
        </w:rPr>
        <w:t>z</w:t>
      </w:r>
      <w:r w:rsidRPr="007843BC">
        <w:rPr>
          <w:rStyle w:val="Emphasis"/>
        </w:rPr>
        <w:t>nik Praw Obywatelskich</w:t>
      </w:r>
      <w:r w:rsidRPr="007843BC">
        <w:rPr>
          <w:rStyle w:val="FootnoteReference"/>
          <w:rFonts w:asciiTheme="minorHAnsi" w:eastAsia="Segoe UI" w:hAnsiTheme="minorHAnsi"/>
          <w:sz w:val="24"/>
          <w:szCs w:val="24"/>
          <w:lang w:val="en-GB"/>
        </w:rPr>
        <w:footnoteReference w:id="22"/>
      </w:r>
      <w:r w:rsidRPr="00105CA0">
        <w:rPr>
          <w:rFonts w:asciiTheme="minorHAnsi" w:eastAsia="Segoe UI" w:hAnsiTheme="minorHAnsi"/>
          <w:sz w:val="24"/>
          <w:szCs w:val="24"/>
          <w:lang w:val="en-GB"/>
        </w:rPr>
        <w:t xml:space="preserve"> referred for a preliminary ruling by a Polish</w:t>
      </w:r>
      <w:r w:rsidR="00813443" w:rsidRPr="00105CA0">
        <w:rPr>
          <w:rFonts w:asciiTheme="minorHAnsi" w:eastAsia="Segoe UI" w:hAnsiTheme="minorHAnsi"/>
          <w:sz w:val="24"/>
          <w:szCs w:val="24"/>
          <w:lang w:val="en-GB"/>
        </w:rPr>
        <w:t xml:space="preserve"> voivodship administrative</w:t>
      </w:r>
      <w:r w:rsidRPr="00105CA0">
        <w:rPr>
          <w:rFonts w:asciiTheme="minorHAnsi" w:eastAsia="Segoe UI" w:hAnsiTheme="minorHAnsi"/>
          <w:sz w:val="24"/>
          <w:szCs w:val="24"/>
          <w:lang w:val="en-GB"/>
        </w:rPr>
        <w:t xml:space="preserve"> court, the CJEU argued that it would be contrary to the fundamental rights of the child guaranteed under Articles 7 and 24 of the EU Charter to </w:t>
      </w:r>
      <w:r w:rsidRPr="00105CA0">
        <w:rPr>
          <w:rFonts w:asciiTheme="minorHAnsi" w:eastAsia="Segoe UI" w:hAnsiTheme="minorHAnsi"/>
          <w:sz w:val="24"/>
          <w:szCs w:val="24"/>
          <w:lang w:val="en-GB"/>
        </w:rPr>
        <w:lastRenderedPageBreak/>
        <w:t>deprive a child of his/her “relationship with one of [the] parents when exercising the right to move and reside freely within the territory of the Member States” or to make this right impossible or exclusively difficult in practice on the ground that his/her parent are of the same sex.</w:t>
      </w:r>
      <w:r w:rsidRPr="00105CA0">
        <w:rPr>
          <w:rStyle w:val="FootnoteReference"/>
          <w:rFonts w:asciiTheme="minorHAnsi" w:eastAsia="Segoe UI" w:hAnsiTheme="minorHAnsi"/>
          <w:sz w:val="24"/>
          <w:szCs w:val="24"/>
          <w:lang w:val="en-GB"/>
        </w:rPr>
        <w:footnoteReference w:id="23"/>
      </w:r>
      <w:r w:rsidRPr="00105CA0">
        <w:rPr>
          <w:rFonts w:asciiTheme="minorHAnsi" w:eastAsia="Segoe UI" w:hAnsiTheme="minorHAnsi"/>
          <w:sz w:val="24"/>
          <w:szCs w:val="24"/>
          <w:lang w:val="en-GB"/>
        </w:rPr>
        <w:t xml:space="preserve"> Referring also to its ruling </w:t>
      </w:r>
      <w:r w:rsidRPr="00E50C04">
        <w:rPr>
          <w:rFonts w:asciiTheme="minorHAnsi" w:eastAsia="Segoe UI" w:hAnsiTheme="minorHAnsi"/>
          <w:sz w:val="24"/>
          <w:szCs w:val="24"/>
          <w:lang w:val="en-GB"/>
        </w:rPr>
        <w:t>in V.M.A., CJEU ordered that in the case of a minor who is an EU citizen with birth certificate issued by authorities of a Member State establishing two persons of the same sex as parents “the Member State of which that child is a national (i) is obliged to issue to that child an identity card or a passport without requiring the prior transcription of a birth certificate of that child into the national register of civil status, and (ii) is obliged to recognise, as is any other Member State, the document from another Member State that permits that same child to exercise without impediment, with each of those two persons, his or her right to move and reside freely within the territory of the Member States”.</w:t>
      </w:r>
      <w:r w:rsidRPr="00E50C04">
        <w:rPr>
          <w:rStyle w:val="FootnoteReference"/>
          <w:rFonts w:asciiTheme="minorHAnsi" w:eastAsia="Segoe UI" w:hAnsiTheme="minorHAnsi"/>
          <w:sz w:val="24"/>
          <w:szCs w:val="24"/>
          <w:lang w:val="en-GB"/>
        </w:rPr>
        <w:footnoteReference w:id="24"/>
      </w:r>
      <w:r w:rsidRPr="00E50C04">
        <w:rPr>
          <w:rFonts w:asciiTheme="minorHAnsi" w:eastAsia="Segoe UI" w:hAnsiTheme="minorHAnsi"/>
          <w:sz w:val="24"/>
          <w:szCs w:val="24"/>
          <w:lang w:val="en-GB"/>
        </w:rPr>
        <w:t> </w:t>
      </w:r>
    </w:p>
    <w:p w14:paraId="4FE17652" w14:textId="77777777" w:rsidR="00052F84" w:rsidRPr="00CA1527" w:rsidRDefault="00052F84" w:rsidP="008F51C6">
      <w:pPr>
        <w:pStyle w:val="Heading2"/>
      </w:pPr>
      <w:bookmarkStart w:id="16" w:name="_Toc157782132"/>
      <w:r w:rsidRPr="00CA1527">
        <w:t>Council of Europe level</w:t>
      </w:r>
      <w:bookmarkEnd w:id="16"/>
      <w:r w:rsidRPr="00CA1527">
        <w:t> </w:t>
      </w:r>
    </w:p>
    <w:p w14:paraId="673FD0C4" w14:textId="3AC090A9" w:rsidR="00052F84" w:rsidRPr="00105CA0" w:rsidRDefault="00052F84" w:rsidP="0055474B">
      <w:pPr>
        <w:pStyle w:val="Heading3"/>
        <w:rPr>
          <w:rFonts w:asciiTheme="minorHAnsi" w:hAnsiTheme="minorHAnsi" w:cstheme="minorHAnsi"/>
        </w:rPr>
      </w:pPr>
      <w:r w:rsidRPr="00CA1527">
        <w:rPr>
          <w:rFonts w:asciiTheme="minorHAnsi" w:hAnsiTheme="minorHAnsi" w:cstheme="minorHAnsi"/>
        </w:rPr>
        <w:t> </w:t>
      </w:r>
      <w:bookmarkStart w:id="17" w:name="_Toc157782133"/>
      <w:r w:rsidRPr="00CA1527">
        <w:t>Recognition of same-sex partnerships established abroad</w:t>
      </w:r>
      <w:bookmarkEnd w:id="17"/>
      <w:r w:rsidRPr="00CA1527">
        <w:t> </w:t>
      </w:r>
    </w:p>
    <w:p w14:paraId="1638E598" w14:textId="10F79D6F" w:rsidR="00052F84" w:rsidRPr="00E50C04" w:rsidRDefault="00052F84" w:rsidP="0055474B">
      <w:pPr>
        <w:spacing w:before="120" w:after="120" w:line="360" w:lineRule="auto"/>
        <w:rPr>
          <w:rFonts w:asciiTheme="minorHAnsi" w:eastAsia="Segoe UI" w:hAnsiTheme="minorHAnsi"/>
          <w:sz w:val="24"/>
          <w:szCs w:val="24"/>
          <w:vertAlign w:val="superscript"/>
          <w:lang w:val="en-GB"/>
        </w:rPr>
      </w:pPr>
      <w:r w:rsidRPr="0055474B">
        <w:rPr>
          <w:rFonts w:asciiTheme="minorHAnsi" w:eastAsia="Segoe UI" w:hAnsiTheme="minorHAnsi"/>
          <w:sz w:val="24"/>
          <w:szCs w:val="24"/>
          <w:lang w:val="en-GB"/>
        </w:rPr>
        <w:t>The catalogue of commitments of Council of Europe Member States in various areas, including the right to respect for private and family life, is included in the</w:t>
      </w:r>
      <w:r w:rsidRPr="0055474B">
        <w:rPr>
          <w:rFonts w:asciiTheme="minorHAnsi" w:eastAsia="Segoe UI" w:hAnsiTheme="minorHAnsi"/>
          <w:b/>
          <w:bCs/>
          <w:sz w:val="24"/>
          <w:szCs w:val="24"/>
          <w:lang w:val="en-GB"/>
        </w:rPr>
        <w:t xml:space="preserve"> </w:t>
      </w:r>
      <w:bookmarkStart w:id="18" w:name="_Hlk135747158"/>
      <w:r w:rsidRPr="00580C3A">
        <w:rPr>
          <w:rStyle w:val="Emphasis"/>
        </w:rPr>
        <w:t>Recommendation CM/Rec(2010)5 of the Committee of Ministers to member states on measures to combat discrimination on grounds of sexual orientation or gender identity</w:t>
      </w:r>
      <w:bookmarkEnd w:id="18"/>
      <w:r w:rsidRPr="0055474B">
        <w:rPr>
          <w:rFonts w:asciiTheme="minorHAnsi" w:eastAsia="Segoe UI" w:hAnsiTheme="minorHAnsi"/>
          <w:sz w:val="24"/>
          <w:szCs w:val="24"/>
          <w:lang w:val="en-GB"/>
        </w:rPr>
        <w:t xml:space="preserve">. The measures include non-discrimination between same-sex and different-sex couples when national legislation confers rights and obligations on unmarried couples or equivalent legal status, rights and obligations to registered same-sex partnerships with those of heterosexual couples in a comparable situation in countries that recognise same-sex partnerships. If national legislation does not recognise nor confer rights and obligations on registered same-sex partnerships and unmarried couples, Member States are invited to consider the possibility of providing same-sex couples with legal or other means to address practical problems they face in everyday life and do that without any discrimination. Considering the rights of the child, the best interest of the child should be the primary consideration in decisions concerning the parental responsibility or guardianship and such decisions should be </w:t>
      </w:r>
      <w:r w:rsidRPr="0055474B">
        <w:rPr>
          <w:rFonts w:asciiTheme="minorHAnsi" w:eastAsia="Segoe UI" w:hAnsiTheme="minorHAnsi"/>
          <w:sz w:val="24"/>
          <w:szCs w:val="24"/>
          <w:lang w:val="en-GB"/>
        </w:rPr>
        <w:lastRenderedPageBreak/>
        <w:t>delivered without discrimination based on sexual orientation or gender identity</w:t>
      </w:r>
      <w:r w:rsidRPr="0055474B">
        <w:rPr>
          <w:rStyle w:val="FootnoteReference"/>
          <w:rFonts w:asciiTheme="minorHAnsi" w:eastAsia="Segoe UI" w:hAnsiTheme="minorHAnsi"/>
          <w:sz w:val="24"/>
          <w:szCs w:val="24"/>
          <w:lang w:val="en-GB"/>
        </w:rPr>
        <w:footnoteReference w:id="25"/>
      </w:r>
      <w:r w:rsidRPr="0055474B">
        <w:rPr>
          <w:rFonts w:asciiTheme="minorHAnsi" w:eastAsia="Segoe UI" w:hAnsiTheme="minorHAnsi"/>
          <w:sz w:val="24"/>
          <w:szCs w:val="24"/>
          <w:lang w:val="en-GB"/>
        </w:rPr>
        <w:t>.</w:t>
      </w:r>
      <w:r w:rsidR="42A24601" w:rsidRPr="0055474B">
        <w:rPr>
          <w:rFonts w:asciiTheme="minorHAnsi" w:eastAsia="Segoe UI" w:hAnsiTheme="minorHAnsi"/>
          <w:sz w:val="24"/>
          <w:szCs w:val="24"/>
          <w:lang w:val="en-GB"/>
        </w:rPr>
        <w:t xml:space="preserve"> </w:t>
      </w:r>
      <w:r w:rsidRPr="0055474B">
        <w:rPr>
          <w:rFonts w:asciiTheme="minorHAnsi" w:eastAsia="Segoe UI" w:hAnsiTheme="minorHAnsi"/>
          <w:sz w:val="24"/>
          <w:szCs w:val="24"/>
          <w:lang w:val="en-GB"/>
        </w:rPr>
        <w:t xml:space="preserve">In its evaluation of implementation of this recommendation from 2020, the Council of Europe Steering Committee for Human Rights concluded that </w:t>
      </w:r>
      <w:r w:rsidRPr="00E50C04">
        <w:rPr>
          <w:rFonts w:asciiTheme="minorHAnsi" w:eastAsia="Segoe UI" w:hAnsiTheme="minorHAnsi"/>
          <w:sz w:val="24"/>
          <w:szCs w:val="24"/>
          <w:lang w:val="en-GB"/>
        </w:rPr>
        <w:t>despite “multiple countries indicated that partners of citizens in same-sex couples can apply for residence permits for family reasons…some countries have restricted the ability of refugees to reunite with their partners, which results in hardship and discrimination for LGBT refugees whose country of origin does not allow same-sex marriage/partnership.”</w:t>
      </w:r>
      <w:r w:rsidRPr="00E50C04">
        <w:rPr>
          <w:rStyle w:val="FootnoteReference"/>
          <w:rFonts w:asciiTheme="minorHAnsi" w:eastAsia="Segoe UI" w:hAnsiTheme="minorHAnsi"/>
          <w:sz w:val="24"/>
          <w:szCs w:val="24"/>
          <w:lang w:val="en-GB"/>
        </w:rPr>
        <w:footnoteReference w:id="26"/>
      </w:r>
    </w:p>
    <w:p w14:paraId="1FCCAB66" w14:textId="1E3182B7" w:rsidR="00052F84" w:rsidRPr="0055474B" w:rsidRDefault="00052F84" w:rsidP="0055474B">
      <w:pPr>
        <w:spacing w:before="120" w:after="120" w:line="360" w:lineRule="auto"/>
        <w:rPr>
          <w:rFonts w:asciiTheme="minorHAnsi" w:eastAsia="Segoe UI" w:hAnsiTheme="minorHAnsi"/>
          <w:sz w:val="24"/>
          <w:szCs w:val="24"/>
          <w:vertAlign w:val="superscript"/>
          <w:lang w:val="en-GB"/>
        </w:rPr>
      </w:pPr>
      <w:bookmarkStart w:id="19" w:name="_Hlk135747459"/>
      <w:r w:rsidRPr="0055474B">
        <w:rPr>
          <w:rFonts w:asciiTheme="minorHAnsi" w:eastAsia="Segoe UI" w:hAnsiTheme="minorHAnsi"/>
          <w:sz w:val="24"/>
          <w:szCs w:val="24"/>
          <w:lang w:val="en-GB"/>
        </w:rPr>
        <w:t xml:space="preserve">Key guarantees for protecting rights of rainbow families have been interpreted by the European Court of Human Rights (ECtHR) as arising mainly from </w:t>
      </w:r>
      <w:r w:rsidRPr="00580C3A">
        <w:rPr>
          <w:rStyle w:val="Emphasis"/>
        </w:rPr>
        <w:t>Article 8</w:t>
      </w:r>
      <w:r w:rsidRPr="0055474B">
        <w:rPr>
          <w:rFonts w:asciiTheme="minorHAnsi" w:eastAsia="Segoe UI" w:hAnsiTheme="minorHAnsi"/>
          <w:sz w:val="24"/>
          <w:szCs w:val="24"/>
          <w:lang w:val="en-GB"/>
        </w:rPr>
        <w:t xml:space="preserve"> (right to respect for private and family life, home and correspondence) </w:t>
      </w:r>
      <w:r w:rsidRPr="00580C3A">
        <w:rPr>
          <w:rStyle w:val="Emphasis"/>
        </w:rPr>
        <w:t>and Article 12</w:t>
      </w:r>
      <w:r w:rsidRPr="0055474B">
        <w:rPr>
          <w:rFonts w:asciiTheme="minorHAnsi" w:eastAsia="Segoe UI" w:hAnsiTheme="minorHAnsi"/>
          <w:sz w:val="24"/>
          <w:szCs w:val="24"/>
          <w:lang w:val="en-GB"/>
        </w:rPr>
        <w:t xml:space="preserve"> (the right to marry and to found a family) of the </w:t>
      </w:r>
      <w:r w:rsidRPr="00580C3A">
        <w:rPr>
          <w:rStyle w:val="Emphasis"/>
        </w:rPr>
        <w:t>European Convention on the Protection of Human Rights and Fundamental Freedoms</w:t>
      </w:r>
      <w:r w:rsidRPr="0055474B">
        <w:rPr>
          <w:rFonts w:asciiTheme="minorHAnsi" w:eastAsia="Segoe UI" w:hAnsiTheme="minorHAnsi"/>
          <w:sz w:val="24"/>
          <w:szCs w:val="24"/>
          <w:lang w:val="en-GB"/>
        </w:rPr>
        <w:t xml:space="preserve"> (ECHR), either alone or in conjunction with </w:t>
      </w:r>
      <w:r w:rsidRPr="00580C3A">
        <w:rPr>
          <w:rStyle w:val="Emphasis"/>
        </w:rPr>
        <w:t>Article 14 ECHR</w:t>
      </w:r>
      <w:r w:rsidRPr="0055474B">
        <w:rPr>
          <w:rFonts w:asciiTheme="minorHAnsi" w:eastAsia="Segoe UI" w:hAnsiTheme="minorHAnsi"/>
          <w:sz w:val="24"/>
          <w:szCs w:val="24"/>
          <w:lang w:val="en-GB"/>
        </w:rPr>
        <w:t xml:space="preserve"> (non-discrimination). </w:t>
      </w:r>
      <w:bookmarkEnd w:id="19"/>
      <w:r w:rsidRPr="0055474B">
        <w:rPr>
          <w:rFonts w:asciiTheme="minorHAnsi" w:eastAsia="Segoe UI" w:hAnsiTheme="minorHAnsi"/>
          <w:sz w:val="24"/>
          <w:szCs w:val="24"/>
          <w:lang w:val="en-GB"/>
        </w:rPr>
        <w:t>Moreover, ECtHR ha</w:t>
      </w:r>
      <w:r w:rsidR="0003767E">
        <w:rPr>
          <w:rFonts w:asciiTheme="minorHAnsi" w:eastAsia="Segoe UI" w:hAnsiTheme="minorHAnsi"/>
          <w:sz w:val="24"/>
          <w:szCs w:val="24"/>
          <w:lang w:val="en-GB"/>
        </w:rPr>
        <w:t>s</w:t>
      </w:r>
      <w:r w:rsidRPr="0055474B">
        <w:rPr>
          <w:rFonts w:asciiTheme="minorHAnsi" w:eastAsia="Segoe UI" w:hAnsiTheme="minorHAnsi"/>
          <w:sz w:val="24"/>
          <w:szCs w:val="24"/>
          <w:lang w:val="en-GB"/>
        </w:rPr>
        <w:t xml:space="preserve"> also recognized in its case-law the movement towards legal recognition of same-sex couples both at the level of Council of Europe as well as globally, which it took into consideration in deciding cases involving same-sex couples</w:t>
      </w:r>
      <w:r w:rsidRPr="0055474B">
        <w:rPr>
          <w:rStyle w:val="FootnoteReference"/>
          <w:rFonts w:asciiTheme="minorHAnsi" w:eastAsia="Segoe UI" w:hAnsiTheme="minorHAnsi"/>
          <w:sz w:val="24"/>
          <w:szCs w:val="24"/>
          <w:lang w:val="en-GB"/>
        </w:rPr>
        <w:footnoteReference w:id="27"/>
      </w:r>
      <w:r w:rsidR="00051BB5" w:rsidRPr="00051BB5">
        <w:rPr>
          <w:rFonts w:asciiTheme="minorHAnsi" w:eastAsia="Segoe UI" w:hAnsiTheme="minorHAnsi"/>
          <w:sz w:val="24"/>
          <w:szCs w:val="24"/>
          <w:vertAlign w:val="superscript"/>
          <w:lang w:val="en-GB"/>
        </w:rPr>
        <w:t>,</w:t>
      </w:r>
      <w:r w:rsidRPr="0055474B">
        <w:rPr>
          <w:rStyle w:val="FootnoteReference"/>
          <w:rFonts w:asciiTheme="minorHAnsi" w:eastAsia="Segoe UI" w:hAnsiTheme="minorHAnsi"/>
          <w:sz w:val="24"/>
          <w:szCs w:val="24"/>
          <w:lang w:val="en-GB"/>
        </w:rPr>
        <w:footnoteReference w:id="28"/>
      </w:r>
      <w:r w:rsidRPr="0055474B">
        <w:rPr>
          <w:rFonts w:asciiTheme="minorHAnsi" w:eastAsia="Segoe UI" w:hAnsiTheme="minorHAnsi"/>
          <w:sz w:val="24"/>
          <w:szCs w:val="24"/>
          <w:lang w:val="en-GB"/>
        </w:rPr>
        <w:t>.</w:t>
      </w:r>
    </w:p>
    <w:p w14:paraId="09D81DDB" w14:textId="48D3F81E" w:rsidR="00052F84" w:rsidRPr="0055474B" w:rsidRDefault="00052F84" w:rsidP="0055474B">
      <w:pPr>
        <w:spacing w:before="120" w:after="120" w:line="360" w:lineRule="auto"/>
        <w:rPr>
          <w:rFonts w:asciiTheme="minorHAnsi" w:eastAsia="Segoe UI" w:hAnsiTheme="minorHAnsi"/>
          <w:sz w:val="24"/>
          <w:szCs w:val="24"/>
          <w:lang w:val="en-GB"/>
        </w:rPr>
      </w:pPr>
      <w:r w:rsidRPr="0055474B">
        <w:rPr>
          <w:rFonts w:asciiTheme="minorHAnsi" w:eastAsia="Segoe UI" w:hAnsiTheme="minorHAnsi"/>
          <w:sz w:val="24"/>
          <w:szCs w:val="24"/>
          <w:lang w:val="en-GB"/>
        </w:rPr>
        <w:t xml:space="preserve">From the perspective of same-sex partnerships recognition, the key decision of the ECtHR, referred to also in cases before CJEU, was given in the cases </w:t>
      </w:r>
      <w:r w:rsidRPr="00580C3A">
        <w:rPr>
          <w:rStyle w:val="Emphasis"/>
        </w:rPr>
        <w:t>Oliari and Others v. Italy</w:t>
      </w:r>
      <w:r w:rsidRPr="0055474B">
        <w:rPr>
          <w:rFonts w:asciiTheme="minorHAnsi" w:eastAsia="Segoe UI" w:hAnsiTheme="minorHAnsi"/>
          <w:sz w:val="24"/>
          <w:szCs w:val="24"/>
          <w:lang w:val="en-GB"/>
        </w:rPr>
        <w:t>. In this case</w:t>
      </w:r>
      <w:r w:rsidRPr="0055474B">
        <w:rPr>
          <w:rFonts w:asciiTheme="minorHAnsi" w:eastAsia="Segoe UI" w:hAnsiTheme="minorHAnsi"/>
          <w:i/>
          <w:iCs/>
          <w:sz w:val="24"/>
          <w:szCs w:val="24"/>
          <w:lang w:val="en-GB"/>
        </w:rPr>
        <w:t>,</w:t>
      </w:r>
      <w:r w:rsidRPr="0055474B">
        <w:rPr>
          <w:rFonts w:asciiTheme="minorHAnsi" w:eastAsia="Segoe UI" w:hAnsiTheme="minorHAnsi"/>
          <w:sz w:val="24"/>
          <w:szCs w:val="24"/>
          <w:lang w:val="en-GB"/>
        </w:rPr>
        <w:t xml:space="preserve"> ECtHR held that states have </w:t>
      </w:r>
      <w:r w:rsidR="004117CD" w:rsidRPr="0055474B">
        <w:rPr>
          <w:rFonts w:asciiTheme="minorHAnsi" w:eastAsia="Segoe UI" w:hAnsiTheme="minorHAnsi"/>
          <w:sz w:val="24"/>
          <w:szCs w:val="24"/>
          <w:lang w:val="en-GB"/>
        </w:rPr>
        <w:t xml:space="preserve">a </w:t>
      </w:r>
      <w:r w:rsidRPr="0055474B">
        <w:rPr>
          <w:rFonts w:asciiTheme="minorHAnsi" w:eastAsia="Segoe UI" w:hAnsiTheme="minorHAnsi"/>
          <w:sz w:val="24"/>
          <w:szCs w:val="24"/>
          <w:lang w:val="en-GB"/>
        </w:rPr>
        <w:t>positive obligation under Article 8 ECHR to ensure that same-sex couples in stable unions or same-sex couples married in a foreign State, have available a specific legal framework providing for the recognition and protection of their same-sex unions.</w:t>
      </w:r>
      <w:r w:rsidR="00E27D82" w:rsidRPr="0055474B">
        <w:rPr>
          <w:rStyle w:val="FootnoteReference"/>
          <w:rFonts w:asciiTheme="minorHAnsi" w:eastAsia="Segoe UI" w:hAnsiTheme="minorHAnsi"/>
          <w:sz w:val="24"/>
          <w:szCs w:val="24"/>
          <w:lang w:val="en-GB"/>
        </w:rPr>
        <w:footnoteReference w:id="29"/>
      </w:r>
      <w:r w:rsidRPr="0055474B">
        <w:rPr>
          <w:rFonts w:asciiTheme="minorHAnsi" w:eastAsia="Segoe UI" w:hAnsiTheme="minorHAnsi"/>
          <w:sz w:val="24"/>
          <w:szCs w:val="24"/>
          <w:lang w:val="en-GB"/>
        </w:rPr>
        <w:t>  </w:t>
      </w:r>
    </w:p>
    <w:p w14:paraId="42FE1E12" w14:textId="39503EA1" w:rsidR="00052F84" w:rsidRPr="0055474B" w:rsidRDefault="00052F84" w:rsidP="0055474B">
      <w:pPr>
        <w:spacing w:before="120" w:after="120" w:line="360" w:lineRule="auto"/>
        <w:rPr>
          <w:rFonts w:asciiTheme="minorHAnsi" w:eastAsia="Segoe UI" w:hAnsiTheme="minorHAnsi"/>
          <w:sz w:val="24"/>
          <w:szCs w:val="24"/>
          <w:lang w:val="en-GB"/>
        </w:rPr>
      </w:pPr>
      <w:r w:rsidRPr="0055474B">
        <w:rPr>
          <w:rFonts w:asciiTheme="minorHAnsi" w:eastAsia="Segoe UI" w:hAnsiTheme="minorHAnsi"/>
          <w:sz w:val="24"/>
          <w:szCs w:val="24"/>
          <w:lang w:val="en-GB"/>
        </w:rPr>
        <w:lastRenderedPageBreak/>
        <w:t xml:space="preserve">The same conclusion was reached in </w:t>
      </w:r>
      <w:r w:rsidRPr="00E25543">
        <w:rPr>
          <w:rStyle w:val="Emphasis"/>
        </w:rPr>
        <w:t>Orlandi and Others v. Italy</w:t>
      </w:r>
      <w:r w:rsidRPr="0055474B">
        <w:rPr>
          <w:rFonts w:asciiTheme="minorHAnsi" w:eastAsia="Segoe UI" w:hAnsiTheme="minorHAnsi"/>
          <w:sz w:val="24"/>
          <w:szCs w:val="24"/>
          <w:lang w:val="en-GB"/>
        </w:rPr>
        <w:t>, where ECtHR concluded that Italy “failed to strike a fair balance between any competing interests” as it “failed to ensure that the applicants had available a specific legal framework providing for the recognition and protection of their same sex unions.</w:t>
      </w:r>
      <w:r w:rsidR="00CF5BB9" w:rsidRPr="0055474B">
        <w:rPr>
          <w:rStyle w:val="FootnoteReference"/>
          <w:rFonts w:asciiTheme="minorHAnsi" w:eastAsia="Segoe UI" w:hAnsiTheme="minorHAnsi"/>
          <w:sz w:val="24"/>
          <w:szCs w:val="24"/>
          <w:lang w:val="en-GB"/>
        </w:rPr>
        <w:footnoteReference w:id="30"/>
      </w:r>
      <w:r w:rsidRPr="0055474B">
        <w:rPr>
          <w:rFonts w:asciiTheme="minorHAnsi" w:eastAsia="Segoe UI" w:hAnsiTheme="minorHAnsi"/>
          <w:sz w:val="24"/>
          <w:szCs w:val="24"/>
          <w:lang w:val="en-GB"/>
        </w:rPr>
        <w:t xml:space="preserve"> However, ECtHR also concluded that if the national law allows for such safeguards while it does not allow for the same-sex marriage, there is no obligation to have the marriage contracted abroad registered as marriage</w:t>
      </w:r>
      <w:r w:rsidR="003E4F24" w:rsidRPr="0055474B">
        <w:rPr>
          <w:rFonts w:asciiTheme="minorHAnsi" w:eastAsia="Segoe UI" w:hAnsiTheme="minorHAnsi"/>
          <w:sz w:val="24"/>
          <w:szCs w:val="24"/>
          <w:lang w:val="en-GB"/>
        </w:rPr>
        <w:t>.</w:t>
      </w:r>
      <w:r w:rsidR="003E4F24" w:rsidRPr="0055474B">
        <w:rPr>
          <w:rStyle w:val="FootnoteReference"/>
          <w:rFonts w:asciiTheme="minorHAnsi" w:eastAsia="Segoe UI" w:hAnsiTheme="minorHAnsi"/>
          <w:sz w:val="24"/>
          <w:szCs w:val="24"/>
          <w:lang w:val="en-GB"/>
        </w:rPr>
        <w:footnoteReference w:id="31"/>
      </w:r>
    </w:p>
    <w:p w14:paraId="29D46544" w14:textId="7E34CDE9" w:rsidR="00052F84" w:rsidRPr="0055474B" w:rsidRDefault="001B55F5" w:rsidP="0055474B">
      <w:pPr>
        <w:spacing w:before="120" w:after="120" w:line="360" w:lineRule="auto"/>
        <w:rPr>
          <w:rFonts w:asciiTheme="minorHAnsi" w:eastAsia="Segoe UI" w:hAnsiTheme="minorHAnsi"/>
          <w:sz w:val="24"/>
          <w:szCs w:val="24"/>
          <w:lang w:val="en-GB"/>
        </w:rPr>
      </w:pPr>
      <w:r w:rsidRPr="0055474B">
        <w:rPr>
          <w:rFonts w:asciiTheme="minorHAnsi" w:eastAsia="Segoe UI" w:hAnsiTheme="minorHAnsi"/>
          <w:sz w:val="24"/>
          <w:szCs w:val="24"/>
          <w:lang w:val="en-GB"/>
        </w:rPr>
        <w:t xml:space="preserve">The </w:t>
      </w:r>
      <w:r w:rsidR="00052F84" w:rsidRPr="0055474B">
        <w:rPr>
          <w:rFonts w:asciiTheme="minorHAnsi" w:eastAsia="Segoe UI" w:hAnsiTheme="minorHAnsi"/>
          <w:sz w:val="24"/>
          <w:szCs w:val="24"/>
          <w:lang w:val="en-GB"/>
        </w:rPr>
        <w:t xml:space="preserve">ECtHR has also addressed the issue of recognition of same-sex partnerships for the purposes of </w:t>
      </w:r>
      <w:r w:rsidR="00052F84" w:rsidRPr="00816DA9">
        <w:rPr>
          <w:rFonts w:asciiTheme="minorHAnsi" w:eastAsia="Segoe UI" w:hAnsiTheme="minorHAnsi"/>
          <w:sz w:val="24"/>
          <w:szCs w:val="24"/>
          <w:lang w:val="en-GB"/>
        </w:rPr>
        <w:t xml:space="preserve">immigration rights under the protection of the right to family life. In </w:t>
      </w:r>
      <w:r w:rsidR="00052F84" w:rsidRPr="00816DA9">
        <w:rPr>
          <w:rStyle w:val="Emphasis"/>
        </w:rPr>
        <w:t>Taddeuci and McCall v. Italy</w:t>
      </w:r>
      <w:r w:rsidR="00052F84" w:rsidRPr="00816DA9">
        <w:rPr>
          <w:rFonts w:asciiTheme="minorHAnsi" w:eastAsia="Segoe UI" w:hAnsiTheme="minorHAnsi"/>
          <w:sz w:val="24"/>
          <w:szCs w:val="24"/>
          <w:lang w:val="en-GB"/>
        </w:rPr>
        <w:t xml:space="preserve">, ECtHR observed that “both the European Parliament and the Parliamentary Assembly of the Council of Europe have found a restrictive interpretation, by the Member States, of the </w:t>
      </w:r>
      <w:r w:rsidR="00052F84" w:rsidRPr="00816DA9">
        <w:rPr>
          <w:rStyle w:val="Emphasis"/>
        </w:rPr>
        <w:t>concept of “family member” in immigration</w:t>
      </w:r>
      <w:r w:rsidR="00052F84" w:rsidRPr="00816DA9">
        <w:rPr>
          <w:rFonts w:asciiTheme="minorHAnsi" w:eastAsia="Segoe UI" w:hAnsiTheme="minorHAnsi"/>
          <w:sz w:val="24"/>
          <w:szCs w:val="24"/>
          <w:lang w:val="en-GB"/>
        </w:rPr>
        <w:t xml:space="preserve"> matters to be problematical”.</w:t>
      </w:r>
      <w:r w:rsidR="006E578F" w:rsidRPr="00816DA9">
        <w:rPr>
          <w:rStyle w:val="FootnoteReference"/>
          <w:rFonts w:asciiTheme="minorHAnsi" w:eastAsia="Segoe UI" w:hAnsiTheme="minorHAnsi"/>
          <w:sz w:val="24"/>
          <w:szCs w:val="24"/>
          <w:lang w:val="en-GB"/>
        </w:rPr>
        <w:footnoteReference w:id="32"/>
      </w:r>
      <w:r w:rsidR="00052F84" w:rsidRPr="00816DA9">
        <w:rPr>
          <w:rFonts w:asciiTheme="minorHAnsi" w:eastAsia="Segoe UI" w:hAnsiTheme="minorHAnsi"/>
          <w:sz w:val="24"/>
          <w:szCs w:val="24"/>
          <w:lang w:val="en-GB"/>
        </w:rPr>
        <w:t xml:space="preserve"> The case</w:t>
      </w:r>
      <w:r w:rsidR="00052F84" w:rsidRPr="0055474B">
        <w:rPr>
          <w:rFonts w:asciiTheme="minorHAnsi" w:eastAsia="Segoe UI" w:hAnsiTheme="minorHAnsi"/>
          <w:sz w:val="24"/>
          <w:szCs w:val="24"/>
          <w:lang w:val="en-GB"/>
        </w:rPr>
        <w:t xml:space="preserve"> concerned a situation when the national legislation treated unregistered same-sex partners for family reunification purposes the same way as unregistered opposite- sex partners, but worse than spouses, while the national legislation did not allow same-sex marriages. While </w:t>
      </w:r>
      <w:r w:rsidR="00496AE4" w:rsidRPr="0055474B">
        <w:rPr>
          <w:rFonts w:asciiTheme="minorHAnsi" w:eastAsia="Segoe UI" w:hAnsiTheme="minorHAnsi"/>
          <w:sz w:val="24"/>
          <w:szCs w:val="24"/>
          <w:lang w:val="en-GB"/>
        </w:rPr>
        <w:t xml:space="preserve">the </w:t>
      </w:r>
      <w:r w:rsidR="00052F84" w:rsidRPr="0055474B">
        <w:rPr>
          <w:rFonts w:asciiTheme="minorHAnsi" w:eastAsia="Segoe UI" w:hAnsiTheme="minorHAnsi"/>
          <w:sz w:val="24"/>
          <w:szCs w:val="24"/>
          <w:lang w:val="en-GB"/>
        </w:rPr>
        <w:t>ECtHR observed that all unmarried couples were treated in the same way, unmarried opposite-sex couples were not in a comparable situation to unmarried same-sex couples as the la</w:t>
      </w:r>
      <w:r w:rsidR="006B5D05" w:rsidRPr="0055474B">
        <w:rPr>
          <w:rFonts w:asciiTheme="minorHAnsi" w:eastAsia="Segoe UI" w:hAnsiTheme="minorHAnsi"/>
          <w:sz w:val="24"/>
          <w:szCs w:val="24"/>
          <w:lang w:val="en-GB"/>
        </w:rPr>
        <w:t>t</w:t>
      </w:r>
      <w:r w:rsidR="00052F84" w:rsidRPr="0055474B">
        <w:rPr>
          <w:rFonts w:asciiTheme="minorHAnsi" w:eastAsia="Segoe UI" w:hAnsiTheme="minorHAnsi"/>
          <w:sz w:val="24"/>
          <w:szCs w:val="24"/>
          <w:lang w:val="en-GB"/>
        </w:rPr>
        <w:t>ter did not have a possibility of contracting marriage in Italy</w:t>
      </w:r>
      <w:r w:rsidR="00A47BB1" w:rsidRPr="0055474B">
        <w:rPr>
          <w:rFonts w:asciiTheme="minorHAnsi" w:eastAsia="Segoe UI" w:hAnsiTheme="minorHAnsi"/>
          <w:sz w:val="24"/>
          <w:szCs w:val="24"/>
          <w:lang w:val="en-GB"/>
        </w:rPr>
        <w:t xml:space="preserve"> </w:t>
      </w:r>
      <w:r w:rsidR="00052F84" w:rsidRPr="0055474B">
        <w:rPr>
          <w:rFonts w:asciiTheme="minorHAnsi" w:eastAsia="Segoe UI" w:hAnsiTheme="minorHAnsi"/>
          <w:sz w:val="24"/>
          <w:szCs w:val="24"/>
          <w:lang w:val="en-GB"/>
        </w:rPr>
        <w:t xml:space="preserve">and be regarded spouses under Italian </w:t>
      </w:r>
      <w:r w:rsidR="00052F84" w:rsidRPr="00816DA9">
        <w:rPr>
          <w:rFonts w:asciiTheme="minorHAnsi" w:eastAsia="Segoe UI" w:hAnsiTheme="minorHAnsi"/>
          <w:sz w:val="24"/>
          <w:szCs w:val="24"/>
          <w:lang w:val="en-GB"/>
        </w:rPr>
        <w:t>law.</w:t>
      </w:r>
      <w:r w:rsidR="002D182B" w:rsidRPr="00816DA9">
        <w:rPr>
          <w:rStyle w:val="FootnoteReference"/>
          <w:rFonts w:asciiTheme="minorHAnsi" w:eastAsia="Segoe UI" w:hAnsiTheme="minorHAnsi"/>
          <w:sz w:val="24"/>
          <w:szCs w:val="24"/>
          <w:lang w:val="en-GB"/>
        </w:rPr>
        <w:footnoteReference w:id="33"/>
      </w:r>
      <w:r w:rsidR="00052F84" w:rsidRPr="00816DA9">
        <w:rPr>
          <w:rFonts w:asciiTheme="minorHAnsi" w:eastAsia="Segoe UI" w:hAnsiTheme="minorHAnsi"/>
          <w:sz w:val="24"/>
          <w:szCs w:val="24"/>
          <w:lang w:val="en-GB"/>
        </w:rPr>
        <w:t xml:space="preserve"> It concluded that “by deciding to treat homosexual couples – for the purposes of granting a residence permit for family reasons – in the same way as heterosexual couples who had not regularised their situation the State infringed the applicants’ right not to be discriminated against on grounds of sexual orientation in the enjoyment of their rights under Article 8 of the Convention”</w:t>
      </w:r>
      <w:r w:rsidR="002D182B" w:rsidRPr="00816DA9">
        <w:rPr>
          <w:rFonts w:asciiTheme="minorHAnsi" w:eastAsia="Segoe UI" w:hAnsiTheme="minorHAnsi"/>
          <w:sz w:val="24"/>
          <w:szCs w:val="24"/>
          <w:lang w:val="en-GB"/>
        </w:rPr>
        <w:t>.</w:t>
      </w:r>
      <w:r w:rsidR="008F3DA7" w:rsidRPr="00816DA9">
        <w:rPr>
          <w:rStyle w:val="FootnoteReference"/>
          <w:rFonts w:asciiTheme="minorHAnsi" w:eastAsia="Segoe UI" w:hAnsiTheme="minorHAnsi"/>
          <w:sz w:val="24"/>
          <w:szCs w:val="24"/>
          <w:lang w:val="en-GB"/>
        </w:rPr>
        <w:footnoteReference w:id="34"/>
      </w:r>
      <w:r w:rsidR="00052F84" w:rsidRPr="0055474B">
        <w:rPr>
          <w:rFonts w:asciiTheme="minorHAnsi" w:eastAsia="Segoe UI" w:hAnsiTheme="minorHAnsi"/>
          <w:sz w:val="24"/>
          <w:szCs w:val="24"/>
          <w:lang w:val="en-GB"/>
        </w:rPr>
        <w:t> </w:t>
      </w:r>
    </w:p>
    <w:p w14:paraId="5F50952B" w14:textId="3EE553D6" w:rsidR="00052F84" w:rsidRPr="0055474B" w:rsidRDefault="00052F84" w:rsidP="0055474B">
      <w:pPr>
        <w:spacing w:before="120" w:after="120" w:line="360" w:lineRule="auto"/>
        <w:rPr>
          <w:rFonts w:asciiTheme="minorHAnsi" w:eastAsia="Segoe UI" w:hAnsiTheme="minorHAnsi"/>
          <w:sz w:val="24"/>
          <w:szCs w:val="24"/>
          <w:lang w:val="en-GB"/>
        </w:rPr>
      </w:pPr>
      <w:r w:rsidRPr="0055474B">
        <w:rPr>
          <w:rFonts w:asciiTheme="minorHAnsi" w:eastAsia="Segoe UI" w:hAnsiTheme="minorHAnsi"/>
          <w:sz w:val="24"/>
          <w:szCs w:val="24"/>
          <w:lang w:val="en-GB"/>
        </w:rPr>
        <w:lastRenderedPageBreak/>
        <w:t xml:space="preserve">In </w:t>
      </w:r>
      <w:r w:rsidRPr="0045744B">
        <w:rPr>
          <w:rStyle w:val="Emphasis"/>
        </w:rPr>
        <w:t>Pajić v. Croatia,</w:t>
      </w:r>
      <w:r w:rsidRPr="0055474B">
        <w:rPr>
          <w:rFonts w:asciiTheme="minorHAnsi" w:eastAsia="Segoe UI" w:hAnsiTheme="minorHAnsi"/>
          <w:sz w:val="24"/>
          <w:szCs w:val="24"/>
          <w:lang w:val="en-GB"/>
        </w:rPr>
        <w:t xml:space="preserve"> the ECtHR considered a national legislation that reserved the possibility to apply for a residence permit for family reunification to different-sex couples, both married and not. According to ECtHR, such legislation causes discrimination based on sexual orientation (Article 14 ECHR), as it excludes same-sex couples from its scope, in their enjoyment of the right to respect for </w:t>
      </w:r>
      <w:r w:rsidRPr="00816DA9">
        <w:rPr>
          <w:rFonts w:asciiTheme="minorHAnsi" w:eastAsia="Segoe UI" w:hAnsiTheme="minorHAnsi"/>
          <w:sz w:val="24"/>
          <w:szCs w:val="24"/>
          <w:lang w:val="en-GB"/>
        </w:rPr>
        <w:t xml:space="preserve">private and family life (Article 8 ECHR). ECtHR also emphasized that the applicants were </w:t>
      </w:r>
      <w:r w:rsidR="00F332EE" w:rsidRPr="00816DA9">
        <w:rPr>
          <w:rFonts w:asciiTheme="minorHAnsi" w:eastAsia="Segoe UI" w:hAnsiTheme="minorHAnsi"/>
          <w:sz w:val="24"/>
          <w:szCs w:val="24"/>
          <w:lang w:val="en-GB"/>
        </w:rPr>
        <w:t>“</w:t>
      </w:r>
      <w:r w:rsidRPr="00816DA9">
        <w:rPr>
          <w:rFonts w:asciiTheme="minorHAnsi" w:eastAsia="Segoe UI" w:hAnsiTheme="minorHAnsi"/>
          <w:sz w:val="24"/>
          <w:szCs w:val="24"/>
          <w:lang w:val="en-GB"/>
        </w:rPr>
        <w:t>discriminated against on account of the fact that the domestic authorities considered that such a possibility was in any case legally impossible.”</w:t>
      </w:r>
      <w:r w:rsidR="00494B01" w:rsidRPr="00816DA9">
        <w:rPr>
          <w:rStyle w:val="FootnoteReference"/>
          <w:rFonts w:asciiTheme="minorHAnsi" w:eastAsia="Segoe UI" w:hAnsiTheme="minorHAnsi"/>
          <w:sz w:val="24"/>
          <w:szCs w:val="24"/>
          <w:lang w:val="en-GB"/>
        </w:rPr>
        <w:footnoteReference w:id="35"/>
      </w:r>
      <w:r w:rsidRPr="0055474B">
        <w:rPr>
          <w:rFonts w:asciiTheme="minorHAnsi" w:eastAsia="Segoe UI" w:hAnsiTheme="minorHAnsi"/>
          <w:sz w:val="24"/>
          <w:szCs w:val="24"/>
          <w:lang w:val="en-GB"/>
        </w:rPr>
        <w:t> </w:t>
      </w:r>
    </w:p>
    <w:p w14:paraId="31776C03" w14:textId="77777777" w:rsidR="00052F84" w:rsidRPr="00CA1527" w:rsidRDefault="00052F84" w:rsidP="0055474B">
      <w:pPr>
        <w:pStyle w:val="Heading3"/>
      </w:pPr>
      <w:bookmarkStart w:id="20" w:name="_Toc157782134"/>
      <w:r w:rsidRPr="00CA1527">
        <w:t>Recognition of parenthood legally established abroad</w:t>
      </w:r>
      <w:bookmarkEnd w:id="20"/>
      <w:r w:rsidRPr="00CA1527">
        <w:t> </w:t>
      </w:r>
    </w:p>
    <w:p w14:paraId="4D777D51" w14:textId="0233F5FA" w:rsidR="00052F84" w:rsidRPr="00816DA9" w:rsidRDefault="00052F84" w:rsidP="00EE596A">
      <w:pPr>
        <w:spacing w:before="120" w:after="120" w:line="360" w:lineRule="auto"/>
        <w:rPr>
          <w:rFonts w:asciiTheme="minorHAnsi" w:eastAsia="Segoe UI" w:hAnsiTheme="minorHAnsi"/>
          <w:sz w:val="24"/>
          <w:szCs w:val="24"/>
          <w:lang w:val="en-GB"/>
        </w:rPr>
      </w:pPr>
      <w:r w:rsidRPr="00EE596A">
        <w:rPr>
          <w:rFonts w:asciiTheme="minorHAnsi" w:eastAsia="Segoe UI" w:hAnsiTheme="minorHAnsi"/>
          <w:sz w:val="24"/>
          <w:szCs w:val="24"/>
          <w:lang w:val="en-GB"/>
        </w:rPr>
        <w:t xml:space="preserve">The issue of cross-border continuity of family ties has been addressed by </w:t>
      </w:r>
      <w:r w:rsidR="004E3EEF" w:rsidRPr="00EE596A">
        <w:rPr>
          <w:rFonts w:asciiTheme="minorHAnsi" w:eastAsia="Segoe UI" w:hAnsiTheme="minorHAnsi"/>
          <w:sz w:val="24"/>
          <w:szCs w:val="24"/>
          <w:lang w:val="en-GB"/>
        </w:rPr>
        <w:t xml:space="preserve">the </w:t>
      </w:r>
      <w:r w:rsidRPr="00EE596A">
        <w:rPr>
          <w:rFonts w:asciiTheme="minorHAnsi" w:eastAsia="Segoe UI" w:hAnsiTheme="minorHAnsi"/>
          <w:sz w:val="24"/>
          <w:szCs w:val="24"/>
          <w:lang w:val="en-GB"/>
        </w:rPr>
        <w:t xml:space="preserve">ECtHR in the case </w:t>
      </w:r>
      <w:r w:rsidRPr="00E25543">
        <w:rPr>
          <w:rStyle w:val="Emphasis"/>
        </w:rPr>
        <w:t>Wagner v. Luxembourg</w:t>
      </w:r>
      <w:r w:rsidRPr="00EE596A">
        <w:rPr>
          <w:rFonts w:asciiTheme="minorHAnsi" w:eastAsia="Segoe UI" w:hAnsiTheme="minorHAnsi"/>
          <w:sz w:val="24"/>
          <w:szCs w:val="24"/>
          <w:lang w:val="en-GB"/>
        </w:rPr>
        <w:t xml:space="preserve">. The case concerned the refusal of the Luxembourg authorities to recognise the decision of the Peruvian court pronouncing the full adoption by Ms. Wagner, a Luxembourg national, of her child, a Peruvian national, since the national legislation did not allow full adoption of a child by an individual - an unmarried person. Despite the </w:t>
      </w:r>
      <w:r w:rsidR="006912EE" w:rsidRPr="00EE596A">
        <w:rPr>
          <w:rFonts w:asciiTheme="minorHAnsi" w:eastAsia="Segoe UI" w:hAnsiTheme="minorHAnsi"/>
          <w:sz w:val="24"/>
          <w:szCs w:val="24"/>
          <w:lang w:val="en-GB"/>
        </w:rPr>
        <w:t xml:space="preserve">fact that the </w:t>
      </w:r>
      <w:r w:rsidRPr="00EE596A">
        <w:rPr>
          <w:rFonts w:asciiTheme="minorHAnsi" w:eastAsia="Segoe UI" w:hAnsiTheme="minorHAnsi"/>
          <w:sz w:val="24"/>
          <w:szCs w:val="24"/>
          <w:lang w:val="en-GB"/>
        </w:rPr>
        <w:t xml:space="preserve">case did not consider a situation of a rainbow family, it laid down an </w:t>
      </w:r>
      <w:r w:rsidRPr="00E25543">
        <w:rPr>
          <w:rStyle w:val="Emphasis"/>
        </w:rPr>
        <w:t>important precedence</w:t>
      </w:r>
      <w:r w:rsidRPr="00EE596A">
        <w:rPr>
          <w:rFonts w:asciiTheme="minorHAnsi" w:eastAsia="Segoe UI" w:hAnsiTheme="minorHAnsi"/>
          <w:sz w:val="24"/>
          <w:szCs w:val="24"/>
          <w:lang w:val="en-GB"/>
        </w:rPr>
        <w:t xml:space="preserve"> that should, in line with the principle of non-discrimination, apply also in cases considering the parenthood recognition by Council of Europe Member States established in relation to </w:t>
      </w:r>
      <w:r w:rsidRPr="00816DA9">
        <w:rPr>
          <w:rFonts w:asciiTheme="minorHAnsi" w:eastAsia="Segoe UI" w:hAnsiTheme="minorHAnsi"/>
          <w:sz w:val="24"/>
          <w:szCs w:val="24"/>
          <w:lang w:val="en-GB"/>
        </w:rPr>
        <w:t>same-sex couples abroad. ECtHR stated that in line with the best interests of the child, the national courts “could not reasonably disregard the legal status validly created abroad and corresponding to a family life within the meaning of Article 8 of the Convention”.</w:t>
      </w:r>
      <w:r w:rsidR="00BC48BA" w:rsidRPr="00816DA9">
        <w:rPr>
          <w:rStyle w:val="FootnoteReference"/>
          <w:rFonts w:asciiTheme="minorHAnsi" w:eastAsia="Segoe UI" w:hAnsiTheme="minorHAnsi"/>
          <w:sz w:val="24"/>
          <w:szCs w:val="24"/>
          <w:lang w:val="en-GB"/>
        </w:rPr>
        <w:footnoteReference w:id="36"/>
      </w:r>
      <w:r w:rsidRPr="00816DA9">
        <w:rPr>
          <w:rFonts w:asciiTheme="minorHAnsi" w:eastAsia="Segoe UI" w:hAnsiTheme="minorHAnsi"/>
          <w:sz w:val="24"/>
          <w:szCs w:val="24"/>
          <w:lang w:val="en-GB"/>
        </w:rPr>
        <w:t>  </w:t>
      </w:r>
    </w:p>
    <w:p w14:paraId="7C0F582D" w14:textId="2307E17B" w:rsidR="00052F84" w:rsidRPr="00EE596A" w:rsidRDefault="00052F84" w:rsidP="00EE596A">
      <w:pPr>
        <w:spacing w:before="120" w:after="120" w:line="360" w:lineRule="auto"/>
        <w:rPr>
          <w:rFonts w:asciiTheme="minorHAnsi" w:eastAsia="Segoe UI" w:hAnsiTheme="minorHAnsi"/>
          <w:sz w:val="24"/>
          <w:szCs w:val="24"/>
          <w:lang w:val="en-GB"/>
        </w:rPr>
      </w:pPr>
      <w:r w:rsidRPr="00816DA9">
        <w:rPr>
          <w:rFonts w:asciiTheme="minorHAnsi" w:eastAsia="Segoe UI" w:hAnsiTheme="minorHAnsi"/>
          <w:sz w:val="24"/>
          <w:szCs w:val="24"/>
          <w:lang w:val="en-GB"/>
        </w:rPr>
        <w:t xml:space="preserve">In </w:t>
      </w:r>
      <w:r w:rsidRPr="00816DA9">
        <w:rPr>
          <w:rStyle w:val="Emphasis"/>
        </w:rPr>
        <w:t>Mennesson v. France</w:t>
      </w:r>
      <w:r w:rsidRPr="00816DA9">
        <w:rPr>
          <w:rFonts w:asciiTheme="minorHAnsi" w:eastAsia="Segoe UI" w:hAnsiTheme="minorHAnsi"/>
          <w:sz w:val="24"/>
          <w:szCs w:val="24"/>
          <w:lang w:val="en-GB"/>
        </w:rPr>
        <w:t xml:space="preserve">, </w:t>
      </w:r>
      <w:r w:rsidR="002C3608" w:rsidRPr="00816DA9">
        <w:rPr>
          <w:rFonts w:asciiTheme="minorHAnsi" w:eastAsia="Segoe UI" w:hAnsiTheme="minorHAnsi"/>
          <w:sz w:val="24"/>
          <w:szCs w:val="24"/>
          <w:lang w:val="en-GB"/>
        </w:rPr>
        <w:t xml:space="preserve">the </w:t>
      </w:r>
      <w:r w:rsidRPr="00816DA9">
        <w:rPr>
          <w:rFonts w:asciiTheme="minorHAnsi" w:eastAsia="Segoe UI" w:hAnsiTheme="minorHAnsi"/>
          <w:sz w:val="24"/>
          <w:szCs w:val="24"/>
          <w:lang w:val="en-GB"/>
        </w:rPr>
        <w:t>ECtHR also considered a situation of cross-border legal recognition of parenthood legally established</w:t>
      </w:r>
      <w:r w:rsidRPr="00EE596A">
        <w:rPr>
          <w:rFonts w:asciiTheme="minorHAnsi" w:eastAsia="Segoe UI" w:hAnsiTheme="minorHAnsi"/>
          <w:sz w:val="24"/>
          <w:szCs w:val="24"/>
          <w:lang w:val="en-GB"/>
        </w:rPr>
        <w:t xml:space="preserve"> abroad, this time in a case concerning </w:t>
      </w:r>
      <w:r w:rsidRPr="00445154">
        <w:rPr>
          <w:rStyle w:val="Emphasis"/>
        </w:rPr>
        <w:t>surrogacy</w:t>
      </w:r>
      <w:r w:rsidRPr="00EE596A">
        <w:rPr>
          <w:rFonts w:asciiTheme="minorHAnsi" w:eastAsia="Segoe UI" w:hAnsiTheme="minorHAnsi"/>
          <w:sz w:val="24"/>
          <w:szCs w:val="24"/>
          <w:lang w:val="en-GB"/>
        </w:rPr>
        <w:t xml:space="preserve">. In this case ECtHR found that the refusal of French authorities to recognise as a legal parent the genetic father of a child born through a surrogacy agreement in the United States violated the right to respect for </w:t>
      </w:r>
      <w:r w:rsidRPr="00816DA9">
        <w:rPr>
          <w:rFonts w:asciiTheme="minorHAnsi" w:eastAsia="Segoe UI" w:hAnsiTheme="minorHAnsi"/>
          <w:sz w:val="24"/>
          <w:szCs w:val="24"/>
          <w:lang w:val="en-GB"/>
        </w:rPr>
        <w:t xml:space="preserve">private life of the children concerned, U.S. nationals. However, it did not establish violation of Article 8 ECHR in case of parents, French citizens. </w:t>
      </w:r>
      <w:r w:rsidRPr="00816DA9">
        <w:rPr>
          <w:rFonts w:asciiTheme="minorHAnsi" w:eastAsia="Segoe UI" w:hAnsiTheme="minorHAnsi"/>
          <w:sz w:val="24"/>
          <w:szCs w:val="24"/>
          <w:lang w:val="en-GB"/>
        </w:rPr>
        <w:lastRenderedPageBreak/>
        <w:t>ECtHR observed that “respect for private life requires that everyone should be able to establish details of their identity as individual human beings, which includes the legal parent-child relationship” and that the national law place the children concerned in a position of legal uncertainty. Despite their legal parent-child relationship established under the Californian law has been acknowledged by the</w:t>
      </w:r>
      <w:r w:rsidRPr="00EE596A">
        <w:rPr>
          <w:rFonts w:asciiTheme="minorHAnsi" w:eastAsia="Segoe UI" w:hAnsiTheme="minorHAnsi"/>
          <w:sz w:val="24"/>
          <w:szCs w:val="24"/>
          <w:lang w:val="en-GB"/>
        </w:rPr>
        <w:t xml:space="preserve"> national courts, it was not given effect due to refusal to record the details of their birth certificates accordingly. The legal uncertainty caused by the non-recognition of parent-child relationship is liable to undermine children´s definition of their personal identity.</w:t>
      </w:r>
      <w:r w:rsidR="005E0BED" w:rsidRPr="00EE596A">
        <w:rPr>
          <w:rStyle w:val="FootnoteReference"/>
          <w:rFonts w:asciiTheme="minorHAnsi" w:eastAsia="Segoe UI" w:hAnsiTheme="minorHAnsi"/>
          <w:sz w:val="24"/>
          <w:szCs w:val="24"/>
          <w:lang w:val="en-GB"/>
        </w:rPr>
        <w:footnoteReference w:id="37"/>
      </w:r>
    </w:p>
    <w:p w14:paraId="73B6A8AF" w14:textId="40D0A900" w:rsidR="00052F84" w:rsidRPr="00EE596A" w:rsidRDefault="00052F84" w:rsidP="00EE596A">
      <w:pPr>
        <w:spacing w:before="120" w:after="120" w:line="360" w:lineRule="auto"/>
        <w:rPr>
          <w:rFonts w:asciiTheme="minorHAnsi" w:eastAsia="Segoe UI" w:hAnsiTheme="minorHAnsi"/>
          <w:sz w:val="24"/>
          <w:szCs w:val="24"/>
          <w:lang w:val="en-GB"/>
        </w:rPr>
      </w:pPr>
      <w:r w:rsidRPr="00EE596A">
        <w:rPr>
          <w:rFonts w:asciiTheme="minorHAnsi" w:eastAsia="Segoe UI" w:hAnsiTheme="minorHAnsi"/>
          <w:sz w:val="24"/>
          <w:szCs w:val="24"/>
          <w:lang w:val="en-GB"/>
        </w:rPr>
        <w:t xml:space="preserve">While </w:t>
      </w:r>
      <w:r w:rsidRPr="0032254E">
        <w:rPr>
          <w:rFonts w:asciiTheme="minorHAnsi" w:eastAsia="Segoe UI" w:hAnsiTheme="minorHAnsi"/>
          <w:sz w:val="24"/>
          <w:szCs w:val="24"/>
          <w:lang w:val="en-GB"/>
        </w:rPr>
        <w:t>Mennesson v. France</w:t>
      </w:r>
      <w:r w:rsidRPr="00EE596A">
        <w:rPr>
          <w:rFonts w:asciiTheme="minorHAnsi" w:eastAsia="Segoe UI" w:hAnsiTheme="minorHAnsi"/>
          <w:sz w:val="24"/>
          <w:szCs w:val="24"/>
          <w:lang w:val="en-GB"/>
        </w:rPr>
        <w:t xml:space="preserve"> concerned a situation of a genetical father, in </w:t>
      </w:r>
      <w:r w:rsidRPr="00445154">
        <w:rPr>
          <w:rStyle w:val="Emphasis"/>
        </w:rPr>
        <w:t>D v. France</w:t>
      </w:r>
      <w:r w:rsidRPr="00EE596A">
        <w:rPr>
          <w:rFonts w:asciiTheme="minorHAnsi" w:eastAsia="Segoe UI" w:hAnsiTheme="minorHAnsi"/>
          <w:sz w:val="24"/>
          <w:szCs w:val="24"/>
          <w:lang w:val="en-GB"/>
        </w:rPr>
        <w:t xml:space="preserve"> ECtHR concluded that the right to respect for private life under Article 8 ECHR of a child born abroad through gestational surrogacy requires that the national law provides for a possibility of recognition of a legal parent-child relationship also with the intended non-biologically related mother recognized in the birth certificate legally issued abroad as the legal mother. Such recognition does not need to be automatic but can be provided by national law through other means including adoption of the child by the intended mother in accordance with the child´s best interest</w:t>
      </w:r>
      <w:r w:rsidR="00603964" w:rsidRPr="00EE596A">
        <w:rPr>
          <w:rStyle w:val="FootnoteReference"/>
          <w:rFonts w:asciiTheme="minorHAnsi" w:eastAsia="Segoe UI" w:hAnsiTheme="minorHAnsi"/>
          <w:sz w:val="24"/>
          <w:szCs w:val="24"/>
          <w:lang w:val="en-GB"/>
        </w:rPr>
        <w:footnoteReference w:id="38"/>
      </w:r>
      <w:r w:rsidR="00AD5F37" w:rsidRPr="00EE596A">
        <w:rPr>
          <w:rFonts w:asciiTheme="minorHAnsi" w:eastAsia="Segoe UI" w:hAnsiTheme="minorHAnsi"/>
          <w:sz w:val="24"/>
          <w:szCs w:val="24"/>
          <w:lang w:val="en-GB"/>
        </w:rPr>
        <w:t>.</w:t>
      </w:r>
      <w:r w:rsidR="00625E10" w:rsidRPr="00EE596A">
        <w:rPr>
          <w:rStyle w:val="FootnoteReference"/>
          <w:rFonts w:asciiTheme="minorHAnsi" w:eastAsia="Segoe UI" w:hAnsiTheme="minorHAnsi"/>
          <w:sz w:val="24"/>
          <w:szCs w:val="24"/>
          <w:lang w:val="en-GB"/>
        </w:rPr>
        <w:footnoteReference w:id="39"/>
      </w:r>
    </w:p>
    <w:p w14:paraId="586634A0" w14:textId="42E0F31C" w:rsidR="00052F84" w:rsidRPr="00EE596A" w:rsidRDefault="00052F84" w:rsidP="00EE596A">
      <w:pPr>
        <w:spacing w:before="120" w:after="120" w:line="360" w:lineRule="auto"/>
        <w:rPr>
          <w:rFonts w:asciiTheme="minorHAnsi" w:eastAsia="Segoe UI" w:hAnsiTheme="minorHAnsi"/>
          <w:sz w:val="24"/>
          <w:szCs w:val="24"/>
          <w:lang w:val="en-GB"/>
        </w:rPr>
      </w:pPr>
      <w:r w:rsidRPr="00EE596A">
        <w:rPr>
          <w:rFonts w:asciiTheme="minorHAnsi" w:eastAsia="Segoe UI" w:hAnsiTheme="minorHAnsi"/>
          <w:sz w:val="24"/>
          <w:szCs w:val="24"/>
          <w:lang w:val="en-GB"/>
        </w:rPr>
        <w:t xml:space="preserve">In line with the above-mentioned case-law of the ECtHR, </w:t>
      </w:r>
      <w:r w:rsidRPr="00445154">
        <w:rPr>
          <w:rStyle w:val="Emphasis"/>
        </w:rPr>
        <w:t>Article 8 ECHR protects family relationships legally established in another country in certain cross-border situations</w:t>
      </w:r>
      <w:r w:rsidRPr="00EE596A">
        <w:rPr>
          <w:rFonts w:asciiTheme="minorHAnsi" w:eastAsia="Segoe UI" w:hAnsiTheme="minorHAnsi"/>
          <w:sz w:val="24"/>
          <w:szCs w:val="24"/>
          <w:lang w:val="en-GB"/>
        </w:rPr>
        <w:t xml:space="preserve">. This protection included recognition of the parent-child relationship, both in cases of biological and legal parents. ECtHR has yet not answered whether the protection applies also to rainbow families. However, a case concerning the recognition of same-sex parenthood legally established abroad is currently a pending case before it. The application in case </w:t>
      </w:r>
      <w:r w:rsidRPr="00445154">
        <w:rPr>
          <w:rStyle w:val="Emphasis"/>
        </w:rPr>
        <w:t>A.D.-K. and Others v. Poland</w:t>
      </w:r>
      <w:r w:rsidRPr="00EE596A">
        <w:rPr>
          <w:rFonts w:asciiTheme="minorHAnsi" w:eastAsia="Segoe UI" w:hAnsiTheme="minorHAnsi"/>
          <w:sz w:val="24"/>
          <w:szCs w:val="24"/>
          <w:lang w:val="en-GB"/>
        </w:rPr>
        <w:t xml:space="preserve"> concerns a Polish woman and a British woman who live together in a civil partnership registered in the United Kingdom. The second applicant to this case, a British national, </w:t>
      </w:r>
      <w:r w:rsidR="00624A4A" w:rsidRPr="00EE596A">
        <w:rPr>
          <w:rFonts w:asciiTheme="minorHAnsi" w:eastAsia="Segoe UI" w:hAnsiTheme="minorHAnsi"/>
          <w:sz w:val="24"/>
          <w:szCs w:val="24"/>
          <w:lang w:val="en-GB"/>
        </w:rPr>
        <w:t xml:space="preserve">gave </w:t>
      </w:r>
      <w:r w:rsidRPr="00EE596A">
        <w:rPr>
          <w:rFonts w:asciiTheme="minorHAnsi" w:eastAsia="Segoe UI" w:hAnsiTheme="minorHAnsi"/>
          <w:sz w:val="24"/>
          <w:szCs w:val="24"/>
          <w:lang w:val="en-GB"/>
        </w:rPr>
        <w:t xml:space="preserve">birth to a child in the United Kingdom in 2011. The child´s birth </w:t>
      </w:r>
      <w:r w:rsidRPr="00EE596A">
        <w:rPr>
          <w:rFonts w:asciiTheme="minorHAnsi" w:eastAsia="Segoe UI" w:hAnsiTheme="minorHAnsi"/>
          <w:sz w:val="24"/>
          <w:szCs w:val="24"/>
          <w:lang w:val="en-GB"/>
        </w:rPr>
        <w:lastRenderedPageBreak/>
        <w:t xml:space="preserve">certificate lists her as mother and her same-sex registered partner as parent. When the same-sex parents applied to Polish authorities to have the birth certificate of the child recorded in Poland, the application was refused as the birth certificate issued in the United Kingdom contravened the basic principles of the Polish legal system and the conservative family model endorsed therein not allowing for registered civil partnerships. The administrative and judicial appeals against this decision were rejected upholding the </w:t>
      </w:r>
      <w:r w:rsidRPr="0026002C">
        <w:rPr>
          <w:rStyle w:val="Emphasis"/>
        </w:rPr>
        <w:t>public policy exception</w:t>
      </w:r>
      <w:r w:rsidRPr="00EE596A">
        <w:rPr>
          <w:rFonts w:asciiTheme="minorHAnsi" w:eastAsia="Segoe UI" w:hAnsiTheme="minorHAnsi"/>
          <w:sz w:val="24"/>
          <w:szCs w:val="24"/>
          <w:lang w:val="en-GB"/>
        </w:rPr>
        <w:t xml:space="preserve"> contrary to the applicants</w:t>
      </w:r>
      <w:r w:rsidR="00760405" w:rsidRPr="00EE596A">
        <w:rPr>
          <w:rFonts w:asciiTheme="minorHAnsi" w:eastAsia="Segoe UI" w:hAnsiTheme="minorHAnsi"/>
          <w:sz w:val="24"/>
          <w:szCs w:val="24"/>
          <w:lang w:val="en-GB"/>
        </w:rPr>
        <w:t>’</w:t>
      </w:r>
      <w:r w:rsidRPr="00EE596A">
        <w:rPr>
          <w:rFonts w:asciiTheme="minorHAnsi" w:eastAsia="Segoe UI" w:hAnsiTheme="minorHAnsi"/>
          <w:sz w:val="24"/>
          <w:szCs w:val="24"/>
          <w:lang w:val="en-GB"/>
        </w:rPr>
        <w:t xml:space="preserve"> claim that the refusal to issue a Polish birth certificate to their daughter constituted discrimination on the ground of their sexual orientation and that their daughter’s legal situation was different in the UK where she lived in a full family with two legal parents and in Poland where she had a mother and an unknown father. The complaint before ECtHR concerns alleged violation of Article 8 ECHR and Article 14 in conjunction with Article 8 ECHR by the refusal of Polish authorities to register the child´s birth certificate and consider both women as parents.</w:t>
      </w:r>
      <w:r w:rsidR="00EE3E60" w:rsidRPr="00EE596A">
        <w:rPr>
          <w:rStyle w:val="FootnoteReference"/>
          <w:rFonts w:asciiTheme="minorHAnsi" w:eastAsia="Segoe UI" w:hAnsiTheme="minorHAnsi"/>
          <w:sz w:val="24"/>
          <w:szCs w:val="24"/>
          <w:lang w:val="en-GB"/>
        </w:rPr>
        <w:footnoteReference w:id="40"/>
      </w:r>
    </w:p>
    <w:p w14:paraId="63FDB27E" w14:textId="77777777" w:rsidR="00052F84" w:rsidRPr="00CA1527" w:rsidRDefault="00052F84" w:rsidP="0055474B">
      <w:pPr>
        <w:pStyle w:val="Heading3"/>
      </w:pPr>
      <w:bookmarkStart w:id="21" w:name="_Toc157782135"/>
      <w:bookmarkStart w:id="22" w:name="_Hlk135747697"/>
      <w:r w:rsidRPr="1485492B">
        <w:t>Effect of gender transition on marriage and parental rights of transgender parents</w:t>
      </w:r>
      <w:bookmarkEnd w:id="21"/>
      <w:r w:rsidRPr="1485492B">
        <w:t> </w:t>
      </w:r>
    </w:p>
    <w:bookmarkEnd w:id="22"/>
    <w:p w14:paraId="16B579D9" w14:textId="56589239" w:rsidR="00052F84" w:rsidRPr="0055474B" w:rsidRDefault="00052F84" w:rsidP="0055474B">
      <w:pPr>
        <w:spacing w:before="120" w:after="120" w:line="360" w:lineRule="auto"/>
        <w:rPr>
          <w:rFonts w:asciiTheme="minorHAnsi" w:eastAsia="Segoe UI" w:hAnsiTheme="minorHAnsi"/>
          <w:sz w:val="24"/>
          <w:szCs w:val="24"/>
          <w:lang w:val="en-GB"/>
        </w:rPr>
      </w:pPr>
      <w:r w:rsidRPr="0055474B">
        <w:rPr>
          <w:rFonts w:asciiTheme="minorHAnsi" w:eastAsia="Segoe UI" w:hAnsiTheme="minorHAnsi"/>
          <w:sz w:val="24"/>
          <w:szCs w:val="24"/>
          <w:lang w:val="en-GB"/>
        </w:rPr>
        <w:t xml:space="preserve">Although cases concerning effects of gender transition on marriage concluded before transition and on parental rights of transgender persons that have been brought before ECtHR have not considered cross-border situations, </w:t>
      </w:r>
      <w:r w:rsidRPr="00A44FA0">
        <w:rPr>
          <w:rStyle w:val="Emphasis"/>
        </w:rPr>
        <w:t>standards set</w:t>
      </w:r>
      <w:r w:rsidR="287706EF" w:rsidRPr="00A44FA0">
        <w:rPr>
          <w:rStyle w:val="Emphasis"/>
        </w:rPr>
        <w:t xml:space="preserve"> </w:t>
      </w:r>
      <w:r w:rsidR="0D743CAF" w:rsidRPr="00A44FA0">
        <w:rPr>
          <w:rStyle w:val="Emphasis"/>
        </w:rPr>
        <w:t>in these cases for the</w:t>
      </w:r>
      <w:r w:rsidR="287706EF" w:rsidRPr="00A44FA0">
        <w:rPr>
          <w:rStyle w:val="Emphasis"/>
        </w:rPr>
        <w:t xml:space="preserve"> </w:t>
      </w:r>
      <w:r w:rsidRPr="00A44FA0">
        <w:rPr>
          <w:rStyle w:val="Emphasis"/>
        </w:rPr>
        <w:t xml:space="preserve"> protection of rights of transgender parents are detrimental for recognition of transgender partnerships and parenthood</w:t>
      </w:r>
      <w:r w:rsidR="3915993F" w:rsidRPr="00A44FA0">
        <w:rPr>
          <w:rStyle w:val="Emphasis"/>
        </w:rPr>
        <w:t>, and could be applicable also in cross-border situations</w:t>
      </w:r>
      <w:r w:rsidRPr="5EB95264">
        <w:rPr>
          <w:rFonts w:asciiTheme="minorHAnsi" w:eastAsia="Segoe UI" w:hAnsiTheme="minorHAnsi"/>
          <w:sz w:val="24"/>
          <w:szCs w:val="24"/>
          <w:lang w:val="en-GB"/>
        </w:rPr>
        <w:t>.</w:t>
      </w:r>
      <w:r w:rsidRPr="0055474B">
        <w:rPr>
          <w:rFonts w:asciiTheme="minorHAnsi" w:eastAsia="Segoe UI" w:hAnsiTheme="minorHAnsi"/>
          <w:sz w:val="24"/>
          <w:szCs w:val="24"/>
          <w:lang w:val="en-GB"/>
        </w:rPr>
        <w:t>  </w:t>
      </w:r>
    </w:p>
    <w:p w14:paraId="4B1026CA" w14:textId="12BB52E3" w:rsidR="00052F84" w:rsidRPr="00A44FA0" w:rsidRDefault="00052F84" w:rsidP="0055474B">
      <w:pPr>
        <w:spacing w:before="120" w:after="120" w:line="360" w:lineRule="auto"/>
        <w:rPr>
          <w:rFonts w:asciiTheme="minorHAnsi" w:eastAsia="Segoe UI" w:hAnsiTheme="minorHAnsi"/>
          <w:sz w:val="24"/>
          <w:szCs w:val="24"/>
          <w:lang w:val="en-GB"/>
        </w:rPr>
      </w:pPr>
      <w:r w:rsidRPr="0055474B">
        <w:rPr>
          <w:rFonts w:asciiTheme="minorHAnsi" w:eastAsia="Segoe UI" w:hAnsiTheme="minorHAnsi"/>
          <w:sz w:val="24"/>
          <w:szCs w:val="24"/>
          <w:lang w:val="en-GB"/>
        </w:rPr>
        <w:t xml:space="preserve">ECtHR has ruled on family ties in case </w:t>
      </w:r>
      <w:r w:rsidRPr="00A44FA0">
        <w:rPr>
          <w:rStyle w:val="Emphasis"/>
        </w:rPr>
        <w:t>X, Y and Z v. the United Kingdom</w:t>
      </w:r>
      <w:r w:rsidRPr="0055474B">
        <w:rPr>
          <w:rFonts w:asciiTheme="minorHAnsi" w:eastAsia="Segoe UI" w:hAnsiTheme="minorHAnsi"/>
          <w:sz w:val="24"/>
          <w:szCs w:val="24"/>
          <w:lang w:val="en-GB"/>
        </w:rPr>
        <w:t>. The case considered a female to male transsexual who has undergone gender reassignment surgery, lived as a male partner to a female who had given birth to a child by Artificial Insemination by Donor. The application of Artificial Insemination by Donor was applied jointly by the couple</w:t>
      </w:r>
      <w:r w:rsidR="009839EB">
        <w:rPr>
          <w:rFonts w:asciiTheme="minorHAnsi" w:eastAsia="Segoe UI" w:hAnsiTheme="minorHAnsi"/>
          <w:sz w:val="24"/>
          <w:szCs w:val="24"/>
          <w:lang w:val="en-GB"/>
        </w:rPr>
        <w:t xml:space="preserve">, and upon </w:t>
      </w:r>
      <w:r w:rsidR="00BF0474">
        <w:rPr>
          <w:rFonts w:asciiTheme="minorHAnsi" w:eastAsia="Segoe UI" w:hAnsiTheme="minorHAnsi"/>
          <w:sz w:val="24"/>
          <w:szCs w:val="24"/>
          <w:lang w:val="en-GB"/>
        </w:rPr>
        <w:t xml:space="preserve">the </w:t>
      </w:r>
      <w:r w:rsidR="009839EB">
        <w:rPr>
          <w:rFonts w:asciiTheme="minorHAnsi" w:eastAsia="Segoe UI" w:hAnsiTheme="minorHAnsi"/>
          <w:sz w:val="24"/>
          <w:szCs w:val="24"/>
          <w:lang w:val="en-GB"/>
        </w:rPr>
        <w:t>birth of the child,</w:t>
      </w:r>
      <w:r w:rsidRPr="0055474B">
        <w:rPr>
          <w:rFonts w:asciiTheme="minorHAnsi" w:eastAsia="Segoe UI" w:hAnsiTheme="minorHAnsi"/>
          <w:sz w:val="24"/>
          <w:szCs w:val="24"/>
          <w:lang w:val="en-GB"/>
        </w:rPr>
        <w:t xml:space="preserve"> the applicant acted as her father. In these circumstances, ECtHR </w:t>
      </w:r>
      <w:r w:rsidRPr="0055474B">
        <w:rPr>
          <w:rFonts w:asciiTheme="minorHAnsi" w:eastAsia="Segoe UI" w:hAnsiTheme="minorHAnsi"/>
          <w:sz w:val="24"/>
          <w:szCs w:val="24"/>
          <w:lang w:val="en-GB"/>
        </w:rPr>
        <w:lastRenderedPageBreak/>
        <w:t xml:space="preserve">ruled that the relationship among the three applicants enjoyed protection of Article 8 ECHR as they were linked by </w:t>
      </w:r>
      <w:r w:rsidRPr="00A44FA0">
        <w:rPr>
          <w:rStyle w:val="Emphasis"/>
        </w:rPr>
        <w:t>de facto family ties</w:t>
      </w:r>
      <w:r w:rsidR="0071073C" w:rsidRPr="00A44FA0">
        <w:rPr>
          <w:rFonts w:asciiTheme="minorHAnsi" w:eastAsia="Segoe UI" w:hAnsiTheme="minorHAnsi"/>
          <w:sz w:val="24"/>
          <w:szCs w:val="24"/>
          <w:lang w:val="en-GB"/>
        </w:rPr>
        <w:t>.</w:t>
      </w:r>
      <w:r w:rsidR="00AD58F6" w:rsidRPr="00A44FA0">
        <w:rPr>
          <w:rStyle w:val="FootnoteReference"/>
          <w:rFonts w:asciiTheme="minorHAnsi" w:eastAsia="Segoe UI" w:hAnsiTheme="minorHAnsi"/>
          <w:sz w:val="24"/>
          <w:szCs w:val="24"/>
          <w:lang w:val="en-GB"/>
        </w:rPr>
        <w:footnoteReference w:id="41"/>
      </w:r>
    </w:p>
    <w:p w14:paraId="45ACEC9F" w14:textId="55F69A3B" w:rsidR="00052F84" w:rsidRPr="0055474B" w:rsidRDefault="00052F84" w:rsidP="0055474B">
      <w:pPr>
        <w:spacing w:before="120" w:after="120" w:line="360" w:lineRule="auto"/>
        <w:rPr>
          <w:rFonts w:asciiTheme="minorHAnsi" w:eastAsia="Segoe UI" w:hAnsiTheme="minorHAnsi"/>
          <w:sz w:val="24"/>
          <w:szCs w:val="24"/>
          <w:lang w:val="en-GB"/>
        </w:rPr>
      </w:pPr>
      <w:r w:rsidRPr="0055474B">
        <w:rPr>
          <w:rFonts w:asciiTheme="minorHAnsi" w:eastAsia="Segoe UI" w:hAnsiTheme="minorHAnsi"/>
          <w:sz w:val="24"/>
          <w:szCs w:val="24"/>
          <w:lang w:val="en-GB"/>
        </w:rPr>
        <w:t xml:space="preserve">In </w:t>
      </w:r>
      <w:r w:rsidRPr="00A44FA0">
        <w:rPr>
          <w:rStyle w:val="Emphasis"/>
        </w:rPr>
        <w:t>A.M. and Others v. Russia</w:t>
      </w:r>
      <w:r w:rsidR="00072EC7" w:rsidRPr="00072EC7">
        <w:rPr>
          <w:rFonts w:asciiTheme="minorHAnsi" w:eastAsia="Segoe UI" w:hAnsiTheme="minorHAnsi"/>
          <w:i/>
          <w:iCs/>
          <w:sz w:val="24"/>
          <w:szCs w:val="24"/>
          <w:lang w:val="en-GB"/>
        </w:rPr>
        <w:t>,</w:t>
      </w:r>
      <w:r w:rsidRPr="0055474B">
        <w:rPr>
          <w:rFonts w:asciiTheme="minorHAnsi" w:eastAsia="Segoe UI" w:hAnsiTheme="minorHAnsi"/>
          <w:sz w:val="24"/>
          <w:szCs w:val="24"/>
          <w:lang w:val="en-GB"/>
        </w:rPr>
        <w:t xml:space="preserve"> a transwoman contested restriction of her parental rights over her children, which according to the domestic courts was reasonable given the social and individual circumstances of gender transition and the findings of the experts. ECtHR stated that by restricting the applicant’s parental rights and contact with her </w:t>
      </w:r>
      <w:r w:rsidRPr="00A44FA0">
        <w:rPr>
          <w:rStyle w:val="Emphasis"/>
        </w:rPr>
        <w:t>children without doing a proper evaluation of the possible harm to the applicant’s children</w:t>
      </w:r>
      <w:r w:rsidRPr="0055474B">
        <w:rPr>
          <w:rFonts w:asciiTheme="minorHAnsi" w:eastAsia="Segoe UI" w:hAnsiTheme="minorHAnsi"/>
          <w:sz w:val="24"/>
          <w:szCs w:val="24"/>
          <w:lang w:val="en-GB"/>
        </w:rPr>
        <w:t>, the domestic courts relied on her gender transition, singled her out on the ground of her status as a transgender person,</w:t>
      </w:r>
      <w:r w:rsidR="003E03CD" w:rsidRPr="0055474B">
        <w:rPr>
          <w:rStyle w:val="FootnoteReference"/>
          <w:rFonts w:asciiTheme="minorHAnsi" w:eastAsia="Segoe UI" w:hAnsiTheme="minorHAnsi"/>
          <w:sz w:val="24"/>
          <w:szCs w:val="24"/>
          <w:lang w:val="en-GB"/>
        </w:rPr>
        <w:footnoteReference w:id="42"/>
      </w:r>
      <w:r w:rsidRPr="0055474B">
        <w:rPr>
          <w:rFonts w:asciiTheme="minorHAnsi" w:eastAsia="Segoe UI" w:hAnsiTheme="minorHAnsi"/>
          <w:sz w:val="24"/>
          <w:szCs w:val="24"/>
          <w:lang w:val="en-GB"/>
        </w:rPr>
        <w:t xml:space="preserve"> consequently violating the applicant´s right to private and family life under Article 8 ECHR.</w:t>
      </w:r>
      <w:r w:rsidR="0081420C" w:rsidRPr="0055474B">
        <w:rPr>
          <w:rStyle w:val="FootnoteReference"/>
          <w:rFonts w:asciiTheme="minorHAnsi" w:eastAsia="Segoe UI" w:hAnsiTheme="minorHAnsi"/>
          <w:sz w:val="24"/>
          <w:szCs w:val="24"/>
          <w:lang w:val="en-GB"/>
        </w:rPr>
        <w:footnoteReference w:id="43"/>
      </w:r>
      <w:r w:rsidRPr="0055474B">
        <w:rPr>
          <w:rFonts w:asciiTheme="minorHAnsi" w:eastAsia="Segoe UI" w:hAnsiTheme="minorHAnsi"/>
          <w:sz w:val="24"/>
          <w:szCs w:val="24"/>
          <w:lang w:val="en-GB"/>
        </w:rPr>
        <w:t>  </w:t>
      </w:r>
    </w:p>
    <w:p w14:paraId="5E119480" w14:textId="58F0BF9C" w:rsidR="00052F84" w:rsidRPr="0055474B" w:rsidRDefault="00052F84" w:rsidP="0055474B">
      <w:pPr>
        <w:spacing w:before="120" w:after="120" w:line="360" w:lineRule="auto"/>
        <w:rPr>
          <w:rFonts w:asciiTheme="minorHAnsi" w:eastAsia="Segoe UI" w:hAnsiTheme="minorHAnsi"/>
          <w:sz w:val="24"/>
          <w:szCs w:val="24"/>
          <w:lang w:val="en-GB"/>
        </w:rPr>
      </w:pPr>
      <w:r w:rsidRPr="0055474B">
        <w:rPr>
          <w:rFonts w:asciiTheme="minorHAnsi" w:eastAsia="Segoe UI" w:hAnsiTheme="minorHAnsi"/>
          <w:sz w:val="24"/>
          <w:szCs w:val="24"/>
          <w:lang w:val="en-GB"/>
        </w:rPr>
        <w:t xml:space="preserve">A question whether states may require divorce of a marriage concluded before transition as a precondition of legal gender recognition was assessed in </w:t>
      </w:r>
      <w:r w:rsidRPr="00A44FA0">
        <w:rPr>
          <w:rStyle w:val="Emphasis"/>
        </w:rPr>
        <w:t>Hämäläinen v. Finland</w:t>
      </w:r>
      <w:r w:rsidRPr="00A44FA0">
        <w:rPr>
          <w:rFonts w:asciiTheme="minorHAnsi" w:eastAsia="Segoe UI" w:hAnsiTheme="minorHAnsi"/>
          <w:sz w:val="24"/>
          <w:szCs w:val="24"/>
          <w:lang w:val="en-GB"/>
        </w:rPr>
        <w:t>.</w:t>
      </w:r>
      <w:r w:rsidRPr="0055474B">
        <w:rPr>
          <w:rFonts w:asciiTheme="minorHAnsi" w:eastAsia="Segoe UI" w:hAnsiTheme="minorHAnsi"/>
          <w:sz w:val="24"/>
          <w:szCs w:val="24"/>
          <w:lang w:val="en-GB"/>
        </w:rPr>
        <w:t xml:space="preserve"> In this case, ECtHR stated that it was not disproportionate to require that the applicant’s marriage be converted into a registered partnership as that was a genuine option which provided legal protection for same-sex couples that was almost identical to that of marriage.</w:t>
      </w:r>
      <w:r w:rsidR="00C81FCA" w:rsidRPr="0055474B">
        <w:rPr>
          <w:rStyle w:val="FootnoteReference"/>
          <w:rFonts w:asciiTheme="minorHAnsi" w:eastAsia="Segoe UI" w:hAnsiTheme="minorHAnsi"/>
          <w:sz w:val="24"/>
          <w:szCs w:val="24"/>
          <w:lang w:val="en-GB"/>
        </w:rPr>
        <w:footnoteReference w:id="44"/>
      </w:r>
      <w:r w:rsidRPr="0055474B">
        <w:rPr>
          <w:rFonts w:asciiTheme="minorHAnsi" w:eastAsia="Segoe UI" w:hAnsiTheme="minorHAnsi"/>
          <w:sz w:val="24"/>
          <w:szCs w:val="24"/>
          <w:lang w:val="en-GB"/>
        </w:rPr>
        <w:t xml:space="preserve"> It must be highlighted that ECtHR has yet not decided a similar case concerning a member state that does not provide for legal recognition of same-sex partnerships.</w:t>
      </w:r>
      <w:r w:rsidR="00137FEB" w:rsidRPr="0055474B">
        <w:rPr>
          <w:rStyle w:val="FootnoteReference"/>
          <w:rFonts w:asciiTheme="minorHAnsi" w:eastAsia="Segoe UI" w:hAnsiTheme="minorHAnsi"/>
          <w:sz w:val="24"/>
          <w:szCs w:val="24"/>
          <w:lang w:val="en-GB"/>
        </w:rPr>
        <w:footnoteReference w:id="45"/>
      </w:r>
      <w:r w:rsidRPr="0055474B">
        <w:rPr>
          <w:rFonts w:asciiTheme="minorHAnsi" w:eastAsia="Segoe UI" w:hAnsiTheme="minorHAnsi"/>
          <w:sz w:val="24"/>
          <w:szCs w:val="24"/>
          <w:lang w:val="en-GB"/>
        </w:rPr>
        <w:t> </w:t>
      </w:r>
    </w:p>
    <w:p w14:paraId="637AE417" w14:textId="791E6897" w:rsidR="00052F84" w:rsidRPr="00CA1527" w:rsidRDefault="00052F84" w:rsidP="008F51C6">
      <w:pPr>
        <w:pStyle w:val="Heading2"/>
      </w:pPr>
      <w:bookmarkStart w:id="23" w:name="_Toc157782136"/>
      <w:r w:rsidRPr="00CA1527">
        <w:lastRenderedPageBreak/>
        <w:t>National regulations</w:t>
      </w:r>
      <w:r w:rsidR="00DA170B">
        <w:rPr>
          <w:rStyle w:val="FootnoteReference"/>
        </w:rPr>
        <w:footnoteReference w:id="46"/>
      </w:r>
      <w:bookmarkEnd w:id="23"/>
    </w:p>
    <w:p w14:paraId="7C8D2E47" w14:textId="7424B163" w:rsidR="00052F84" w:rsidRPr="00A93897" w:rsidRDefault="00052F84" w:rsidP="0055474B">
      <w:pPr>
        <w:spacing w:before="120" w:after="120" w:line="360" w:lineRule="auto"/>
        <w:rPr>
          <w:rFonts w:asciiTheme="minorHAnsi" w:eastAsia="Segoe UI" w:hAnsiTheme="minorHAnsi"/>
          <w:sz w:val="24"/>
          <w:szCs w:val="24"/>
          <w:lang w:val="en-GB"/>
        </w:rPr>
      </w:pPr>
      <w:r w:rsidRPr="00A93897">
        <w:rPr>
          <w:rFonts w:asciiTheme="minorHAnsi" w:eastAsia="Segoe UI" w:hAnsiTheme="minorHAnsi"/>
          <w:sz w:val="24"/>
          <w:szCs w:val="24"/>
          <w:lang w:val="en-GB"/>
        </w:rPr>
        <w:t xml:space="preserve">In terms of recognition of parenthood established in one of the EU Member States, the Member States apply different standards. While some do not have any national regulation concerning recognition of parenthood established in one of the EU Member States (e.g. Slovakia, Poland or Romania), others have adopted national rules </w:t>
      </w:r>
      <w:r w:rsidR="006A6F59" w:rsidRPr="00A93897">
        <w:rPr>
          <w:rFonts w:asciiTheme="minorHAnsi" w:eastAsia="Segoe UI" w:hAnsiTheme="minorHAnsi"/>
          <w:sz w:val="24"/>
          <w:szCs w:val="24"/>
          <w:lang w:val="en-GB"/>
        </w:rPr>
        <w:t xml:space="preserve">in </w:t>
      </w:r>
      <w:r w:rsidRPr="00A93897">
        <w:rPr>
          <w:rFonts w:asciiTheme="minorHAnsi" w:eastAsia="Segoe UI" w:hAnsiTheme="minorHAnsi"/>
          <w:sz w:val="24"/>
          <w:szCs w:val="24"/>
          <w:lang w:val="en-GB"/>
        </w:rPr>
        <w:t>this regard (e.g. Belgium, Malta, Lithuania, Slovenia or Czechia).   </w:t>
      </w:r>
    </w:p>
    <w:p w14:paraId="4F355786" w14:textId="77777777" w:rsidR="00052F84" w:rsidRPr="00A93897" w:rsidRDefault="00052F84" w:rsidP="0055474B">
      <w:pPr>
        <w:spacing w:before="120" w:after="120" w:line="360" w:lineRule="auto"/>
        <w:rPr>
          <w:rFonts w:asciiTheme="minorHAnsi" w:eastAsia="Segoe UI" w:hAnsiTheme="minorHAnsi"/>
          <w:sz w:val="24"/>
          <w:szCs w:val="24"/>
          <w:lang w:val="en-GB"/>
        </w:rPr>
      </w:pPr>
      <w:r w:rsidRPr="00A93897">
        <w:rPr>
          <w:rFonts w:asciiTheme="minorHAnsi" w:eastAsia="Segoe UI" w:hAnsiTheme="minorHAnsi"/>
          <w:sz w:val="24"/>
          <w:szCs w:val="24"/>
          <w:lang w:val="en-GB"/>
        </w:rPr>
        <w:t>Among the Member States that have adopted specific national legislation on the recognition of parenthood established abroad, this is provided under the civil law (e.g. Malta), the private international law (e.g. Belgium, Slovenia) or through regulation on citizenship (e.g. Lithuania). Usually, if a Member State regulates recognition of parenthood established in one of the EU Member States, it requires a procedure before judicial authorities (e.g. in Czechia, Slovenia) or before administrative authorities such as civil registries (e.g. Belgium, Lithuania).  </w:t>
      </w:r>
    </w:p>
    <w:p w14:paraId="4C6B81BA" w14:textId="62C1CCFE" w:rsidR="00052F84" w:rsidRPr="00A93897" w:rsidRDefault="00052F84" w:rsidP="0055474B">
      <w:pPr>
        <w:spacing w:before="120" w:after="120" w:line="360" w:lineRule="auto"/>
        <w:rPr>
          <w:rFonts w:asciiTheme="minorHAnsi" w:eastAsia="Segoe UI" w:hAnsiTheme="minorHAnsi"/>
          <w:sz w:val="24"/>
          <w:szCs w:val="24"/>
          <w:lang w:val="en-GB"/>
        </w:rPr>
      </w:pPr>
      <w:r w:rsidRPr="00A93897">
        <w:rPr>
          <w:rFonts w:asciiTheme="minorHAnsi" w:eastAsia="Segoe UI" w:hAnsiTheme="minorHAnsi"/>
          <w:sz w:val="24"/>
          <w:szCs w:val="24"/>
          <w:lang w:val="en-GB"/>
        </w:rPr>
        <w:t xml:space="preserve">Among the most common arguments that national authorities raise for not recognizing the parenthood established in another Member States </w:t>
      </w:r>
      <w:r w:rsidR="009F3F8B" w:rsidRPr="00A93897">
        <w:rPr>
          <w:rFonts w:asciiTheme="minorHAnsi" w:eastAsia="Segoe UI" w:hAnsiTheme="minorHAnsi"/>
          <w:sz w:val="24"/>
          <w:szCs w:val="24"/>
          <w:lang w:val="en-GB"/>
        </w:rPr>
        <w:t xml:space="preserve">include </w:t>
      </w:r>
      <w:r w:rsidRPr="00A93897">
        <w:rPr>
          <w:rFonts w:asciiTheme="minorHAnsi" w:eastAsia="Segoe UI" w:hAnsiTheme="minorHAnsi"/>
          <w:sz w:val="24"/>
          <w:szCs w:val="24"/>
          <w:lang w:val="en-GB"/>
        </w:rPr>
        <w:t xml:space="preserve">protection of public order or fundamental principles of legal order (e.g. Belgium, Poland) and non-recognition of same-sex partnerships and same-sex marriage (e.g. Slovakia, Lithuania, Romania). Arguments such as protection from sham parenthoods are also used. In Romania, the national law explicitly </w:t>
      </w:r>
      <w:r w:rsidR="4CF618FA" w:rsidRPr="00A93897">
        <w:rPr>
          <w:rFonts w:asciiTheme="minorHAnsi" w:eastAsia="Segoe UI" w:hAnsiTheme="minorHAnsi"/>
          <w:sz w:val="24"/>
          <w:szCs w:val="24"/>
          <w:lang w:val="en-GB"/>
        </w:rPr>
        <w:t xml:space="preserve">stipulates </w:t>
      </w:r>
      <w:r w:rsidRPr="00A93897">
        <w:rPr>
          <w:rFonts w:asciiTheme="minorHAnsi" w:eastAsia="Segoe UI" w:hAnsiTheme="minorHAnsi"/>
          <w:sz w:val="24"/>
          <w:szCs w:val="24"/>
          <w:lang w:val="en-GB"/>
        </w:rPr>
        <w:t>that same-sex marriages or civil partnerships (either same-sex or opposite-sex) concluded or contracted abroad either by Romanian citizens or by foreign nationals are not recognized in Romania. </w:t>
      </w:r>
    </w:p>
    <w:p w14:paraId="535C9270" w14:textId="77777777" w:rsidR="00052F84" w:rsidRPr="00CA1527" w:rsidRDefault="00052F84" w:rsidP="0055474B">
      <w:pPr>
        <w:pStyle w:val="Heading3"/>
      </w:pPr>
      <w:bookmarkStart w:id="24" w:name="_Toc157782137"/>
      <w:r w:rsidRPr="00CA1527">
        <w:t>Examples of national laws regulating recognition of parenthood established in another EU Member State</w:t>
      </w:r>
      <w:bookmarkEnd w:id="24"/>
      <w:r w:rsidRPr="00CA1527">
        <w:t> </w:t>
      </w:r>
    </w:p>
    <w:p w14:paraId="216AB2AC" w14:textId="77777777" w:rsidR="00052F84" w:rsidRPr="0055474B" w:rsidRDefault="00052F84" w:rsidP="0055474B">
      <w:pPr>
        <w:spacing w:before="120" w:after="120" w:line="360" w:lineRule="auto"/>
        <w:rPr>
          <w:rFonts w:asciiTheme="minorHAnsi" w:eastAsia="Segoe UI" w:hAnsiTheme="minorHAnsi"/>
          <w:sz w:val="24"/>
          <w:szCs w:val="24"/>
          <w:lang w:val="en-GB"/>
        </w:rPr>
      </w:pPr>
      <w:r w:rsidRPr="0055474B">
        <w:rPr>
          <w:rFonts w:asciiTheme="minorHAnsi" w:eastAsia="Segoe UI" w:hAnsiTheme="minorHAnsi"/>
          <w:sz w:val="24"/>
          <w:szCs w:val="24"/>
          <w:lang w:val="en-GB"/>
        </w:rPr>
        <w:t>In Czechia, for example, a national legislation establishes that foreign decisions regarding parenthood are recognised in a special court procedure when one of the parties is a Czech citizen. In case none of the individuals concerned is a citizen of Czechia and the parenthood is recognised in the countries they are citizens to, such decision is automatically regarded recognised also in Czechia. </w:t>
      </w:r>
    </w:p>
    <w:p w14:paraId="023C98E9" w14:textId="05036221" w:rsidR="00052F84" w:rsidRPr="0055474B" w:rsidRDefault="00052F84" w:rsidP="0055474B">
      <w:pPr>
        <w:spacing w:before="120" w:after="120" w:line="360" w:lineRule="auto"/>
        <w:rPr>
          <w:rFonts w:asciiTheme="minorHAnsi" w:eastAsia="Segoe UI" w:hAnsiTheme="minorHAnsi"/>
          <w:sz w:val="24"/>
          <w:szCs w:val="24"/>
          <w:lang w:val="en-GB"/>
        </w:rPr>
      </w:pPr>
      <w:r w:rsidRPr="0055474B">
        <w:rPr>
          <w:rFonts w:asciiTheme="minorHAnsi" w:eastAsia="Segoe UI" w:hAnsiTheme="minorHAnsi"/>
          <w:sz w:val="24"/>
          <w:szCs w:val="24"/>
          <w:lang w:val="en-GB"/>
        </w:rPr>
        <w:lastRenderedPageBreak/>
        <w:t>In Malta, the recognition of parenthood established in any country (not just EU Member States) is regulated by the Civil Code. Any civil status of a citizen of Malta drawn up or registered in a foreign country by a competent authority in that country may, at the request of any person interested and upon the Director of the Public Registry being satisfied on the authenticity of such act, be registered in Malta as if such act were drawn up by the Public Registry in Malta. Moreover, as adoptions by same-sex couples are permitted and fully recognised under Maltese law, the Civil Code consequently provides for the recognition of intercountry adoptions whereby, subject to certain conditions, such adoption shall have effect as if it were an adoption decree made by the competent court in Malta and regulates also intercountry adoptions regulated by the provisions of an international treaty to which Malta is a party. </w:t>
      </w:r>
    </w:p>
    <w:p w14:paraId="69C2C2DD" w14:textId="062226CB" w:rsidR="00052F84" w:rsidRPr="00CA1527" w:rsidRDefault="00052F84" w:rsidP="008F51C6">
      <w:pPr>
        <w:pStyle w:val="Heading2"/>
      </w:pPr>
      <w:bookmarkStart w:id="25" w:name="_Toc157782138"/>
      <w:r w:rsidRPr="5880D04F">
        <w:t>Rainbow Index 2022 </w:t>
      </w:r>
      <w:r w:rsidR="5E5FF538" w:rsidRPr="5880D04F">
        <w:t>and 2023</w:t>
      </w:r>
      <w:bookmarkEnd w:id="25"/>
    </w:p>
    <w:p w14:paraId="6FBA762C" w14:textId="16DAEB3A" w:rsidR="00052F84" w:rsidRPr="0055474B" w:rsidRDefault="00052F84" w:rsidP="0055474B">
      <w:pPr>
        <w:spacing w:before="120" w:after="120" w:line="360" w:lineRule="auto"/>
        <w:rPr>
          <w:rFonts w:asciiTheme="minorHAnsi" w:eastAsia="Segoe UI" w:hAnsiTheme="minorHAnsi"/>
          <w:sz w:val="24"/>
          <w:szCs w:val="24"/>
          <w:lang w:val="en-GB"/>
        </w:rPr>
      </w:pPr>
      <w:r w:rsidRPr="0055474B">
        <w:rPr>
          <w:rFonts w:asciiTheme="minorHAnsi" w:eastAsia="Segoe UI" w:hAnsiTheme="minorHAnsi"/>
          <w:sz w:val="24"/>
          <w:szCs w:val="24"/>
          <w:lang w:val="en-GB"/>
        </w:rPr>
        <w:t>The level of protection and promotion of LGBTI</w:t>
      </w:r>
      <w:r w:rsidR="5365A1DF" w:rsidRPr="0055474B">
        <w:rPr>
          <w:rFonts w:asciiTheme="minorHAnsi" w:eastAsia="Segoe UI" w:hAnsiTheme="minorHAnsi"/>
          <w:sz w:val="24"/>
          <w:szCs w:val="24"/>
          <w:lang w:val="en-GB"/>
        </w:rPr>
        <w:t>Q</w:t>
      </w:r>
      <w:r w:rsidRPr="0055474B">
        <w:rPr>
          <w:rFonts w:asciiTheme="minorHAnsi" w:eastAsia="Segoe UI" w:hAnsiTheme="minorHAnsi"/>
          <w:sz w:val="24"/>
          <w:szCs w:val="24"/>
          <w:lang w:val="en-GB"/>
        </w:rPr>
        <w:t xml:space="preserve"> rights and equality across Europe is annually assessed by the Rainbow Index issued by ILGA Europe. The Rainbow Index is based on annual review of the human rights situation of LGBTI</w:t>
      </w:r>
      <w:r w:rsidR="3EB3888C" w:rsidRPr="0055474B">
        <w:rPr>
          <w:rFonts w:asciiTheme="minorHAnsi" w:eastAsia="Segoe UI" w:hAnsiTheme="minorHAnsi"/>
          <w:sz w:val="24"/>
          <w:szCs w:val="24"/>
          <w:lang w:val="en-GB"/>
        </w:rPr>
        <w:t>Q</w:t>
      </w:r>
      <w:r w:rsidRPr="0055474B">
        <w:rPr>
          <w:rFonts w:asciiTheme="minorHAnsi" w:eastAsia="Segoe UI" w:hAnsiTheme="minorHAnsi"/>
          <w:sz w:val="24"/>
          <w:szCs w:val="24"/>
          <w:lang w:val="en-GB"/>
        </w:rPr>
        <w:t xml:space="preserve"> people and brings about an overview of the social climate for LGBTI</w:t>
      </w:r>
      <w:r w:rsidR="39678CD9" w:rsidRPr="0055474B">
        <w:rPr>
          <w:rFonts w:asciiTheme="minorHAnsi" w:eastAsia="Segoe UI" w:hAnsiTheme="minorHAnsi"/>
          <w:sz w:val="24"/>
          <w:szCs w:val="24"/>
          <w:lang w:val="en-GB"/>
        </w:rPr>
        <w:t>Q</w:t>
      </w:r>
      <w:r w:rsidRPr="0055474B">
        <w:rPr>
          <w:rFonts w:asciiTheme="minorHAnsi" w:eastAsia="Segoe UI" w:hAnsiTheme="minorHAnsi"/>
          <w:sz w:val="24"/>
          <w:szCs w:val="24"/>
          <w:lang w:val="en-GB"/>
        </w:rPr>
        <w:t xml:space="preserve"> people in </w:t>
      </w:r>
      <w:r w:rsidRPr="005F63B8">
        <w:rPr>
          <w:rStyle w:val="Emphasis"/>
        </w:rPr>
        <w:t>49 European countries</w:t>
      </w:r>
      <w:r w:rsidRPr="0055474B">
        <w:rPr>
          <w:rFonts w:asciiTheme="minorHAnsi" w:eastAsia="Segoe UI" w:hAnsiTheme="minorHAnsi"/>
          <w:sz w:val="24"/>
          <w:szCs w:val="24"/>
          <w:lang w:val="en-GB"/>
        </w:rPr>
        <w:t>. The ranking of countries is on a scale between 0% (gross violations of human rights, discrimination) and 100% (respect of human rights, full equality) and takes into consideration laws and policies that have a direct impact on the rights of LGBTI</w:t>
      </w:r>
      <w:r w:rsidR="230E39B2" w:rsidRPr="0055474B">
        <w:rPr>
          <w:rFonts w:asciiTheme="minorHAnsi" w:eastAsia="Segoe UI" w:hAnsiTheme="minorHAnsi"/>
          <w:sz w:val="24"/>
          <w:szCs w:val="24"/>
          <w:lang w:val="en-GB"/>
        </w:rPr>
        <w:t>Q</w:t>
      </w:r>
      <w:r w:rsidRPr="0055474B">
        <w:rPr>
          <w:rFonts w:asciiTheme="minorHAnsi" w:eastAsia="Segoe UI" w:hAnsiTheme="minorHAnsi"/>
          <w:sz w:val="24"/>
          <w:szCs w:val="24"/>
          <w:lang w:val="en-GB"/>
        </w:rPr>
        <w:t xml:space="preserve"> people in 7 categories: equality and non-discrimination, family, hate crime and hate speech, legal gender recognition, bodily integrity, civil society space and asylum.</w:t>
      </w:r>
      <w:r w:rsidR="0043786A" w:rsidRPr="0055474B">
        <w:rPr>
          <w:rStyle w:val="FootnoteReference"/>
          <w:rFonts w:asciiTheme="minorHAnsi" w:eastAsia="Segoe UI" w:hAnsiTheme="minorHAnsi"/>
          <w:sz w:val="24"/>
          <w:szCs w:val="24"/>
          <w:lang w:val="en-GB"/>
        </w:rPr>
        <w:footnoteReference w:id="47"/>
      </w:r>
    </w:p>
    <w:p w14:paraId="5F545751" w14:textId="77777777" w:rsidR="00052F84" w:rsidRPr="0055474B" w:rsidRDefault="00052F84" w:rsidP="0055474B">
      <w:pPr>
        <w:spacing w:before="120" w:after="120" w:line="360" w:lineRule="auto"/>
        <w:rPr>
          <w:rFonts w:asciiTheme="minorHAnsi" w:eastAsia="Segoe UI" w:hAnsiTheme="minorHAnsi" w:cstheme="minorHAnsi"/>
          <w:sz w:val="24"/>
          <w:szCs w:val="24"/>
          <w:lang w:val="en-GB"/>
        </w:rPr>
      </w:pPr>
      <w:r w:rsidRPr="0055474B">
        <w:rPr>
          <w:rFonts w:asciiTheme="minorHAnsi" w:eastAsia="Segoe UI" w:hAnsiTheme="minorHAnsi" w:cstheme="minorHAnsi"/>
          <w:sz w:val="24"/>
          <w:szCs w:val="24"/>
          <w:lang w:val="en-GB"/>
        </w:rPr>
        <w:t>The criteria considered under the category “</w:t>
      </w:r>
      <w:r w:rsidRPr="005F63B8">
        <w:rPr>
          <w:rStyle w:val="Emphasis"/>
        </w:rPr>
        <w:t>Family</w:t>
      </w:r>
      <w:r w:rsidRPr="0055474B">
        <w:rPr>
          <w:rFonts w:asciiTheme="minorHAnsi" w:eastAsia="Segoe UI" w:hAnsiTheme="minorHAnsi" w:cstheme="minorHAnsi"/>
          <w:sz w:val="24"/>
          <w:szCs w:val="24"/>
          <w:lang w:val="en-GB"/>
        </w:rPr>
        <w:t>” include: </w:t>
      </w:r>
    </w:p>
    <w:p w14:paraId="41A69677" w14:textId="77777777" w:rsidR="00052F84" w:rsidRPr="0055474B" w:rsidRDefault="00052F84" w:rsidP="0045744B">
      <w:pPr>
        <w:numPr>
          <w:ilvl w:val="0"/>
          <w:numId w:val="26"/>
        </w:numPr>
        <w:spacing w:before="120" w:after="120" w:line="360" w:lineRule="auto"/>
        <w:ind w:left="1287" w:hanging="567"/>
        <w:rPr>
          <w:rFonts w:asciiTheme="minorHAnsi" w:eastAsia="Segoe UI" w:hAnsiTheme="minorHAnsi" w:cstheme="minorHAnsi"/>
          <w:sz w:val="24"/>
          <w:szCs w:val="24"/>
          <w:lang w:val="en-GB"/>
        </w:rPr>
      </w:pPr>
      <w:r w:rsidRPr="0055474B">
        <w:rPr>
          <w:rFonts w:asciiTheme="minorHAnsi" w:eastAsia="Segoe UI" w:hAnsiTheme="minorHAnsi" w:cstheme="minorHAnsi"/>
          <w:sz w:val="24"/>
          <w:szCs w:val="24"/>
          <w:lang w:val="en-GB"/>
        </w:rPr>
        <w:t>marriage equality; </w:t>
      </w:r>
    </w:p>
    <w:p w14:paraId="2EE73D7B" w14:textId="77777777" w:rsidR="00052F84" w:rsidRPr="0055474B" w:rsidRDefault="00052F84" w:rsidP="0045744B">
      <w:pPr>
        <w:numPr>
          <w:ilvl w:val="0"/>
          <w:numId w:val="26"/>
        </w:numPr>
        <w:spacing w:before="120" w:after="120" w:line="360" w:lineRule="auto"/>
        <w:ind w:left="1287" w:hanging="567"/>
        <w:rPr>
          <w:rFonts w:asciiTheme="minorHAnsi" w:eastAsia="Segoe UI" w:hAnsiTheme="minorHAnsi" w:cstheme="minorHAnsi"/>
          <w:sz w:val="24"/>
          <w:szCs w:val="24"/>
          <w:lang w:val="en-GB"/>
        </w:rPr>
      </w:pPr>
      <w:r w:rsidRPr="0055474B">
        <w:rPr>
          <w:rFonts w:asciiTheme="minorHAnsi" w:eastAsia="Segoe UI" w:hAnsiTheme="minorHAnsi" w:cstheme="minorHAnsi"/>
          <w:sz w:val="24"/>
          <w:szCs w:val="24"/>
          <w:lang w:val="en-GB"/>
        </w:rPr>
        <w:t>registered partnership with similar rights to marriage; </w:t>
      </w:r>
    </w:p>
    <w:p w14:paraId="782E60E3" w14:textId="77777777" w:rsidR="00052F84" w:rsidRPr="0055474B" w:rsidRDefault="00052F84" w:rsidP="0045744B">
      <w:pPr>
        <w:numPr>
          <w:ilvl w:val="0"/>
          <w:numId w:val="26"/>
        </w:numPr>
        <w:spacing w:before="120" w:after="120" w:line="360" w:lineRule="auto"/>
        <w:ind w:left="1287" w:hanging="567"/>
        <w:rPr>
          <w:rFonts w:asciiTheme="minorHAnsi" w:eastAsia="Segoe UI" w:hAnsiTheme="minorHAnsi" w:cstheme="minorHAnsi"/>
          <w:sz w:val="24"/>
          <w:szCs w:val="24"/>
          <w:lang w:val="en-GB"/>
        </w:rPr>
      </w:pPr>
      <w:r w:rsidRPr="0055474B">
        <w:rPr>
          <w:rFonts w:asciiTheme="minorHAnsi" w:eastAsia="Segoe UI" w:hAnsiTheme="minorHAnsi" w:cstheme="minorHAnsi"/>
          <w:sz w:val="24"/>
          <w:szCs w:val="24"/>
          <w:lang w:val="en-GB"/>
        </w:rPr>
        <w:t>registered partnership with limited rights; </w:t>
      </w:r>
    </w:p>
    <w:p w14:paraId="2647D010" w14:textId="77777777" w:rsidR="00052F84" w:rsidRPr="0055474B" w:rsidRDefault="00052F84" w:rsidP="0045744B">
      <w:pPr>
        <w:numPr>
          <w:ilvl w:val="0"/>
          <w:numId w:val="26"/>
        </w:numPr>
        <w:spacing w:before="120" w:after="120" w:line="360" w:lineRule="auto"/>
        <w:ind w:left="1287" w:hanging="567"/>
        <w:rPr>
          <w:rFonts w:asciiTheme="minorHAnsi" w:eastAsia="Segoe UI" w:hAnsiTheme="minorHAnsi" w:cstheme="minorHAnsi"/>
          <w:sz w:val="24"/>
          <w:szCs w:val="24"/>
          <w:lang w:val="en-GB"/>
        </w:rPr>
      </w:pPr>
      <w:r w:rsidRPr="0055474B">
        <w:rPr>
          <w:rFonts w:asciiTheme="minorHAnsi" w:eastAsia="Segoe UI" w:hAnsiTheme="minorHAnsi" w:cstheme="minorHAnsi"/>
          <w:sz w:val="24"/>
          <w:szCs w:val="24"/>
          <w:lang w:val="en-GB"/>
        </w:rPr>
        <w:t>cohabitation; </w:t>
      </w:r>
    </w:p>
    <w:p w14:paraId="2C05C95C" w14:textId="77777777" w:rsidR="00052F84" w:rsidRPr="0055474B" w:rsidRDefault="00052F84" w:rsidP="0045744B">
      <w:pPr>
        <w:numPr>
          <w:ilvl w:val="0"/>
          <w:numId w:val="26"/>
        </w:numPr>
        <w:spacing w:before="120" w:after="120" w:line="360" w:lineRule="auto"/>
        <w:ind w:left="1287" w:hanging="567"/>
        <w:rPr>
          <w:rFonts w:asciiTheme="minorHAnsi" w:eastAsia="Segoe UI" w:hAnsiTheme="minorHAnsi" w:cstheme="minorHAnsi"/>
          <w:sz w:val="24"/>
          <w:szCs w:val="24"/>
          <w:lang w:val="en-GB"/>
        </w:rPr>
      </w:pPr>
      <w:r w:rsidRPr="0055474B">
        <w:rPr>
          <w:rFonts w:asciiTheme="minorHAnsi" w:eastAsia="Segoe UI" w:hAnsiTheme="minorHAnsi" w:cstheme="minorHAnsi"/>
          <w:sz w:val="24"/>
          <w:szCs w:val="24"/>
          <w:lang w:val="en-GB"/>
        </w:rPr>
        <w:t>no constitutional limitation on marriage; </w:t>
      </w:r>
    </w:p>
    <w:p w14:paraId="750A9633" w14:textId="77777777" w:rsidR="00052F84" w:rsidRPr="0055474B" w:rsidRDefault="00052F84" w:rsidP="0045744B">
      <w:pPr>
        <w:numPr>
          <w:ilvl w:val="0"/>
          <w:numId w:val="26"/>
        </w:numPr>
        <w:spacing w:before="120" w:after="120" w:line="360" w:lineRule="auto"/>
        <w:ind w:left="1287" w:hanging="567"/>
        <w:rPr>
          <w:rFonts w:asciiTheme="minorHAnsi" w:eastAsia="Segoe UI" w:hAnsiTheme="minorHAnsi" w:cstheme="minorHAnsi"/>
          <w:sz w:val="24"/>
          <w:szCs w:val="24"/>
          <w:lang w:val="en-GB"/>
        </w:rPr>
      </w:pPr>
      <w:r w:rsidRPr="0055474B">
        <w:rPr>
          <w:rFonts w:asciiTheme="minorHAnsi" w:eastAsia="Segoe UI" w:hAnsiTheme="minorHAnsi" w:cstheme="minorHAnsi"/>
          <w:sz w:val="24"/>
          <w:szCs w:val="24"/>
          <w:lang w:val="en-GB"/>
        </w:rPr>
        <w:lastRenderedPageBreak/>
        <w:t>joint adoption by same-sex couples; </w:t>
      </w:r>
    </w:p>
    <w:p w14:paraId="3231232E" w14:textId="77777777" w:rsidR="00052F84" w:rsidRPr="0055474B" w:rsidRDefault="00052F84" w:rsidP="0045744B">
      <w:pPr>
        <w:numPr>
          <w:ilvl w:val="0"/>
          <w:numId w:val="26"/>
        </w:numPr>
        <w:spacing w:before="120" w:after="120" w:line="360" w:lineRule="auto"/>
        <w:ind w:left="1287" w:hanging="567"/>
        <w:rPr>
          <w:rFonts w:asciiTheme="minorHAnsi" w:eastAsia="Segoe UI" w:hAnsiTheme="minorHAnsi" w:cstheme="minorHAnsi"/>
          <w:sz w:val="24"/>
          <w:szCs w:val="24"/>
          <w:lang w:val="en-GB"/>
        </w:rPr>
      </w:pPr>
      <w:r w:rsidRPr="0055474B">
        <w:rPr>
          <w:rFonts w:asciiTheme="minorHAnsi" w:eastAsia="Segoe UI" w:hAnsiTheme="minorHAnsi" w:cstheme="minorHAnsi"/>
          <w:sz w:val="24"/>
          <w:szCs w:val="24"/>
          <w:lang w:val="en-GB"/>
        </w:rPr>
        <w:t>second parent adoption; </w:t>
      </w:r>
    </w:p>
    <w:p w14:paraId="221F70E8" w14:textId="77777777" w:rsidR="00052F84" w:rsidRPr="0055474B" w:rsidRDefault="00052F84" w:rsidP="0045744B">
      <w:pPr>
        <w:numPr>
          <w:ilvl w:val="0"/>
          <w:numId w:val="26"/>
        </w:numPr>
        <w:spacing w:before="120" w:after="120" w:line="360" w:lineRule="auto"/>
        <w:ind w:left="1287" w:hanging="567"/>
        <w:rPr>
          <w:rFonts w:asciiTheme="minorHAnsi" w:eastAsia="Segoe UI" w:hAnsiTheme="minorHAnsi" w:cstheme="minorHAnsi"/>
          <w:sz w:val="24"/>
          <w:szCs w:val="24"/>
          <w:lang w:val="en-GB"/>
        </w:rPr>
      </w:pPr>
      <w:r w:rsidRPr="0055474B">
        <w:rPr>
          <w:rFonts w:asciiTheme="minorHAnsi" w:eastAsia="Segoe UI" w:hAnsiTheme="minorHAnsi" w:cstheme="minorHAnsi"/>
          <w:sz w:val="24"/>
          <w:szCs w:val="24"/>
          <w:lang w:val="en-GB"/>
        </w:rPr>
        <w:t>automatic co-parent recognition; </w:t>
      </w:r>
    </w:p>
    <w:p w14:paraId="2B3B3BEA" w14:textId="77777777" w:rsidR="00052F84" w:rsidRPr="0055474B" w:rsidRDefault="00052F84" w:rsidP="0045744B">
      <w:pPr>
        <w:numPr>
          <w:ilvl w:val="0"/>
          <w:numId w:val="26"/>
        </w:numPr>
        <w:spacing w:before="120" w:after="120" w:line="360" w:lineRule="auto"/>
        <w:ind w:left="1287" w:hanging="567"/>
        <w:rPr>
          <w:rFonts w:asciiTheme="minorHAnsi" w:eastAsia="Segoe UI" w:hAnsiTheme="minorHAnsi" w:cstheme="minorHAnsi"/>
          <w:sz w:val="24"/>
          <w:szCs w:val="24"/>
          <w:lang w:val="en-GB"/>
        </w:rPr>
      </w:pPr>
      <w:r w:rsidRPr="0055474B">
        <w:rPr>
          <w:rFonts w:asciiTheme="minorHAnsi" w:eastAsia="Segoe UI" w:hAnsiTheme="minorHAnsi" w:cstheme="minorHAnsi"/>
          <w:sz w:val="24"/>
          <w:szCs w:val="24"/>
          <w:lang w:val="en-GB"/>
        </w:rPr>
        <w:t>medically assisted insemination for couples regardless the partners’ sexual orientation and/or gender identity; </w:t>
      </w:r>
    </w:p>
    <w:p w14:paraId="1A764C5D" w14:textId="77777777" w:rsidR="00052F84" w:rsidRPr="0055474B" w:rsidRDefault="00052F84" w:rsidP="0045744B">
      <w:pPr>
        <w:numPr>
          <w:ilvl w:val="0"/>
          <w:numId w:val="26"/>
        </w:numPr>
        <w:spacing w:before="120" w:after="120" w:line="360" w:lineRule="auto"/>
        <w:ind w:left="1287" w:hanging="567"/>
        <w:rPr>
          <w:rFonts w:asciiTheme="minorHAnsi" w:eastAsia="Segoe UI" w:hAnsiTheme="minorHAnsi" w:cstheme="minorHAnsi"/>
          <w:sz w:val="24"/>
          <w:szCs w:val="24"/>
          <w:lang w:val="en-GB"/>
        </w:rPr>
      </w:pPr>
      <w:r w:rsidRPr="0055474B">
        <w:rPr>
          <w:rFonts w:asciiTheme="minorHAnsi" w:eastAsia="Segoe UI" w:hAnsiTheme="minorHAnsi" w:cstheme="minorHAnsi"/>
          <w:sz w:val="24"/>
          <w:szCs w:val="24"/>
          <w:lang w:val="en-GB"/>
        </w:rPr>
        <w:t>medically assisted insemination available for individuals regardless their sexual orientation and/or gender identity; </w:t>
      </w:r>
    </w:p>
    <w:p w14:paraId="475C42C8" w14:textId="0037993E" w:rsidR="00052F84" w:rsidRPr="0055474B" w:rsidRDefault="00052F84" w:rsidP="0045744B">
      <w:pPr>
        <w:numPr>
          <w:ilvl w:val="0"/>
          <w:numId w:val="26"/>
        </w:numPr>
        <w:spacing w:before="120" w:after="120" w:line="360" w:lineRule="auto"/>
        <w:ind w:left="1287" w:hanging="567"/>
        <w:rPr>
          <w:rFonts w:asciiTheme="minorHAnsi" w:eastAsia="Segoe UI" w:hAnsiTheme="minorHAnsi" w:cstheme="minorHAnsi"/>
          <w:sz w:val="24"/>
          <w:szCs w:val="24"/>
          <w:lang w:val="en-GB"/>
        </w:rPr>
      </w:pPr>
      <w:r w:rsidRPr="0055474B">
        <w:rPr>
          <w:rFonts w:asciiTheme="minorHAnsi" w:eastAsia="Segoe UI" w:hAnsiTheme="minorHAnsi"/>
          <w:sz w:val="24"/>
          <w:szCs w:val="24"/>
          <w:lang w:val="en-GB"/>
        </w:rPr>
        <w:t>recognition of trans parenthoo</w:t>
      </w:r>
      <w:r w:rsidR="00D8795C" w:rsidRPr="0055474B">
        <w:rPr>
          <w:rFonts w:asciiTheme="minorHAnsi" w:eastAsia="Segoe UI" w:hAnsiTheme="minorHAnsi"/>
          <w:sz w:val="24"/>
          <w:szCs w:val="24"/>
          <w:lang w:val="en-GB"/>
        </w:rPr>
        <w:t>d.</w:t>
      </w:r>
      <w:r w:rsidR="00D8795C" w:rsidRPr="0055474B">
        <w:rPr>
          <w:rStyle w:val="FootnoteReference"/>
          <w:rFonts w:asciiTheme="minorHAnsi" w:eastAsia="Segoe UI" w:hAnsiTheme="minorHAnsi"/>
          <w:sz w:val="24"/>
          <w:szCs w:val="24"/>
          <w:lang w:val="en-GB"/>
        </w:rPr>
        <w:footnoteReference w:id="48"/>
      </w:r>
    </w:p>
    <w:p w14:paraId="397AD8EF" w14:textId="1355E94B" w:rsidR="00052F84" w:rsidRPr="0055474B" w:rsidRDefault="00052F84" w:rsidP="0055474B">
      <w:pPr>
        <w:spacing w:before="120" w:after="120" w:line="360" w:lineRule="auto"/>
        <w:rPr>
          <w:rFonts w:asciiTheme="minorHAnsi" w:eastAsia="Segoe UI" w:hAnsiTheme="minorHAnsi"/>
          <w:sz w:val="24"/>
          <w:szCs w:val="24"/>
          <w:lang w:val="en-GB"/>
        </w:rPr>
      </w:pPr>
      <w:r w:rsidRPr="0055474B">
        <w:rPr>
          <w:rFonts w:asciiTheme="minorHAnsi" w:eastAsia="Segoe UI" w:hAnsiTheme="minorHAnsi"/>
          <w:sz w:val="24"/>
          <w:szCs w:val="24"/>
          <w:lang w:val="en-GB"/>
        </w:rPr>
        <w:t>Considering these criteria, the best ranking countries for the year 2021 in the area of family rights for LGBTI</w:t>
      </w:r>
      <w:r w:rsidR="59D8D70F" w:rsidRPr="0055474B">
        <w:rPr>
          <w:rFonts w:asciiTheme="minorHAnsi" w:eastAsia="Segoe UI" w:hAnsiTheme="minorHAnsi"/>
          <w:sz w:val="24"/>
          <w:szCs w:val="24"/>
          <w:lang w:val="en-GB"/>
        </w:rPr>
        <w:t>Q</w:t>
      </w:r>
      <w:r w:rsidRPr="0055474B">
        <w:rPr>
          <w:rFonts w:asciiTheme="minorHAnsi" w:eastAsia="Segoe UI" w:hAnsiTheme="minorHAnsi"/>
          <w:sz w:val="24"/>
          <w:szCs w:val="24"/>
          <w:lang w:val="en-GB"/>
        </w:rPr>
        <w:t xml:space="preserve"> people with full 100 % score are Malta, Sweden and Belgium. On the contrary, Slovakia, Romania, Lithuania and Poland</w:t>
      </w:r>
      <w:r w:rsidR="00AD09F4" w:rsidRPr="0055474B">
        <w:rPr>
          <w:rStyle w:val="FootnoteReference"/>
          <w:rFonts w:asciiTheme="minorHAnsi" w:eastAsia="Segoe UI" w:hAnsiTheme="minorHAnsi"/>
          <w:sz w:val="24"/>
          <w:szCs w:val="24"/>
          <w:lang w:val="en-GB"/>
        </w:rPr>
        <w:footnoteReference w:id="49"/>
      </w:r>
      <w:r w:rsidRPr="0055474B">
        <w:rPr>
          <w:rFonts w:asciiTheme="minorHAnsi" w:eastAsia="Segoe UI" w:hAnsiTheme="minorHAnsi"/>
          <w:sz w:val="24"/>
          <w:szCs w:val="24"/>
          <w:lang w:val="en-GB"/>
        </w:rPr>
        <w:t xml:space="preserve"> are among the EU Member States with the lowest level of protection of family rights of LGBTI</w:t>
      </w:r>
      <w:r w:rsidR="1DCF75A4" w:rsidRPr="0055474B">
        <w:rPr>
          <w:rFonts w:asciiTheme="minorHAnsi" w:eastAsia="Segoe UI" w:hAnsiTheme="minorHAnsi"/>
          <w:sz w:val="24"/>
          <w:szCs w:val="24"/>
          <w:lang w:val="en-GB"/>
        </w:rPr>
        <w:t>Q</w:t>
      </w:r>
      <w:r w:rsidRPr="0055474B">
        <w:rPr>
          <w:rFonts w:asciiTheme="minorHAnsi" w:eastAsia="Segoe UI" w:hAnsiTheme="minorHAnsi"/>
          <w:sz w:val="24"/>
          <w:szCs w:val="24"/>
          <w:lang w:val="en-GB"/>
        </w:rPr>
        <w:t xml:space="preserve"> communities and level of equality in this area with 0 % achieved.</w:t>
      </w:r>
      <w:r w:rsidR="00A86E4D" w:rsidRPr="0055474B">
        <w:rPr>
          <w:rStyle w:val="FootnoteReference"/>
          <w:rFonts w:asciiTheme="minorHAnsi" w:eastAsia="Segoe UI" w:hAnsiTheme="minorHAnsi"/>
          <w:sz w:val="24"/>
          <w:szCs w:val="24"/>
          <w:lang w:val="en-GB"/>
        </w:rPr>
        <w:footnoteReference w:id="50"/>
      </w:r>
    </w:p>
    <w:p w14:paraId="38E12057" w14:textId="1FAD7AB5" w:rsidR="00052F84" w:rsidRPr="0055474B" w:rsidRDefault="00052F84" w:rsidP="0055474B">
      <w:pPr>
        <w:spacing w:before="120" w:after="120" w:line="360" w:lineRule="auto"/>
        <w:rPr>
          <w:rFonts w:asciiTheme="minorHAnsi" w:eastAsia="Segoe UI" w:hAnsiTheme="minorHAnsi"/>
          <w:sz w:val="24"/>
          <w:szCs w:val="24"/>
          <w:lang w:val="en-GB"/>
        </w:rPr>
      </w:pPr>
      <w:r w:rsidRPr="0055474B">
        <w:rPr>
          <w:rFonts w:asciiTheme="minorHAnsi" w:eastAsia="Segoe UI" w:hAnsiTheme="minorHAnsi"/>
          <w:sz w:val="24"/>
          <w:szCs w:val="24"/>
          <w:lang w:val="en-GB"/>
        </w:rPr>
        <w:t xml:space="preserve">Assessing the development at the EU level, the 2022 Rainbow Index underlined the CJEU ruling in the </w:t>
      </w:r>
      <w:r w:rsidRPr="005F63B8">
        <w:rPr>
          <w:rStyle w:val="Emphasis"/>
        </w:rPr>
        <w:t>V.M.A. case</w:t>
      </w:r>
      <w:r w:rsidRPr="0055474B">
        <w:rPr>
          <w:rFonts w:asciiTheme="minorHAnsi" w:eastAsia="Segoe UI" w:hAnsiTheme="minorHAnsi"/>
          <w:sz w:val="24"/>
          <w:szCs w:val="24"/>
          <w:lang w:val="en-GB"/>
        </w:rPr>
        <w:t xml:space="preserve"> concerning mutual recognition of parenthood and preparation of legislation regarding parenthood recognition across the EU by the European Commission. It recognizes the EU Child Rights Strategy adopted in March 2021 for being inclusive of LGBTI</w:t>
      </w:r>
      <w:r w:rsidR="392B49A8" w:rsidRPr="0055474B">
        <w:rPr>
          <w:rFonts w:asciiTheme="minorHAnsi" w:eastAsia="Segoe UI" w:hAnsiTheme="minorHAnsi"/>
          <w:sz w:val="24"/>
          <w:szCs w:val="24"/>
          <w:lang w:val="en-GB"/>
        </w:rPr>
        <w:t>Q</w:t>
      </w:r>
      <w:r w:rsidRPr="0055474B">
        <w:rPr>
          <w:rFonts w:asciiTheme="minorHAnsi" w:eastAsia="Segoe UI" w:hAnsiTheme="minorHAnsi"/>
          <w:sz w:val="24"/>
          <w:szCs w:val="24"/>
          <w:lang w:val="en-GB"/>
        </w:rPr>
        <w:t xml:space="preserve"> rights and linked to the EU LGBTIQ Equality Strategy.</w:t>
      </w:r>
      <w:r w:rsidR="00971FE4" w:rsidRPr="0055474B">
        <w:rPr>
          <w:rStyle w:val="FootnoteReference"/>
          <w:rFonts w:asciiTheme="minorHAnsi" w:eastAsia="Segoe UI" w:hAnsiTheme="minorHAnsi"/>
          <w:sz w:val="24"/>
          <w:szCs w:val="24"/>
          <w:lang w:val="en-GB"/>
        </w:rPr>
        <w:footnoteReference w:id="51"/>
      </w:r>
      <w:r w:rsidRPr="0055474B">
        <w:rPr>
          <w:rFonts w:asciiTheme="minorHAnsi" w:eastAsia="Segoe UI" w:hAnsiTheme="minorHAnsi"/>
          <w:sz w:val="24"/>
          <w:szCs w:val="24"/>
          <w:lang w:val="en-GB"/>
        </w:rPr>
        <w:t>   </w:t>
      </w:r>
    </w:p>
    <w:p w14:paraId="4F02FADE" w14:textId="2DB2AED9" w:rsidR="5880D04F" w:rsidRPr="0055474B" w:rsidRDefault="1D04DA6A" w:rsidP="0055474B">
      <w:pPr>
        <w:spacing w:before="120" w:after="120" w:line="360" w:lineRule="auto"/>
        <w:rPr>
          <w:rFonts w:eastAsia="Calibri" w:cs="Calibri"/>
          <w:sz w:val="24"/>
          <w:szCs w:val="24"/>
          <w:lang w:val="en-GB"/>
        </w:rPr>
      </w:pPr>
      <w:r w:rsidRPr="0055474B">
        <w:rPr>
          <w:rFonts w:eastAsia="Calibri" w:cs="Calibri"/>
          <w:sz w:val="24"/>
          <w:szCs w:val="24"/>
          <w:lang w:val="en-GB"/>
        </w:rPr>
        <w:t xml:space="preserve">Concerning the developments in the EU, </w:t>
      </w:r>
      <w:hyperlink r:id="rId23" w:history="1">
        <w:r w:rsidRPr="0055474B">
          <w:rPr>
            <w:rStyle w:val="Hyperlink"/>
            <w:rFonts w:eastAsia="Calibri" w:cs="Calibri"/>
            <w:sz w:val="24"/>
            <w:szCs w:val="24"/>
            <w:lang w:val="en-GB"/>
          </w:rPr>
          <w:t>the 2023 Rainbow Index</w:t>
        </w:r>
      </w:hyperlink>
      <w:r w:rsidRPr="0055474B">
        <w:rPr>
          <w:rFonts w:eastAsia="Calibri" w:cs="Calibri"/>
          <w:color w:val="D13438"/>
          <w:sz w:val="24"/>
          <w:szCs w:val="24"/>
          <w:lang w:val="en-GB"/>
        </w:rPr>
        <w:t xml:space="preserve"> </w:t>
      </w:r>
      <w:r w:rsidRPr="0055474B">
        <w:rPr>
          <w:rFonts w:eastAsia="Calibri" w:cs="Calibri"/>
          <w:sz w:val="24"/>
          <w:szCs w:val="24"/>
          <w:lang w:val="en-GB"/>
        </w:rPr>
        <w:t xml:space="preserve">acknowledged publication of the proposal for a Council Regulation on mutual recognition of parenthood across the EU and the CJEU´s reasoned order in </w:t>
      </w:r>
      <w:hyperlink r:id="rId24" w:history="1">
        <w:r w:rsidR="00406F4F" w:rsidRPr="00406F4F">
          <w:rPr>
            <w:rStyle w:val="Hyperlink"/>
            <w:rFonts w:eastAsia="Calibri" w:cs="Calibri"/>
            <w:sz w:val="24"/>
            <w:szCs w:val="24"/>
            <w:lang w:val="en-GB"/>
          </w:rPr>
          <w:t>Rzecznik Praw Obywatelskich case</w:t>
        </w:r>
      </w:hyperlink>
      <w:r w:rsidR="00406F4F">
        <w:rPr>
          <w:rFonts w:eastAsia="Calibri" w:cs="Calibri"/>
          <w:sz w:val="24"/>
          <w:szCs w:val="24"/>
          <w:lang w:val="en-GB"/>
        </w:rPr>
        <w:t xml:space="preserve"> </w:t>
      </w:r>
      <w:r w:rsidRPr="0055474B">
        <w:rPr>
          <w:rFonts w:eastAsia="Calibri" w:cs="Calibri"/>
          <w:sz w:val="24"/>
          <w:szCs w:val="24"/>
        </w:rPr>
        <w:t xml:space="preserve">confirming landmark judgement in the case of </w:t>
      </w:r>
      <w:r w:rsidRPr="005F63B8">
        <w:rPr>
          <w:rStyle w:val="Emphasis"/>
        </w:rPr>
        <w:t>V.M.A. v</w:t>
      </w:r>
      <w:r w:rsidR="00D303E3">
        <w:rPr>
          <w:rStyle w:val="Emphasis"/>
        </w:rPr>
        <w:t>.</w:t>
      </w:r>
      <w:r w:rsidRPr="005F63B8">
        <w:rPr>
          <w:rStyle w:val="Emphasis"/>
        </w:rPr>
        <w:t xml:space="preserve"> Stolichna obshtina</w:t>
      </w:r>
      <w:r w:rsidRPr="0055474B">
        <w:rPr>
          <w:rFonts w:eastAsia="Calibri" w:cs="Calibri"/>
          <w:sz w:val="24"/>
          <w:szCs w:val="24"/>
        </w:rPr>
        <w:t xml:space="preserve">. CJEU established that when an EU Member State has recognised two persons of the same sex as parents of a child, then the EU Member State of which that child is a national, should issue identity documents to that child with both parents on them, and that all EU Member States should protect the right to </w:t>
      </w:r>
      <w:r w:rsidRPr="0055474B">
        <w:rPr>
          <w:rFonts w:eastAsia="Calibri" w:cs="Calibri"/>
          <w:sz w:val="24"/>
          <w:szCs w:val="24"/>
        </w:rPr>
        <w:lastRenderedPageBreak/>
        <w:t xml:space="preserve">freedom of movement of the child and its family. This is </w:t>
      </w:r>
      <w:r w:rsidR="00B84650" w:rsidRPr="0055474B">
        <w:rPr>
          <w:rFonts w:eastAsia="Calibri" w:cs="Calibri"/>
          <w:sz w:val="24"/>
          <w:szCs w:val="24"/>
        </w:rPr>
        <w:t xml:space="preserve">a </w:t>
      </w:r>
      <w:r w:rsidRPr="0055474B">
        <w:rPr>
          <w:rFonts w:eastAsia="Calibri" w:cs="Calibri"/>
          <w:sz w:val="24"/>
          <w:szCs w:val="24"/>
        </w:rPr>
        <w:t>confirmation of a previous landmark judgement in the case of V.M.A. v</w:t>
      </w:r>
      <w:r w:rsidR="00D303E3">
        <w:rPr>
          <w:rFonts w:eastAsia="Calibri" w:cs="Calibri"/>
          <w:sz w:val="24"/>
          <w:szCs w:val="24"/>
        </w:rPr>
        <w:t>.</w:t>
      </w:r>
      <w:r w:rsidRPr="0055474B">
        <w:rPr>
          <w:rFonts w:eastAsia="Calibri" w:cs="Calibri"/>
          <w:sz w:val="24"/>
          <w:szCs w:val="24"/>
        </w:rPr>
        <w:t xml:space="preserve"> Stolichna obshtin</w:t>
      </w:r>
      <w:r w:rsidR="003C49FA" w:rsidRPr="0055474B">
        <w:rPr>
          <w:rFonts w:eastAsia="Calibri" w:cs="Calibri"/>
          <w:sz w:val="24"/>
          <w:szCs w:val="24"/>
        </w:rPr>
        <w:t>a.</w:t>
      </w:r>
    </w:p>
    <w:p w14:paraId="4984749F" w14:textId="52045BF6" w:rsidR="0055474B" w:rsidRDefault="00052F84" w:rsidP="0055474B">
      <w:pPr>
        <w:spacing w:before="120" w:after="120" w:line="360" w:lineRule="auto"/>
        <w:rPr>
          <w:rFonts w:asciiTheme="minorHAnsi" w:eastAsia="Segoe UI" w:hAnsiTheme="minorHAnsi"/>
          <w:sz w:val="24"/>
          <w:szCs w:val="24"/>
          <w:lang w:val="en-GB"/>
        </w:rPr>
        <w:sectPr w:rsidR="0055474B" w:rsidSect="006C1178">
          <w:footerReference w:type="default" r:id="rId25"/>
          <w:pgSz w:w="11906" w:h="16838"/>
          <w:pgMar w:top="1440" w:right="1440" w:bottom="1440" w:left="1440" w:header="708" w:footer="708" w:gutter="0"/>
          <w:cols w:space="708"/>
          <w:docGrid w:linePitch="360"/>
        </w:sectPr>
      </w:pPr>
      <w:r w:rsidRPr="0055474B">
        <w:rPr>
          <w:rFonts w:asciiTheme="minorHAnsi" w:eastAsia="Segoe UI" w:hAnsiTheme="minorHAnsi"/>
          <w:sz w:val="24"/>
          <w:szCs w:val="24"/>
          <w:lang w:val="en-GB"/>
        </w:rPr>
        <w:t xml:space="preserve">At the Council of Europe level, the 2022 Rainbow Index highlights mainly the recent case-law of the ECtHR establishing violations of Article 8 ECHR and/or Article 14 in connection with Article 8 ECHR in cases concerning same-sex partnerships or parental rights of LGBTIQ people, in particular in cases </w:t>
      </w:r>
      <w:r w:rsidRPr="005F63B8">
        <w:rPr>
          <w:rStyle w:val="Emphasis"/>
        </w:rPr>
        <w:t>A.M. v</w:t>
      </w:r>
      <w:r w:rsidR="00D303E3">
        <w:rPr>
          <w:rStyle w:val="Emphasis"/>
        </w:rPr>
        <w:t>.</w:t>
      </w:r>
      <w:r w:rsidRPr="005F63B8">
        <w:rPr>
          <w:rStyle w:val="Emphasis"/>
        </w:rPr>
        <w:t xml:space="preserve"> Russia</w:t>
      </w:r>
      <w:r w:rsidRPr="0055474B">
        <w:rPr>
          <w:rFonts w:asciiTheme="minorHAnsi" w:eastAsia="Segoe UI" w:hAnsiTheme="minorHAnsi"/>
          <w:i/>
          <w:iCs/>
          <w:sz w:val="24"/>
          <w:szCs w:val="24"/>
          <w:lang w:val="en-GB"/>
        </w:rPr>
        <w:t xml:space="preserve"> </w:t>
      </w:r>
      <w:r w:rsidRPr="0055474B">
        <w:rPr>
          <w:rFonts w:asciiTheme="minorHAnsi" w:eastAsia="Segoe UI" w:hAnsiTheme="minorHAnsi"/>
          <w:sz w:val="24"/>
          <w:szCs w:val="24"/>
          <w:lang w:val="en-GB"/>
        </w:rPr>
        <w:t>(restriction of parental rights and deprivation of contact with children on gender identity grounds)</w:t>
      </w:r>
      <w:r w:rsidR="00E376B1" w:rsidRPr="0055474B">
        <w:rPr>
          <w:rStyle w:val="FootnoteReference"/>
          <w:rFonts w:asciiTheme="minorHAnsi" w:eastAsia="Segoe UI" w:hAnsiTheme="minorHAnsi"/>
          <w:sz w:val="24"/>
          <w:szCs w:val="24"/>
          <w:lang w:val="en-GB"/>
        </w:rPr>
        <w:footnoteReference w:id="52"/>
      </w:r>
      <w:r w:rsidRPr="0055474B">
        <w:rPr>
          <w:rFonts w:asciiTheme="minorHAnsi" w:eastAsia="Segoe UI" w:hAnsiTheme="minorHAnsi"/>
          <w:sz w:val="24"/>
          <w:szCs w:val="24"/>
          <w:lang w:val="en-GB"/>
        </w:rPr>
        <w:t xml:space="preserve">, </w:t>
      </w:r>
      <w:r w:rsidRPr="00A44383">
        <w:rPr>
          <w:rStyle w:val="Emphasis"/>
        </w:rPr>
        <w:t>Fedotova and Others v</w:t>
      </w:r>
      <w:r w:rsidR="00D303E3">
        <w:rPr>
          <w:rStyle w:val="Emphasis"/>
        </w:rPr>
        <w:t>.</w:t>
      </w:r>
      <w:r w:rsidRPr="00A44383">
        <w:rPr>
          <w:rStyle w:val="Emphasis"/>
        </w:rPr>
        <w:t xml:space="preserve"> Russia</w:t>
      </w:r>
      <w:r w:rsidRPr="0055474B">
        <w:rPr>
          <w:rFonts w:asciiTheme="minorHAnsi" w:eastAsia="Segoe UI" w:hAnsiTheme="minorHAnsi"/>
          <w:sz w:val="24"/>
          <w:szCs w:val="24"/>
          <w:lang w:val="en-GB"/>
        </w:rPr>
        <w:t xml:space="preserve"> (no legal framework capable of protecting relationships of same-sex couples under domestic law)</w:t>
      </w:r>
      <w:r w:rsidR="0062385A" w:rsidRPr="0055474B">
        <w:rPr>
          <w:rStyle w:val="FootnoteReference"/>
          <w:rFonts w:asciiTheme="minorHAnsi" w:eastAsia="Segoe UI" w:hAnsiTheme="minorHAnsi"/>
          <w:sz w:val="24"/>
          <w:szCs w:val="24"/>
          <w:lang w:val="en-GB"/>
        </w:rPr>
        <w:footnoteReference w:id="53"/>
      </w:r>
      <w:r w:rsidRPr="0055474B">
        <w:rPr>
          <w:rFonts w:asciiTheme="minorHAnsi" w:eastAsia="Segoe UI" w:hAnsiTheme="minorHAnsi"/>
          <w:sz w:val="24"/>
          <w:szCs w:val="24"/>
          <w:lang w:val="en-GB"/>
        </w:rPr>
        <w:t xml:space="preserve"> and </w:t>
      </w:r>
      <w:r w:rsidRPr="00A44383">
        <w:rPr>
          <w:rStyle w:val="Emphasis"/>
        </w:rPr>
        <w:t>X v</w:t>
      </w:r>
      <w:r w:rsidR="00D303E3">
        <w:rPr>
          <w:rStyle w:val="Emphasis"/>
        </w:rPr>
        <w:t>.</w:t>
      </w:r>
      <w:r w:rsidRPr="00A44383">
        <w:rPr>
          <w:rStyle w:val="Emphasis"/>
        </w:rPr>
        <w:t xml:space="preserve"> Poland</w:t>
      </w:r>
      <w:r w:rsidRPr="0055474B">
        <w:rPr>
          <w:rFonts w:asciiTheme="minorHAnsi" w:eastAsia="Segoe UI" w:hAnsiTheme="minorHAnsi"/>
          <w:b/>
          <w:bCs/>
          <w:sz w:val="24"/>
          <w:szCs w:val="24"/>
          <w:lang w:val="en-GB"/>
        </w:rPr>
        <w:t xml:space="preserve"> </w:t>
      </w:r>
      <w:r w:rsidRPr="0055474B">
        <w:rPr>
          <w:rFonts w:asciiTheme="minorHAnsi" w:eastAsia="Segoe UI" w:hAnsiTheme="minorHAnsi"/>
          <w:sz w:val="24"/>
          <w:szCs w:val="24"/>
          <w:lang w:val="en-GB"/>
        </w:rPr>
        <w:t>(refusal to grant full parental rights and custody rights over a child based on sexual orientation of the applicant)</w:t>
      </w:r>
      <w:r w:rsidR="000778F6" w:rsidRPr="0055474B">
        <w:rPr>
          <w:rStyle w:val="FootnoteReference"/>
          <w:rFonts w:asciiTheme="minorHAnsi" w:eastAsia="Segoe UI" w:hAnsiTheme="minorHAnsi"/>
          <w:sz w:val="24"/>
          <w:szCs w:val="24"/>
          <w:lang w:val="en-GB"/>
        </w:rPr>
        <w:footnoteReference w:id="54"/>
      </w:r>
      <w:r w:rsidRPr="0055474B">
        <w:rPr>
          <w:rFonts w:asciiTheme="minorHAnsi" w:eastAsia="Segoe UI" w:hAnsiTheme="minorHAnsi"/>
          <w:sz w:val="24"/>
          <w:szCs w:val="24"/>
          <w:lang w:val="en-GB"/>
        </w:rPr>
        <w:t>.</w:t>
      </w:r>
      <w:r w:rsidR="005F2978" w:rsidRPr="0055474B">
        <w:rPr>
          <w:rStyle w:val="FootnoteReference"/>
          <w:rFonts w:asciiTheme="minorHAnsi" w:eastAsia="Segoe UI" w:hAnsiTheme="minorHAnsi"/>
          <w:sz w:val="24"/>
          <w:szCs w:val="24"/>
          <w:lang w:val="en-GB"/>
        </w:rPr>
        <w:footnoteReference w:id="55"/>
      </w:r>
      <w:r w:rsidRPr="0055474B">
        <w:rPr>
          <w:rFonts w:asciiTheme="minorHAnsi" w:eastAsia="Segoe UI" w:hAnsiTheme="minorHAnsi"/>
          <w:sz w:val="24"/>
          <w:szCs w:val="24"/>
          <w:lang w:val="en-GB"/>
        </w:rPr>
        <w:t> </w:t>
      </w:r>
      <w:r w:rsidR="7AE64105" w:rsidRPr="0055474B">
        <w:rPr>
          <w:rFonts w:eastAsia="Calibri" w:cs="Calibri"/>
          <w:sz w:val="24"/>
          <w:szCs w:val="24"/>
          <w:lang w:val="en-GB"/>
        </w:rPr>
        <w:t xml:space="preserve"> In the area of family rights, the </w:t>
      </w:r>
      <w:hyperlink r:id="rId26" w:history="1">
        <w:r w:rsidR="7AE64105" w:rsidRPr="0055474B">
          <w:rPr>
            <w:rStyle w:val="Hyperlink"/>
            <w:rFonts w:eastAsia="Calibri" w:cs="Calibri"/>
            <w:sz w:val="24"/>
            <w:szCs w:val="24"/>
            <w:lang w:val="en-GB"/>
          </w:rPr>
          <w:t>2023 Rainbow Index</w:t>
        </w:r>
      </w:hyperlink>
      <w:r w:rsidR="7AE64105" w:rsidRPr="0055474B">
        <w:rPr>
          <w:rFonts w:eastAsia="Calibri" w:cs="Calibri"/>
          <w:color w:val="D13438"/>
          <w:sz w:val="24"/>
          <w:szCs w:val="24"/>
          <w:u w:val="single"/>
          <w:lang w:val="en-GB"/>
        </w:rPr>
        <w:t xml:space="preserve"> </w:t>
      </w:r>
      <w:r w:rsidR="7AE64105" w:rsidRPr="0055474B">
        <w:rPr>
          <w:rFonts w:asciiTheme="minorHAnsi" w:eastAsia="Segoe UI" w:hAnsiTheme="minorHAnsi"/>
          <w:sz w:val="24"/>
          <w:szCs w:val="24"/>
          <w:lang w:val="en-GB"/>
        </w:rPr>
        <w:t>acknowledges that the European Commission against Racism and Intolerance called on Monaco to eliminate unjustified differences in rights and protections between same- and different-sex couples and that the Council of Europe Commissioner for Human Rights welcomed the adoption of a same-sex marriage law in the Slovenian parliament.</w:t>
      </w:r>
    </w:p>
    <w:p w14:paraId="3CB87955" w14:textId="0A640437" w:rsidR="002A3976" w:rsidRDefault="00FD42B2" w:rsidP="002A3976">
      <w:pPr>
        <w:pStyle w:val="Heading1"/>
        <w:numPr>
          <w:ilvl w:val="0"/>
          <w:numId w:val="20"/>
        </w:numPr>
        <w:spacing w:before="10000"/>
        <w:ind w:left="1077"/>
        <w:rPr>
          <w:sz w:val="44"/>
          <w:szCs w:val="44"/>
        </w:rPr>
        <w:sectPr w:rsidR="002A3976" w:rsidSect="006C1178">
          <w:footerReference w:type="default" r:id="rId27"/>
          <w:pgSz w:w="11906" w:h="16838"/>
          <w:pgMar w:top="1440" w:right="1440" w:bottom="1440" w:left="1440" w:header="708" w:footer="708" w:gutter="0"/>
          <w:cols w:space="708"/>
          <w:docGrid w:linePitch="360"/>
        </w:sectPr>
      </w:pPr>
      <w:bookmarkStart w:id="26" w:name="_Toc157782139"/>
      <w:r>
        <w:rPr>
          <w:noProof/>
          <w:sz w:val="44"/>
          <w:szCs w:val="44"/>
        </w:rPr>
        <w:lastRenderedPageBreak/>
        <w:drawing>
          <wp:anchor distT="0" distB="0" distL="114300" distR="114300" simplePos="0" relativeHeight="251658257" behindDoc="1" locked="0" layoutInCell="1" allowOverlap="1" wp14:anchorId="3A02733E" wp14:editId="0A6C3931">
            <wp:simplePos x="0" y="0"/>
            <wp:positionH relativeFrom="column">
              <wp:posOffset>-1000125</wp:posOffset>
            </wp:positionH>
            <wp:positionV relativeFrom="paragraph">
              <wp:posOffset>-1028700</wp:posOffset>
            </wp:positionV>
            <wp:extent cx="7753350" cy="5782945"/>
            <wp:effectExtent l="0" t="0" r="0" b="8255"/>
            <wp:wrapNone/>
            <wp:docPr id="66026556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265563" name="Picture 4">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753803" cy="5783283"/>
                    </a:xfrm>
                    <a:prstGeom prst="rect">
                      <a:avLst/>
                    </a:prstGeom>
                  </pic:spPr>
                </pic:pic>
              </a:graphicData>
            </a:graphic>
            <wp14:sizeRelH relativeFrom="page">
              <wp14:pctWidth>0</wp14:pctWidth>
            </wp14:sizeRelH>
            <wp14:sizeRelV relativeFrom="page">
              <wp14:pctHeight>0</wp14:pctHeight>
            </wp14:sizeRelV>
          </wp:anchor>
        </w:drawing>
      </w:r>
      <w:r w:rsidR="000E740B" w:rsidRPr="00277719">
        <w:rPr>
          <w:noProof/>
          <w:sz w:val="100"/>
          <w:szCs w:val="100"/>
        </w:rPr>
        <w:drawing>
          <wp:anchor distT="0" distB="0" distL="114300" distR="114300" simplePos="0" relativeHeight="251658243" behindDoc="0" locked="0" layoutInCell="1" allowOverlap="1" wp14:anchorId="36953CC3" wp14:editId="575EBF65">
            <wp:simplePos x="0" y="0"/>
            <wp:positionH relativeFrom="margin">
              <wp:posOffset>-1261241</wp:posOffset>
            </wp:positionH>
            <wp:positionV relativeFrom="paragraph">
              <wp:posOffset>4335517</wp:posOffset>
            </wp:positionV>
            <wp:extent cx="15706725" cy="1943100"/>
            <wp:effectExtent l="0" t="0" r="9525" b="0"/>
            <wp:wrapNone/>
            <wp:docPr id="360551427" name="Picture 360551427" descr="P12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124#y1">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0672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4936" w:rsidRPr="002A3976">
        <w:rPr>
          <w:sz w:val="44"/>
          <w:szCs w:val="44"/>
        </w:rPr>
        <w:t>Recognition of parenthood established in another Member State - the role of National Equality Bodies</w:t>
      </w:r>
      <w:bookmarkEnd w:id="26"/>
      <w:r w:rsidR="00284936" w:rsidRPr="002A3976">
        <w:rPr>
          <w:sz w:val="44"/>
          <w:szCs w:val="44"/>
        </w:rPr>
        <w:t> </w:t>
      </w:r>
    </w:p>
    <w:p w14:paraId="760C2350" w14:textId="096BE70C" w:rsidR="00284936" w:rsidRPr="002A3976" w:rsidRDefault="00284936" w:rsidP="00A90963">
      <w:pPr>
        <w:spacing w:before="120" w:after="120" w:line="360" w:lineRule="auto"/>
        <w:rPr>
          <w:rFonts w:asciiTheme="minorHAnsi" w:eastAsia="Segoe UI" w:hAnsiTheme="minorHAnsi"/>
          <w:sz w:val="24"/>
          <w:szCs w:val="24"/>
          <w:lang w:val="en-GB"/>
        </w:rPr>
      </w:pPr>
      <w:bookmarkStart w:id="27" w:name="_Hlk135748348"/>
      <w:r w:rsidRPr="00A90963">
        <w:rPr>
          <w:rFonts w:asciiTheme="minorHAnsi" w:eastAsia="Segoe UI" w:hAnsiTheme="minorHAnsi"/>
          <w:sz w:val="24"/>
          <w:szCs w:val="24"/>
          <w:lang w:val="en-GB"/>
        </w:rPr>
        <w:lastRenderedPageBreak/>
        <w:t>In some EU Member States, the legal recognition of same-sex parents and a child as a family and their legal ties established in one Member State is still controversial</w:t>
      </w:r>
      <w:bookmarkEnd w:id="27"/>
      <w:r w:rsidRPr="00A90963">
        <w:rPr>
          <w:rFonts w:asciiTheme="minorHAnsi" w:eastAsia="Segoe UI" w:hAnsiTheme="minorHAnsi"/>
          <w:sz w:val="24"/>
          <w:szCs w:val="24"/>
          <w:lang w:val="en-GB"/>
        </w:rPr>
        <w:t xml:space="preserve">. In 11 of 27 (40%) of EU Member States, same-sex couples with children may be refused to be legally recognised as the joint parents of </w:t>
      </w:r>
      <w:r w:rsidRPr="0045744B">
        <w:rPr>
          <w:rFonts w:asciiTheme="minorHAnsi" w:eastAsia="Segoe UI" w:hAnsiTheme="minorHAnsi"/>
          <w:sz w:val="24"/>
          <w:szCs w:val="24"/>
          <w:lang w:val="en-GB"/>
        </w:rPr>
        <w:t>their children</w:t>
      </w:r>
      <w:r w:rsidRPr="0045744B">
        <w:rPr>
          <w:rStyle w:val="FootnoteReference"/>
          <w:rFonts w:asciiTheme="minorHAnsi" w:eastAsia="Segoe UI" w:hAnsiTheme="minorHAnsi"/>
          <w:sz w:val="24"/>
          <w:szCs w:val="24"/>
          <w:lang w:val="en-GB"/>
        </w:rPr>
        <w:footnoteReference w:id="56"/>
      </w:r>
      <w:r w:rsidRPr="0045744B">
        <w:rPr>
          <w:rFonts w:asciiTheme="minorHAnsi" w:eastAsia="Segoe UI" w:hAnsiTheme="minorHAnsi"/>
          <w:sz w:val="24"/>
          <w:szCs w:val="24"/>
          <w:lang w:val="en-GB"/>
        </w:rPr>
        <w:t>. This</w:t>
      </w:r>
      <w:r w:rsidRPr="00A90963">
        <w:rPr>
          <w:rFonts w:asciiTheme="minorHAnsi" w:eastAsia="Segoe UI" w:hAnsiTheme="minorHAnsi"/>
          <w:sz w:val="24"/>
          <w:szCs w:val="24"/>
          <w:lang w:val="en-GB"/>
        </w:rPr>
        <w:t xml:space="preserve"> lack of legal recognition might hinder the protection of the rights of children in cross-border situations within the EU, including their right to an identity, to non-discrimination, and to respect for private and family life, as well as their right to succession and maintenance in another Member State. </w:t>
      </w:r>
    </w:p>
    <w:p w14:paraId="4AB3AE92" w14:textId="7B060D5F" w:rsidR="00284936" w:rsidRPr="002A3976" w:rsidRDefault="00284936" w:rsidP="002A3976">
      <w:pPr>
        <w:spacing w:before="120" w:after="120" w:line="360" w:lineRule="auto"/>
        <w:rPr>
          <w:rFonts w:asciiTheme="minorHAnsi" w:eastAsia="Segoe UI" w:hAnsiTheme="minorHAnsi"/>
          <w:b/>
          <w:bCs/>
          <w:sz w:val="24"/>
          <w:szCs w:val="24"/>
          <w:lang w:val="en-GB"/>
        </w:rPr>
      </w:pPr>
      <w:r w:rsidRPr="002A3976">
        <w:rPr>
          <w:rFonts w:asciiTheme="minorHAnsi" w:eastAsia="Segoe UI" w:hAnsiTheme="minorHAnsi"/>
          <w:sz w:val="24"/>
          <w:szCs w:val="24"/>
          <w:lang w:val="en-GB"/>
        </w:rPr>
        <w:t xml:space="preserve">According to the survey, </w:t>
      </w:r>
      <w:bookmarkStart w:id="28" w:name="_Hlk135748568"/>
      <w:r w:rsidRPr="00A44383">
        <w:rPr>
          <w:rStyle w:val="Emphasis"/>
        </w:rPr>
        <w:t>only few Equality Bodies reported carrying out work in cases linked to the establishment or recognition of parenthood</w:t>
      </w:r>
      <w:bookmarkEnd w:id="28"/>
      <w:r w:rsidRPr="002A3976">
        <w:rPr>
          <w:rFonts w:asciiTheme="minorHAnsi" w:eastAsia="Segoe UI" w:hAnsiTheme="minorHAnsi"/>
          <w:sz w:val="24"/>
          <w:szCs w:val="24"/>
          <w:lang w:val="en-GB"/>
        </w:rPr>
        <w:t>. This chapter shares some examples of the work Equality Bodies do, mainly relying on the practi</w:t>
      </w:r>
      <w:r w:rsidR="00F26CC9" w:rsidRPr="002A3976">
        <w:rPr>
          <w:rFonts w:asciiTheme="minorHAnsi" w:eastAsia="Segoe UI" w:hAnsiTheme="minorHAnsi"/>
          <w:sz w:val="24"/>
          <w:szCs w:val="24"/>
          <w:lang w:val="en-GB"/>
        </w:rPr>
        <w:t>c</w:t>
      </w:r>
      <w:r w:rsidRPr="002A3976">
        <w:rPr>
          <w:rFonts w:asciiTheme="minorHAnsi" w:eastAsia="Segoe UI" w:hAnsiTheme="minorHAnsi"/>
          <w:sz w:val="24"/>
          <w:szCs w:val="24"/>
          <w:lang w:val="en-GB"/>
        </w:rPr>
        <w:t>e of the Office of the Commissioner for Human Rights of the Republic of Poland, in different type</w:t>
      </w:r>
      <w:r w:rsidR="00852DD9" w:rsidRPr="002A3976">
        <w:rPr>
          <w:rFonts w:asciiTheme="minorHAnsi" w:eastAsia="Segoe UI" w:hAnsiTheme="minorHAnsi"/>
          <w:sz w:val="24"/>
          <w:szCs w:val="24"/>
          <w:lang w:val="en-GB"/>
        </w:rPr>
        <w:t>s</w:t>
      </w:r>
      <w:r w:rsidRPr="002A3976">
        <w:rPr>
          <w:rFonts w:asciiTheme="minorHAnsi" w:eastAsia="Segoe UI" w:hAnsiTheme="minorHAnsi"/>
          <w:sz w:val="24"/>
          <w:szCs w:val="24"/>
          <w:lang w:val="en-GB"/>
        </w:rPr>
        <w:t xml:space="preserve"> of cases dealing with the establishment or recognition of parenthood. Despite some examples of the work of Equality Bodies on this matter, according to the survey, </w:t>
      </w:r>
      <w:r w:rsidRPr="00A44383">
        <w:rPr>
          <w:rStyle w:val="Emphasis"/>
        </w:rPr>
        <w:t>the lack of involvement of Equality Bodies on issues linked to the establishment or recognition of parenthood is prominent</w:t>
      </w:r>
      <w:r w:rsidRPr="00A44383">
        <w:rPr>
          <w:rFonts w:asciiTheme="minorHAnsi" w:eastAsia="Segoe UI" w:hAnsiTheme="minorHAnsi"/>
          <w:sz w:val="24"/>
          <w:szCs w:val="24"/>
          <w:lang w:val="en-GB"/>
        </w:rPr>
        <w:t>. </w:t>
      </w:r>
    </w:p>
    <w:p w14:paraId="6A3CF047" w14:textId="2A0572CD" w:rsidR="00284936" w:rsidRPr="00CA1527" w:rsidRDefault="00284936" w:rsidP="008F51C6">
      <w:pPr>
        <w:pStyle w:val="Heading2"/>
      </w:pPr>
      <w:bookmarkStart w:id="29" w:name="_Toc157782140"/>
      <w:r w:rsidRPr="00CA1527">
        <w:t xml:space="preserve">Equality </w:t>
      </w:r>
      <w:r w:rsidR="00B30ABC">
        <w:t>B</w:t>
      </w:r>
      <w:r w:rsidRPr="00CA1527">
        <w:t>odies involved in cases concerning the recognition of parenthood established in another Member State</w:t>
      </w:r>
      <w:bookmarkEnd w:id="29"/>
      <w:r w:rsidRPr="00CA1527">
        <w:t> </w:t>
      </w:r>
    </w:p>
    <w:p w14:paraId="3EDABA72" w14:textId="0E7D6E5D" w:rsidR="00284936" w:rsidRDefault="0045744B" w:rsidP="0066253A">
      <w:pPr>
        <w:spacing w:before="120" w:after="120" w:line="360" w:lineRule="auto"/>
        <w:rPr>
          <w:rFonts w:asciiTheme="minorHAnsi" w:eastAsia="Segoe UI" w:hAnsiTheme="minorHAnsi" w:cstheme="minorHAnsi"/>
          <w:b/>
          <w:bCs/>
          <w:sz w:val="24"/>
          <w:szCs w:val="24"/>
          <w:lang w:val="en-GB"/>
        </w:rPr>
      </w:pPr>
      <w:r>
        <w:rPr>
          <w:noProof/>
          <w:lang w:val="en-GB"/>
        </w:rPr>
        <mc:AlternateContent>
          <mc:Choice Requires="wps">
            <w:drawing>
              <wp:anchor distT="0" distB="0" distL="114300" distR="114300" simplePos="0" relativeHeight="251658246" behindDoc="1" locked="0" layoutInCell="1" allowOverlap="1" wp14:anchorId="00AED1CD" wp14:editId="3DED44CA">
                <wp:simplePos x="0" y="0"/>
                <wp:positionH relativeFrom="column">
                  <wp:posOffset>0</wp:posOffset>
                </wp:positionH>
                <wp:positionV relativeFrom="paragraph">
                  <wp:posOffset>626110</wp:posOffset>
                </wp:positionV>
                <wp:extent cx="5731510" cy="2181225"/>
                <wp:effectExtent l="0" t="0" r="2540" b="9525"/>
                <wp:wrapNone/>
                <wp:docPr id="2081204942"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31510" cy="2181225"/>
                        </a:xfrm>
                        <a:prstGeom prst="rect">
                          <a:avLst/>
                        </a:prstGeom>
                        <a:solidFill>
                          <a:srgbClr val="E6DFF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B29CA" id="Rectangle 1" o:spid="_x0000_s1026" alt="&quot;&quot;" style="position:absolute;margin-left:0;margin-top:49.3pt;width:451.3pt;height:171.7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" fillcolor="#e6dff9" stroked="f" strokeweight="1pt"/>
            </w:pict>
          </mc:Fallback>
        </mc:AlternateContent>
      </w:r>
      <w:r w:rsidR="00284936" w:rsidRPr="00A44383">
        <w:rPr>
          <w:rStyle w:val="Emphasis"/>
        </w:rPr>
        <w:t xml:space="preserve">Equality Bodies in </w:t>
      </w:r>
      <w:bookmarkStart w:id="30" w:name="_Hlk135748698"/>
      <w:r w:rsidR="00284936" w:rsidRPr="00A44383">
        <w:rPr>
          <w:rStyle w:val="Emphasis"/>
        </w:rPr>
        <w:t xml:space="preserve">Croatia, Poland, Romania and Slovenia </w:t>
      </w:r>
      <w:bookmarkEnd w:id="30"/>
      <w:r w:rsidR="00284936" w:rsidRPr="00A44383">
        <w:rPr>
          <w:rStyle w:val="Emphasis"/>
        </w:rPr>
        <w:t>reported their involvement in cases to a different degree</w:t>
      </w:r>
      <w:r w:rsidR="00284936" w:rsidRPr="00A44383">
        <w:rPr>
          <w:rFonts w:asciiTheme="minorHAnsi" w:eastAsia="Segoe UI" w:hAnsiTheme="minorHAnsi" w:cstheme="minorHAnsi"/>
          <w:sz w:val="24"/>
          <w:szCs w:val="24"/>
          <w:lang w:val="en-GB"/>
        </w:rPr>
        <w:t>.</w:t>
      </w:r>
      <w:r w:rsidR="00284936" w:rsidRPr="0066253A">
        <w:rPr>
          <w:rFonts w:asciiTheme="minorHAnsi" w:eastAsia="Segoe UI" w:hAnsiTheme="minorHAnsi" w:cstheme="minorHAnsi"/>
          <w:b/>
          <w:bCs/>
          <w:sz w:val="24"/>
          <w:szCs w:val="24"/>
          <w:lang w:val="en-GB"/>
        </w:rPr>
        <w:t> </w:t>
      </w:r>
    </w:p>
    <w:p w14:paraId="3F273B75" w14:textId="34BFA901" w:rsidR="00A20999" w:rsidRPr="00A20999" w:rsidRDefault="003016F5" w:rsidP="00BE00D4">
      <w:pPr>
        <w:spacing w:before="360" w:after="120" w:line="360" w:lineRule="auto"/>
        <w:ind w:left="397" w:right="397"/>
        <w:rPr>
          <w:rFonts w:asciiTheme="minorHAnsi" w:eastAsia="Segoe UI" w:hAnsiTheme="minorHAnsi"/>
          <w:b/>
          <w:bCs/>
          <w:sz w:val="24"/>
          <w:szCs w:val="24"/>
          <w:lang w:val="en-GB"/>
        </w:rPr>
      </w:pPr>
      <w:r>
        <w:rPr>
          <w:rFonts w:asciiTheme="minorHAnsi" w:eastAsia="Segoe UI" w:hAnsiTheme="minorHAnsi"/>
          <w:b/>
          <w:bCs/>
          <w:sz w:val="24"/>
          <w:szCs w:val="24"/>
          <w:lang w:val="en-GB"/>
        </w:rPr>
        <w:t>Example</w:t>
      </w:r>
      <w:r w:rsidR="00A20999" w:rsidRPr="00A20999">
        <w:rPr>
          <w:rFonts w:asciiTheme="minorHAnsi" w:eastAsia="Segoe UI" w:hAnsiTheme="minorHAnsi"/>
          <w:b/>
          <w:bCs/>
          <w:sz w:val="24"/>
          <w:szCs w:val="24"/>
          <w:lang w:val="en-GB"/>
        </w:rPr>
        <w:t xml:space="preserve">: </w:t>
      </w:r>
      <w:r w:rsidR="00BE00D4">
        <w:rPr>
          <w:rFonts w:asciiTheme="minorHAnsi" w:eastAsia="Segoe UI" w:hAnsiTheme="minorHAnsi"/>
          <w:b/>
          <w:bCs/>
          <w:sz w:val="24"/>
          <w:szCs w:val="24"/>
          <w:lang w:val="en-GB"/>
        </w:rPr>
        <w:t>C</w:t>
      </w:r>
      <w:r w:rsidR="00A20999" w:rsidRPr="00A20999">
        <w:rPr>
          <w:rFonts w:asciiTheme="minorHAnsi" w:eastAsia="Segoe UI" w:hAnsiTheme="minorHAnsi"/>
          <w:b/>
          <w:bCs/>
          <w:sz w:val="24"/>
          <w:szCs w:val="24"/>
          <w:lang w:val="en-GB"/>
        </w:rPr>
        <w:t>ommissioner for Human Rights</w:t>
      </w:r>
      <w:r w:rsidR="00093565">
        <w:rPr>
          <w:rFonts w:asciiTheme="minorHAnsi" w:eastAsia="Segoe UI" w:hAnsiTheme="minorHAnsi"/>
          <w:b/>
          <w:bCs/>
          <w:sz w:val="24"/>
          <w:szCs w:val="24"/>
          <w:lang w:val="en-GB"/>
        </w:rPr>
        <w:t xml:space="preserve">, </w:t>
      </w:r>
      <w:r w:rsidR="00A20999" w:rsidRPr="00A20999">
        <w:rPr>
          <w:rFonts w:asciiTheme="minorHAnsi" w:eastAsia="Segoe UI" w:hAnsiTheme="minorHAnsi"/>
          <w:b/>
          <w:bCs/>
          <w:sz w:val="24"/>
          <w:szCs w:val="24"/>
          <w:lang w:val="en-GB"/>
        </w:rPr>
        <w:t>Poland</w:t>
      </w:r>
    </w:p>
    <w:p w14:paraId="3E074245" w14:textId="5EFD86BF" w:rsidR="009C13F4" w:rsidRPr="0066253A" w:rsidRDefault="009C13F4" w:rsidP="00B81E0C">
      <w:pPr>
        <w:spacing w:before="360" w:after="120" w:line="360" w:lineRule="auto"/>
        <w:ind w:left="397" w:right="397"/>
        <w:rPr>
          <w:rFonts w:asciiTheme="minorHAnsi" w:eastAsia="Segoe UI" w:hAnsiTheme="minorHAnsi" w:cstheme="minorHAnsi"/>
          <w:sz w:val="24"/>
          <w:szCs w:val="24"/>
          <w:lang w:val="en-GB"/>
        </w:rPr>
      </w:pPr>
      <w:r w:rsidRPr="0066253A">
        <w:rPr>
          <w:rFonts w:asciiTheme="minorHAnsi" w:eastAsia="Segoe UI" w:hAnsiTheme="minorHAnsi"/>
          <w:sz w:val="24"/>
          <w:szCs w:val="24"/>
          <w:lang w:val="en-GB"/>
        </w:rPr>
        <w:t>The</w:t>
      </w:r>
      <w:r w:rsidRPr="002851D6">
        <w:rPr>
          <w:rFonts w:asciiTheme="minorHAnsi" w:eastAsia="Segoe UI" w:hAnsiTheme="minorHAnsi"/>
          <w:b/>
          <w:bCs/>
          <w:sz w:val="24"/>
          <w:szCs w:val="24"/>
          <w:lang w:val="en-GB"/>
        </w:rPr>
        <w:t xml:space="preserve"> </w:t>
      </w:r>
      <w:r w:rsidRPr="00FD7BF4">
        <w:rPr>
          <w:rStyle w:val="Emphasis"/>
          <w:shd w:val="clear" w:color="auto" w:fill="auto"/>
        </w:rPr>
        <w:t>Office of the Commissioner for Human Rights of the Republic of Poland</w:t>
      </w:r>
      <w:r w:rsidRPr="002851D6">
        <w:rPr>
          <w:rFonts w:asciiTheme="minorHAnsi" w:eastAsia="Segoe UI" w:hAnsiTheme="minorHAnsi"/>
          <w:b/>
          <w:bCs/>
          <w:sz w:val="24"/>
          <w:szCs w:val="24"/>
          <w:lang w:val="en-GB"/>
        </w:rPr>
        <w:t xml:space="preserve"> </w:t>
      </w:r>
      <w:r w:rsidRPr="0066253A">
        <w:rPr>
          <w:rFonts w:asciiTheme="minorHAnsi" w:eastAsia="Segoe UI" w:hAnsiTheme="minorHAnsi"/>
          <w:sz w:val="24"/>
          <w:szCs w:val="24"/>
          <w:lang w:val="en-GB"/>
        </w:rPr>
        <w:t xml:space="preserve">intervened in administrative and judicial proceedings, in which authorities issue a decision to refuse to transcribe a birth certificate, issue a passport, an identity card or assigning a PESEL number (Polish acronym for </w:t>
      </w:r>
      <w:r w:rsidR="00E36B46">
        <w:rPr>
          <w:rFonts w:asciiTheme="minorHAnsi" w:eastAsia="Segoe UI" w:hAnsiTheme="minorHAnsi"/>
          <w:sz w:val="24"/>
          <w:szCs w:val="24"/>
          <w:lang w:val="en-GB"/>
        </w:rPr>
        <w:t>“</w:t>
      </w:r>
      <w:r w:rsidRPr="0066253A">
        <w:rPr>
          <w:rFonts w:asciiTheme="minorHAnsi" w:eastAsia="Segoe UI" w:hAnsiTheme="minorHAnsi"/>
          <w:sz w:val="24"/>
          <w:szCs w:val="24"/>
          <w:lang w:val="en-GB"/>
        </w:rPr>
        <w:t>Universal Electronic System for Registration of the Population</w:t>
      </w:r>
      <w:r w:rsidR="00E36B46">
        <w:rPr>
          <w:rFonts w:asciiTheme="minorHAnsi" w:eastAsia="Segoe UI" w:hAnsiTheme="minorHAnsi"/>
          <w:sz w:val="24"/>
          <w:szCs w:val="24"/>
          <w:lang w:val="en-GB"/>
        </w:rPr>
        <w:t>”</w:t>
      </w:r>
      <w:r w:rsidRPr="0066253A">
        <w:rPr>
          <w:rFonts w:asciiTheme="minorHAnsi" w:eastAsia="Segoe UI" w:hAnsiTheme="minorHAnsi"/>
          <w:sz w:val="24"/>
          <w:szCs w:val="24"/>
          <w:lang w:val="en-GB"/>
        </w:rPr>
        <w:t>). Some of these cases are the following: </w:t>
      </w:r>
      <w:r w:rsidRPr="0066253A">
        <w:rPr>
          <w:rFonts w:asciiTheme="minorHAnsi" w:eastAsia="Segoe UI" w:hAnsiTheme="minorHAnsi" w:cstheme="minorHAnsi"/>
          <w:sz w:val="24"/>
          <w:szCs w:val="24"/>
          <w:lang w:val="en-GB"/>
        </w:rPr>
        <w:t> </w:t>
      </w:r>
    </w:p>
    <w:p w14:paraId="6102AFDF" w14:textId="6F0300B4" w:rsidR="002851D6" w:rsidRDefault="009C13F4" w:rsidP="005052C2">
      <w:pPr>
        <w:pStyle w:val="ListParagraph"/>
        <w:numPr>
          <w:ilvl w:val="0"/>
          <w:numId w:val="27"/>
        </w:numPr>
        <w:spacing w:before="120" w:after="120" w:line="360" w:lineRule="auto"/>
        <w:ind w:left="1021" w:right="397" w:hanging="567"/>
        <w:rPr>
          <w:rFonts w:asciiTheme="minorHAnsi" w:eastAsia="Segoe UI" w:hAnsiTheme="minorHAnsi" w:cstheme="minorHAnsi"/>
          <w:sz w:val="24"/>
          <w:szCs w:val="24"/>
          <w:lang w:val="en-GB"/>
        </w:rPr>
      </w:pPr>
      <w:r w:rsidRPr="002851D6">
        <w:rPr>
          <w:rFonts w:asciiTheme="minorHAnsi" w:eastAsia="Segoe UI" w:hAnsiTheme="minorHAnsi" w:cstheme="minorHAnsi"/>
          <w:sz w:val="24"/>
          <w:szCs w:val="24"/>
          <w:lang w:val="en-GB"/>
        </w:rPr>
        <w:lastRenderedPageBreak/>
        <w:t xml:space="preserve">Resolution of 7 judges of the Supreme Administrative Court, ref. II OPS 1/19 according to which the transcription of a foreign birth certificate of a child, in </w:t>
      </w:r>
      <w:r w:rsidR="00B81E0C">
        <w:rPr>
          <w:noProof/>
          <w:lang w:val="en-GB"/>
        </w:rPr>
        <mc:AlternateContent>
          <mc:Choice Requires="wps">
            <w:drawing>
              <wp:anchor distT="0" distB="0" distL="114300" distR="114300" simplePos="0" relativeHeight="251658247" behindDoc="1" locked="0" layoutInCell="1" allowOverlap="1" wp14:anchorId="077FD1A7" wp14:editId="4AEE690A">
                <wp:simplePos x="0" y="0"/>
                <wp:positionH relativeFrom="column">
                  <wp:posOffset>0</wp:posOffset>
                </wp:positionH>
                <wp:positionV relativeFrom="paragraph">
                  <wp:posOffset>-41843</wp:posOffset>
                </wp:positionV>
                <wp:extent cx="5731510" cy="8966200"/>
                <wp:effectExtent l="0" t="0" r="2540" b="6350"/>
                <wp:wrapNone/>
                <wp:docPr id="203239435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31510" cy="8966200"/>
                        </a:xfrm>
                        <a:prstGeom prst="rect">
                          <a:avLst/>
                        </a:prstGeom>
                        <a:solidFill>
                          <a:srgbClr val="E6DFF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35A6A" id="Rectangle 1" o:spid="_x0000_s1026" alt="&quot;&quot;" style="position:absolute;margin-left:0;margin-top:-3.3pt;width:451.3pt;height:706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" fillcolor="#e6dff9" stroked="f" strokeweight="1pt"/>
            </w:pict>
          </mc:Fallback>
        </mc:AlternateContent>
      </w:r>
      <w:r w:rsidRPr="002851D6">
        <w:rPr>
          <w:rFonts w:asciiTheme="minorHAnsi" w:eastAsia="Segoe UI" w:hAnsiTheme="minorHAnsi" w:cstheme="minorHAnsi"/>
          <w:sz w:val="24"/>
          <w:szCs w:val="24"/>
          <w:lang w:val="en-GB"/>
        </w:rPr>
        <w:t xml:space="preserve">which persons of the same sex are indicated as parents, is inadmissible in light of the </w:t>
      </w:r>
      <w:r w:rsidR="00E36B46" w:rsidRPr="002851D6">
        <w:rPr>
          <w:rFonts w:asciiTheme="minorHAnsi" w:eastAsia="Segoe UI" w:hAnsiTheme="minorHAnsi" w:cstheme="minorHAnsi"/>
          <w:sz w:val="24"/>
          <w:szCs w:val="24"/>
          <w:lang w:val="en-GB"/>
        </w:rPr>
        <w:t>“</w:t>
      </w:r>
      <w:r w:rsidRPr="002851D6">
        <w:rPr>
          <w:rFonts w:asciiTheme="minorHAnsi" w:eastAsia="Segoe UI" w:hAnsiTheme="minorHAnsi" w:cstheme="minorHAnsi"/>
          <w:sz w:val="24"/>
          <w:szCs w:val="24"/>
          <w:lang w:val="en-GB"/>
        </w:rPr>
        <w:t>public policy clause</w:t>
      </w:r>
      <w:r w:rsidR="00E36B46" w:rsidRPr="002851D6">
        <w:rPr>
          <w:rFonts w:asciiTheme="minorHAnsi" w:eastAsia="Segoe UI" w:hAnsiTheme="minorHAnsi" w:cstheme="minorHAnsi"/>
          <w:sz w:val="24"/>
          <w:szCs w:val="24"/>
          <w:lang w:val="en-GB"/>
        </w:rPr>
        <w:t>”</w:t>
      </w:r>
      <w:r w:rsidRPr="002851D6">
        <w:rPr>
          <w:rFonts w:asciiTheme="minorHAnsi" w:eastAsia="Segoe UI" w:hAnsiTheme="minorHAnsi" w:cstheme="minorHAnsi"/>
          <w:sz w:val="24"/>
          <w:szCs w:val="24"/>
          <w:lang w:val="en-GB"/>
        </w:rPr>
        <w:t>. </w:t>
      </w:r>
    </w:p>
    <w:p w14:paraId="5B0E399C" w14:textId="388C075B" w:rsidR="002851D6" w:rsidRDefault="009C13F4" w:rsidP="005052C2">
      <w:pPr>
        <w:pStyle w:val="ListParagraph"/>
        <w:numPr>
          <w:ilvl w:val="0"/>
          <w:numId w:val="27"/>
        </w:numPr>
        <w:spacing w:before="120" w:after="120" w:line="360" w:lineRule="auto"/>
        <w:ind w:left="1021" w:right="397" w:hanging="567"/>
        <w:rPr>
          <w:rFonts w:asciiTheme="minorHAnsi" w:eastAsia="Segoe UI" w:hAnsiTheme="minorHAnsi" w:cstheme="minorHAnsi"/>
          <w:sz w:val="24"/>
          <w:szCs w:val="24"/>
          <w:lang w:val="en-GB"/>
        </w:rPr>
      </w:pPr>
      <w:r w:rsidRPr="002851D6">
        <w:rPr>
          <w:rFonts w:asciiTheme="minorHAnsi" w:eastAsia="Segoe UI" w:hAnsiTheme="minorHAnsi" w:cstheme="minorHAnsi"/>
          <w:sz w:val="24"/>
          <w:szCs w:val="24"/>
          <w:lang w:val="en-GB"/>
        </w:rPr>
        <w:t>The judgment of the Provincial Administrative Court in Warsaw of November 20, 2020, ref. no. IV SAMa 1618/20 - in which the court stated that a minor's ID card can only include the biological mother, excluding the social mother, who is recognized as the mother under British law. </w:t>
      </w:r>
    </w:p>
    <w:p w14:paraId="23EC31C9" w14:textId="27E77D3D" w:rsidR="002851D6" w:rsidRPr="002851D6" w:rsidRDefault="009C13F4" w:rsidP="00CF344F">
      <w:pPr>
        <w:pStyle w:val="ListParagraph"/>
        <w:numPr>
          <w:ilvl w:val="0"/>
          <w:numId w:val="27"/>
        </w:numPr>
        <w:spacing w:before="120" w:after="120" w:line="360" w:lineRule="auto"/>
        <w:ind w:left="1021" w:right="397" w:hanging="567"/>
        <w:rPr>
          <w:rFonts w:asciiTheme="minorHAnsi" w:eastAsia="Segoe UI" w:hAnsiTheme="minorHAnsi" w:cstheme="minorHAnsi"/>
          <w:sz w:val="24"/>
          <w:szCs w:val="24"/>
          <w:lang w:val="en-GB"/>
        </w:rPr>
      </w:pPr>
      <w:r w:rsidRPr="002851D6">
        <w:rPr>
          <w:rFonts w:asciiTheme="minorHAnsi" w:eastAsia="Segoe UI" w:hAnsiTheme="minorHAnsi"/>
          <w:sz w:val="24"/>
          <w:szCs w:val="24"/>
          <w:lang w:val="en-GB"/>
        </w:rPr>
        <w:t>The judgment of the Supreme Administrative Court of June 20, 2018, ref. II OSK 1808/16 - in which the court upheld the judgment of the Court of first instance ruling that it is not possible to transcribe into the Polish legal order a birth certificate in which two women are listed as parents. In this case a complaint was filed with the European Court of Human Rights (A.P. and R.P. v. Poland, application no. 1298/19) on the violation of Article 8 in conjunction with Article 14 of the European Convention on Human Rights in connection with the refusal to transcribe a child's birth certificate as a manifestation of discrimination based on the sexual orientation of the child's parents. The case was communicated to the Polish government. The Ombudsman has filed written comments pursuant to Rule 44 of the Rules of the European Court of Human Rights in support of the complaint. </w:t>
      </w:r>
    </w:p>
    <w:p w14:paraId="7711C943" w14:textId="7ECF3CEA" w:rsidR="009C13F4" w:rsidRPr="002851D6" w:rsidRDefault="009C13F4" w:rsidP="00CF344F">
      <w:pPr>
        <w:pStyle w:val="ListParagraph"/>
        <w:numPr>
          <w:ilvl w:val="0"/>
          <w:numId w:val="27"/>
        </w:numPr>
        <w:spacing w:before="120" w:after="360" w:line="360" w:lineRule="auto"/>
        <w:ind w:left="1021" w:right="397" w:hanging="567"/>
        <w:contextualSpacing w:val="0"/>
        <w:rPr>
          <w:rFonts w:asciiTheme="minorHAnsi" w:eastAsia="Segoe UI" w:hAnsiTheme="minorHAnsi" w:cstheme="minorHAnsi"/>
          <w:sz w:val="24"/>
          <w:szCs w:val="24"/>
          <w:lang w:val="en-GB"/>
        </w:rPr>
      </w:pPr>
      <w:r w:rsidRPr="002851D6">
        <w:rPr>
          <w:rFonts w:asciiTheme="minorHAnsi" w:eastAsia="Segoe UI" w:hAnsiTheme="minorHAnsi" w:cstheme="minorHAnsi"/>
          <w:sz w:val="24"/>
          <w:szCs w:val="24"/>
          <w:lang w:val="en-GB"/>
        </w:rPr>
        <w:t xml:space="preserve">Proceedings before the Provincial Administrative Court in Krakow in the case ref. III SA/Kr 1217/19, in which by order of December 9, 2020 the Court asked the CJEU to consider the question for a preliminary ruling: “Must the combined provisions of [Article 20(2)(a) and Article 21(1) TFEU], read in conjunction with Article 7, Article 21(1) and Article 24(2) of [the Charter], be interpreted as precluding the authorities of a Member State of which a minor child is a national from refusing to transcribe that child’s birth certificate, issued by another Member State, that transcription being necessary to enable the child to obtain an identity document for the Member State of which that child is a national, on the ground that that birth certificate designates as parents persons who are of the same sex and the national law of that Member State does not provide for the parenthood of same sex couples?”. In </w:t>
      </w:r>
      <w:r w:rsidR="00F701AD">
        <w:rPr>
          <w:noProof/>
          <w:lang w:val="en-GB"/>
        </w:rPr>
        <w:lastRenderedPageBreak/>
        <mc:AlternateContent>
          <mc:Choice Requires="wps">
            <w:drawing>
              <wp:anchor distT="0" distB="0" distL="114300" distR="114300" simplePos="0" relativeHeight="251658248" behindDoc="1" locked="0" layoutInCell="1" allowOverlap="1" wp14:anchorId="11D82E0A" wp14:editId="14111D93">
                <wp:simplePos x="0" y="0"/>
                <wp:positionH relativeFrom="column">
                  <wp:posOffset>0</wp:posOffset>
                </wp:positionH>
                <wp:positionV relativeFrom="paragraph">
                  <wp:posOffset>-74951</wp:posOffset>
                </wp:positionV>
                <wp:extent cx="5731510" cy="5096104"/>
                <wp:effectExtent l="0" t="0" r="2540" b="9525"/>
                <wp:wrapNone/>
                <wp:docPr id="2090922936"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31510" cy="5096104"/>
                        </a:xfrm>
                        <a:prstGeom prst="rect">
                          <a:avLst/>
                        </a:prstGeom>
                        <a:solidFill>
                          <a:srgbClr val="E6DFF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C24AE" id="Rectangle 1" o:spid="_x0000_s1026" alt="&quot;&quot;" style="position:absolute;margin-left:0;margin-top:-5.9pt;width:451.3pt;height:401.25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" fillcolor="#e6dff9" stroked="f" strokeweight="1pt"/>
            </w:pict>
          </mc:Fallback>
        </mc:AlternateContent>
      </w:r>
      <w:r w:rsidRPr="002851D6">
        <w:rPr>
          <w:rFonts w:asciiTheme="minorHAnsi" w:eastAsia="Segoe UI" w:hAnsiTheme="minorHAnsi" w:cstheme="minorHAnsi"/>
          <w:sz w:val="24"/>
          <w:szCs w:val="24"/>
          <w:lang w:val="en-GB"/>
        </w:rPr>
        <w:t xml:space="preserve">case C-2/21 the CJUE ordered that Articles 20 and 21 TFEU, read in conjunction with Articles 7 and 24 of the Charter of Fundamental Rights of the European Union and Article 4(3) of Directive 2004/38/EC of the European Parliament and of the Council of 29 April 2004 on the right of citizens of the Union and their family members to move and reside freely within the territory of the Member States amending Regulation (EEC) No 1612/68 and repealing Directives 64/221/EEC, 68/360/EEC, 72/194/EEC, 73/148/EEC, 75/34/EEC, 75/35/EEC, 90/364/EEC, 90/365/EEC and 93/96/EEC, must be interpreted as meaning that, in the case of a minor child who is a citizen of the Union and whose birth certificate, issued by the authorities of a Member State, designates as that child’s parents two persons of the same sex, the Member State of which that child is a national (i) is obliged to issue to that child an identity card or a passport without requiring the prior transcription of a birth certificate of that child into the national register of civil status, and (ii) is obliged to recognise, as is any other Member State, the document from another Member State that permits that same child to exercise without impediment, with each of those two persons, his or her right to move and </w:t>
      </w:r>
      <w:r w:rsidR="003016F5">
        <w:rPr>
          <w:noProof/>
          <w:lang w:val="en-GB"/>
        </w:rPr>
        <mc:AlternateContent>
          <mc:Choice Requires="wps">
            <w:drawing>
              <wp:anchor distT="0" distB="0" distL="114300" distR="114300" simplePos="0" relativeHeight="251658245" behindDoc="1" locked="0" layoutInCell="1" allowOverlap="1" wp14:anchorId="15476A9F" wp14:editId="29842D96">
                <wp:simplePos x="0" y="0"/>
                <wp:positionH relativeFrom="column">
                  <wp:posOffset>10160</wp:posOffset>
                </wp:positionH>
                <wp:positionV relativeFrom="paragraph">
                  <wp:posOffset>5190399</wp:posOffset>
                </wp:positionV>
                <wp:extent cx="5711190" cy="3597566"/>
                <wp:effectExtent l="0" t="0" r="3810" b="3175"/>
                <wp:wrapNone/>
                <wp:docPr id="1009107334"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1190" cy="3597566"/>
                        </a:xfrm>
                        <a:prstGeom prst="rect">
                          <a:avLst/>
                        </a:prstGeom>
                        <a:solidFill>
                          <a:srgbClr val="E6DFF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BEDF3" id="Rectangle 1" o:spid="_x0000_s1026" alt="&quot;&quot;" style="position:absolute;margin-left:.8pt;margin-top:408.7pt;width:449.7pt;height:283.2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" fillcolor="#e6dff9" stroked="f" strokeweight="1pt"/>
            </w:pict>
          </mc:Fallback>
        </mc:AlternateContent>
      </w:r>
      <w:r w:rsidRPr="002851D6">
        <w:rPr>
          <w:rFonts w:asciiTheme="minorHAnsi" w:eastAsia="Segoe UI" w:hAnsiTheme="minorHAnsi" w:cstheme="minorHAnsi"/>
          <w:sz w:val="24"/>
          <w:szCs w:val="24"/>
          <w:lang w:val="en-GB"/>
        </w:rPr>
        <w:t>reside freely within the territory of the Member States. </w:t>
      </w:r>
    </w:p>
    <w:p w14:paraId="6B8ADFBC" w14:textId="78C9FB1A" w:rsidR="005F3724" w:rsidRPr="005F3724" w:rsidRDefault="005052C2" w:rsidP="00BE00D4">
      <w:pPr>
        <w:spacing w:before="240" w:after="240" w:line="360" w:lineRule="auto"/>
        <w:ind w:left="397" w:right="397"/>
        <w:rPr>
          <w:rFonts w:asciiTheme="minorHAnsi" w:eastAsia="Segoe UI" w:hAnsiTheme="minorHAnsi"/>
          <w:b/>
          <w:bCs/>
          <w:sz w:val="24"/>
          <w:szCs w:val="24"/>
          <w:lang w:val="en-GB"/>
        </w:rPr>
      </w:pPr>
      <w:r>
        <w:rPr>
          <w:rFonts w:asciiTheme="minorHAnsi" w:eastAsia="Segoe UI" w:hAnsiTheme="minorHAnsi"/>
          <w:b/>
          <w:bCs/>
          <w:sz w:val="24"/>
          <w:szCs w:val="24"/>
          <w:lang w:val="en-GB"/>
        </w:rPr>
        <w:t>Example</w:t>
      </w:r>
      <w:r w:rsidR="005F3724" w:rsidRPr="005F3724">
        <w:rPr>
          <w:rFonts w:asciiTheme="minorHAnsi" w:eastAsia="Segoe UI" w:hAnsiTheme="minorHAnsi"/>
          <w:b/>
          <w:bCs/>
          <w:sz w:val="24"/>
          <w:szCs w:val="24"/>
          <w:lang w:val="en-GB"/>
        </w:rPr>
        <w:t>: The National Council for Combating Discrimination, Romania</w:t>
      </w:r>
    </w:p>
    <w:p w14:paraId="57365843" w14:textId="34384A11" w:rsidR="0055266F" w:rsidRPr="0066253A" w:rsidRDefault="00D90999" w:rsidP="00A66A37">
      <w:pPr>
        <w:spacing w:before="360" w:after="240" w:line="360" w:lineRule="auto"/>
        <w:ind w:left="397" w:right="397"/>
        <w:rPr>
          <w:rFonts w:asciiTheme="minorHAnsi" w:eastAsia="Segoe UI" w:hAnsiTheme="minorHAnsi" w:cstheme="minorHAnsi"/>
          <w:b/>
          <w:bCs/>
          <w:sz w:val="24"/>
          <w:szCs w:val="24"/>
          <w:lang w:val="en-GB"/>
        </w:rPr>
      </w:pPr>
      <w:r w:rsidRPr="0066253A">
        <w:rPr>
          <w:rFonts w:asciiTheme="minorHAnsi" w:eastAsia="Segoe UI" w:hAnsiTheme="minorHAnsi"/>
          <w:sz w:val="24"/>
          <w:szCs w:val="24"/>
          <w:lang w:val="en-GB"/>
        </w:rPr>
        <w:t xml:space="preserve">The </w:t>
      </w:r>
      <w:r w:rsidRPr="005F3724">
        <w:rPr>
          <w:rFonts w:asciiTheme="minorHAnsi" w:eastAsia="Segoe UI" w:hAnsiTheme="minorHAnsi"/>
          <w:sz w:val="24"/>
          <w:szCs w:val="24"/>
          <w:lang w:val="en-GB"/>
        </w:rPr>
        <w:t>National Council for Combating Discrimination in Romania</w:t>
      </w:r>
      <w:r w:rsidRPr="0066253A">
        <w:rPr>
          <w:rFonts w:asciiTheme="minorHAnsi" w:eastAsia="Segoe UI" w:hAnsiTheme="minorHAnsi"/>
          <w:b/>
          <w:bCs/>
          <w:sz w:val="24"/>
          <w:szCs w:val="24"/>
          <w:lang w:val="en-GB"/>
        </w:rPr>
        <w:t xml:space="preserve"> </w:t>
      </w:r>
      <w:r w:rsidRPr="4540DE9C">
        <w:rPr>
          <w:rFonts w:asciiTheme="minorHAnsi" w:eastAsia="Segoe UI" w:hAnsiTheme="minorHAnsi"/>
          <w:sz w:val="24"/>
          <w:szCs w:val="24"/>
          <w:lang w:val="en-GB"/>
        </w:rPr>
        <w:t xml:space="preserve">intervened in </w:t>
      </w:r>
      <w:r w:rsidRPr="0644DFCA">
        <w:rPr>
          <w:rFonts w:asciiTheme="minorHAnsi" w:eastAsia="Segoe UI" w:hAnsiTheme="minorHAnsi"/>
          <w:sz w:val="24"/>
          <w:szCs w:val="24"/>
          <w:lang w:val="en-GB"/>
        </w:rPr>
        <w:t>a</w:t>
      </w:r>
      <w:r w:rsidRPr="4540DE9C">
        <w:rPr>
          <w:rFonts w:asciiTheme="minorHAnsi" w:eastAsia="Segoe UI" w:hAnsiTheme="minorHAnsi"/>
          <w:sz w:val="24"/>
          <w:szCs w:val="24"/>
          <w:lang w:val="en-GB"/>
        </w:rPr>
        <w:t xml:space="preserve"> </w:t>
      </w:r>
      <w:r w:rsidRPr="6914F4FB">
        <w:rPr>
          <w:rFonts w:asciiTheme="minorHAnsi" w:eastAsia="Segoe UI" w:hAnsiTheme="minorHAnsi"/>
          <w:sz w:val="24"/>
          <w:szCs w:val="24"/>
          <w:lang w:val="en-GB"/>
        </w:rPr>
        <w:t>case</w:t>
      </w:r>
      <w:r w:rsidRPr="0A14B4E4">
        <w:rPr>
          <w:rFonts w:asciiTheme="minorHAnsi" w:eastAsia="Segoe UI" w:hAnsiTheme="minorHAnsi"/>
          <w:sz w:val="24"/>
          <w:szCs w:val="24"/>
          <w:lang w:val="en-GB"/>
        </w:rPr>
        <w:t xml:space="preserve"> </w:t>
      </w:r>
      <w:r w:rsidRPr="40BA83C4">
        <w:rPr>
          <w:rFonts w:asciiTheme="minorHAnsi" w:eastAsia="Segoe UI" w:hAnsiTheme="minorHAnsi"/>
          <w:sz w:val="24"/>
          <w:szCs w:val="24"/>
          <w:lang w:val="en-GB"/>
        </w:rPr>
        <w:t xml:space="preserve">concerning the </w:t>
      </w:r>
      <w:r w:rsidRPr="657A3DBA">
        <w:rPr>
          <w:rFonts w:asciiTheme="minorHAnsi" w:eastAsia="Segoe UI" w:hAnsiTheme="minorHAnsi"/>
          <w:sz w:val="24"/>
          <w:szCs w:val="24"/>
          <w:lang w:val="en-GB"/>
        </w:rPr>
        <w:t xml:space="preserve">recognition of parenthood established in </w:t>
      </w:r>
      <w:r w:rsidRPr="36B9A67A">
        <w:rPr>
          <w:rFonts w:asciiTheme="minorHAnsi" w:eastAsia="Segoe UI" w:hAnsiTheme="minorHAnsi"/>
          <w:sz w:val="24"/>
          <w:szCs w:val="24"/>
          <w:lang w:val="en-GB"/>
        </w:rPr>
        <w:t>another Member State</w:t>
      </w:r>
      <w:r w:rsidRPr="576300D0">
        <w:rPr>
          <w:rFonts w:asciiTheme="minorHAnsi" w:eastAsia="Segoe UI" w:hAnsiTheme="minorHAnsi"/>
          <w:sz w:val="24"/>
          <w:szCs w:val="24"/>
          <w:lang w:val="en-GB"/>
        </w:rPr>
        <w:t>.</w:t>
      </w:r>
      <w:r w:rsidRPr="36B9A67A">
        <w:rPr>
          <w:rFonts w:asciiTheme="minorHAnsi" w:eastAsia="Segoe UI" w:hAnsiTheme="minorHAnsi"/>
          <w:sz w:val="24"/>
          <w:szCs w:val="24"/>
          <w:lang w:val="en-GB"/>
        </w:rPr>
        <w:t xml:space="preserve"> </w:t>
      </w:r>
      <w:r w:rsidRPr="7AE34349">
        <w:rPr>
          <w:rFonts w:asciiTheme="minorHAnsi" w:eastAsia="Segoe UI" w:hAnsiTheme="minorHAnsi"/>
          <w:sz w:val="24"/>
          <w:szCs w:val="24"/>
          <w:lang w:val="en-GB"/>
        </w:rPr>
        <w:t xml:space="preserve">The Equality </w:t>
      </w:r>
      <w:r w:rsidRPr="408CEECA">
        <w:rPr>
          <w:rFonts w:asciiTheme="minorHAnsi" w:eastAsia="Segoe UI" w:hAnsiTheme="minorHAnsi"/>
          <w:sz w:val="24"/>
          <w:szCs w:val="24"/>
          <w:lang w:val="en-GB"/>
        </w:rPr>
        <w:t>Body provided</w:t>
      </w:r>
      <w:r w:rsidRPr="0066253A">
        <w:rPr>
          <w:rFonts w:asciiTheme="minorHAnsi" w:eastAsia="Segoe UI" w:hAnsiTheme="minorHAnsi"/>
          <w:sz w:val="24"/>
          <w:szCs w:val="24"/>
          <w:lang w:val="en-GB"/>
        </w:rPr>
        <w:t xml:space="preserve"> a point of view in a national court case where the recognition of the marriage and birth certificate issued in Spain is requested. </w:t>
      </w:r>
      <w:r w:rsidRPr="721ABA3F">
        <w:rPr>
          <w:rFonts w:asciiTheme="minorHAnsi" w:eastAsia="Segoe UI" w:hAnsiTheme="minorHAnsi"/>
          <w:sz w:val="24"/>
          <w:szCs w:val="24"/>
          <w:lang w:val="en-GB"/>
        </w:rPr>
        <w:t>The</w:t>
      </w:r>
      <w:r w:rsidRPr="0514AAE6">
        <w:rPr>
          <w:rFonts w:asciiTheme="minorHAnsi" w:eastAsia="Segoe UI" w:hAnsiTheme="minorHAnsi"/>
          <w:sz w:val="24"/>
          <w:szCs w:val="24"/>
          <w:lang w:val="en-GB"/>
        </w:rPr>
        <w:t xml:space="preserve"> Equality Body considered that the refusal to transcribe the birth certificate of a child who is a citizen of the Union, who was born in a host Member State other than the one of which he is a citizen and was issued a birth certificate in the host Member State in which he appears as the child of two married persons, of the same sex, represents an act of discrimination. </w:t>
      </w:r>
      <w:r w:rsidRPr="4607713C">
        <w:rPr>
          <w:rFonts w:asciiTheme="minorHAnsi" w:eastAsia="Segoe UI" w:hAnsiTheme="minorHAnsi"/>
          <w:sz w:val="24"/>
          <w:szCs w:val="24"/>
          <w:lang w:val="en-GB"/>
        </w:rPr>
        <w:t xml:space="preserve">However, this case is </w:t>
      </w:r>
      <w:r w:rsidRPr="65B8DBB5">
        <w:rPr>
          <w:rFonts w:asciiTheme="minorHAnsi" w:eastAsia="Segoe UI" w:hAnsiTheme="minorHAnsi"/>
          <w:sz w:val="24"/>
          <w:szCs w:val="24"/>
          <w:lang w:val="en-GB"/>
        </w:rPr>
        <w:t xml:space="preserve">suspended </w:t>
      </w:r>
      <w:r w:rsidRPr="17268E62">
        <w:rPr>
          <w:rFonts w:asciiTheme="minorHAnsi" w:eastAsia="Segoe UI" w:hAnsiTheme="minorHAnsi"/>
          <w:sz w:val="24"/>
          <w:szCs w:val="24"/>
          <w:lang w:val="en-GB"/>
        </w:rPr>
        <w:t xml:space="preserve">due </w:t>
      </w:r>
      <w:r w:rsidRPr="6DD98927">
        <w:rPr>
          <w:rFonts w:asciiTheme="minorHAnsi" w:eastAsia="Segoe UI" w:hAnsiTheme="minorHAnsi"/>
          <w:sz w:val="24"/>
          <w:szCs w:val="24"/>
          <w:lang w:val="en-GB"/>
        </w:rPr>
        <w:t xml:space="preserve">to an </w:t>
      </w:r>
      <w:r w:rsidRPr="1927A14C">
        <w:rPr>
          <w:rFonts w:asciiTheme="minorHAnsi" w:eastAsia="Segoe UI" w:hAnsiTheme="minorHAnsi"/>
          <w:sz w:val="24"/>
          <w:szCs w:val="24"/>
          <w:lang w:val="en-GB"/>
        </w:rPr>
        <w:t>unconstitutional</w:t>
      </w:r>
      <w:r w:rsidRPr="6DD98927">
        <w:rPr>
          <w:rFonts w:asciiTheme="minorHAnsi" w:eastAsia="Segoe UI" w:hAnsiTheme="minorHAnsi"/>
          <w:sz w:val="24"/>
          <w:szCs w:val="24"/>
          <w:lang w:val="en-GB"/>
        </w:rPr>
        <w:t xml:space="preserve"> </w:t>
      </w:r>
      <w:r w:rsidRPr="1A495DE0">
        <w:rPr>
          <w:rFonts w:asciiTheme="minorHAnsi" w:eastAsia="Segoe UI" w:hAnsiTheme="minorHAnsi"/>
          <w:sz w:val="24"/>
          <w:szCs w:val="24"/>
          <w:lang w:val="en-GB"/>
        </w:rPr>
        <w:t xml:space="preserve">motion </w:t>
      </w:r>
      <w:r w:rsidRPr="4D3B7EF8">
        <w:rPr>
          <w:rFonts w:asciiTheme="minorHAnsi" w:eastAsia="Segoe UI" w:hAnsiTheme="minorHAnsi"/>
          <w:sz w:val="24"/>
          <w:szCs w:val="24"/>
          <w:lang w:val="en-GB"/>
        </w:rPr>
        <w:t xml:space="preserve">against the </w:t>
      </w:r>
      <w:r w:rsidRPr="13515D6E">
        <w:rPr>
          <w:rFonts w:asciiTheme="minorHAnsi" w:eastAsia="Segoe UI" w:hAnsiTheme="minorHAnsi"/>
          <w:sz w:val="24"/>
          <w:szCs w:val="24"/>
          <w:lang w:val="en-GB"/>
        </w:rPr>
        <w:t>provisions of the law regarding</w:t>
      </w:r>
      <w:r w:rsidRPr="507B71E7">
        <w:rPr>
          <w:rFonts w:asciiTheme="minorHAnsi" w:eastAsia="Segoe UI" w:hAnsiTheme="minorHAnsi"/>
          <w:sz w:val="24"/>
          <w:szCs w:val="24"/>
          <w:lang w:val="en-GB"/>
        </w:rPr>
        <w:t xml:space="preserve"> </w:t>
      </w:r>
      <w:r w:rsidRPr="48800742">
        <w:rPr>
          <w:rFonts w:asciiTheme="minorHAnsi" w:eastAsia="Segoe UI" w:hAnsiTheme="minorHAnsi"/>
          <w:sz w:val="24"/>
          <w:szCs w:val="24"/>
          <w:lang w:val="en-GB"/>
        </w:rPr>
        <w:t xml:space="preserve">civil status </w:t>
      </w:r>
      <w:r w:rsidRPr="32BB4047">
        <w:rPr>
          <w:rFonts w:asciiTheme="minorHAnsi" w:eastAsia="Segoe UI" w:hAnsiTheme="minorHAnsi"/>
          <w:sz w:val="24"/>
          <w:szCs w:val="24"/>
          <w:lang w:val="en-GB"/>
        </w:rPr>
        <w:t xml:space="preserve">documents. </w:t>
      </w:r>
      <w:r w:rsidRPr="0066253A">
        <w:rPr>
          <w:rFonts w:asciiTheme="minorHAnsi" w:eastAsia="Segoe UI" w:hAnsiTheme="minorHAnsi"/>
          <w:sz w:val="24"/>
          <w:szCs w:val="24"/>
          <w:lang w:val="en-GB"/>
        </w:rPr>
        <w:t> </w:t>
      </w:r>
    </w:p>
    <w:p w14:paraId="419AB715" w14:textId="2E8C40CD" w:rsidR="00284936" w:rsidRDefault="00284936" w:rsidP="0066253A">
      <w:pPr>
        <w:spacing w:before="120" w:after="120" w:line="360" w:lineRule="auto"/>
        <w:rPr>
          <w:rFonts w:asciiTheme="minorHAnsi" w:eastAsia="Segoe UI" w:hAnsiTheme="minorHAnsi"/>
          <w:sz w:val="24"/>
          <w:szCs w:val="24"/>
          <w:lang w:val="en-GB"/>
        </w:rPr>
      </w:pPr>
      <w:r w:rsidRPr="0066253A">
        <w:rPr>
          <w:rFonts w:asciiTheme="minorHAnsi" w:eastAsia="Segoe UI" w:hAnsiTheme="minorHAnsi"/>
          <w:sz w:val="24"/>
          <w:szCs w:val="24"/>
          <w:lang w:val="en-GB"/>
        </w:rPr>
        <w:lastRenderedPageBreak/>
        <w:t xml:space="preserve">Some Equality Bodies reported their </w:t>
      </w:r>
      <w:r w:rsidR="00852DD9" w:rsidRPr="0066253A">
        <w:rPr>
          <w:rFonts w:asciiTheme="minorHAnsi" w:eastAsia="Segoe UI" w:hAnsiTheme="minorHAnsi"/>
          <w:sz w:val="24"/>
          <w:szCs w:val="24"/>
          <w:lang w:val="en-GB"/>
        </w:rPr>
        <w:t xml:space="preserve">engagement </w:t>
      </w:r>
      <w:r w:rsidRPr="0066253A">
        <w:rPr>
          <w:rFonts w:asciiTheme="minorHAnsi" w:eastAsia="Segoe UI" w:hAnsiTheme="minorHAnsi"/>
          <w:sz w:val="24"/>
          <w:szCs w:val="24"/>
          <w:lang w:val="en-GB"/>
        </w:rPr>
        <w:t xml:space="preserve">in cases where families dealt with issues linked to the </w:t>
      </w:r>
      <w:bookmarkStart w:id="31" w:name="_Hlk135748727"/>
      <w:r w:rsidRPr="0066253A">
        <w:rPr>
          <w:rFonts w:asciiTheme="minorHAnsi" w:eastAsia="Segoe UI" w:hAnsiTheme="minorHAnsi"/>
          <w:sz w:val="24"/>
          <w:szCs w:val="24"/>
          <w:lang w:val="en-GB"/>
        </w:rPr>
        <w:t xml:space="preserve">establishment or recognition of parenthood in </w:t>
      </w:r>
      <w:r w:rsidRPr="0056037E">
        <w:rPr>
          <w:rStyle w:val="Emphasis"/>
        </w:rPr>
        <w:t>cases involving surrogacy.</w:t>
      </w:r>
      <w:r w:rsidRPr="0066253A">
        <w:rPr>
          <w:rFonts w:asciiTheme="minorHAnsi" w:eastAsia="Segoe UI" w:hAnsiTheme="minorHAnsi"/>
          <w:sz w:val="24"/>
          <w:szCs w:val="24"/>
          <w:lang w:val="en-GB"/>
        </w:rPr>
        <w:t> </w:t>
      </w:r>
    </w:p>
    <w:p w14:paraId="2B6B5EA5" w14:textId="4ED599D9" w:rsidR="005052C2" w:rsidRPr="00C95824" w:rsidRDefault="00C95824" w:rsidP="00BE00D4">
      <w:pPr>
        <w:spacing w:before="360" w:after="360" w:line="360" w:lineRule="auto"/>
        <w:ind w:left="397" w:right="397"/>
        <w:rPr>
          <w:rFonts w:asciiTheme="minorHAnsi" w:eastAsia="Segoe UI" w:hAnsiTheme="minorHAnsi" w:cstheme="minorHAnsi"/>
          <w:b/>
          <w:bCs/>
          <w:sz w:val="24"/>
          <w:szCs w:val="24"/>
          <w:lang w:val="en-GB"/>
        </w:rPr>
      </w:pPr>
      <w:r>
        <w:rPr>
          <w:noProof/>
          <w:lang w:val="en-GB"/>
        </w:rPr>
        <mc:AlternateContent>
          <mc:Choice Requires="wps">
            <w:drawing>
              <wp:anchor distT="0" distB="0" distL="114300" distR="114300" simplePos="0" relativeHeight="251658249" behindDoc="1" locked="0" layoutInCell="1" allowOverlap="1" wp14:anchorId="75CB3387" wp14:editId="0FAB2EC9">
                <wp:simplePos x="0" y="0"/>
                <wp:positionH relativeFrom="column">
                  <wp:posOffset>0</wp:posOffset>
                </wp:positionH>
                <wp:positionV relativeFrom="paragraph">
                  <wp:posOffset>74553</wp:posOffset>
                </wp:positionV>
                <wp:extent cx="5731510" cy="6149390"/>
                <wp:effectExtent l="0" t="0" r="2540" b="3810"/>
                <wp:wrapNone/>
                <wp:docPr id="1541753753"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31510" cy="6149390"/>
                        </a:xfrm>
                        <a:prstGeom prst="rect">
                          <a:avLst/>
                        </a:prstGeom>
                        <a:solidFill>
                          <a:srgbClr val="E6DFF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A29A8" id="Rectangle 1" o:spid="_x0000_s1026" alt="&quot;&quot;" style="position:absolute;margin-left:0;margin-top:5.85pt;width:451.3pt;height:484.2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" fillcolor="#e6dff9" stroked="f" strokeweight="1pt"/>
            </w:pict>
          </mc:Fallback>
        </mc:AlternateContent>
      </w:r>
      <w:r w:rsidRPr="00C95824">
        <w:rPr>
          <w:rFonts w:asciiTheme="minorHAnsi" w:eastAsia="Segoe UI" w:hAnsiTheme="minorHAnsi" w:cstheme="minorHAnsi"/>
          <w:b/>
          <w:bCs/>
          <w:sz w:val="24"/>
          <w:szCs w:val="24"/>
          <w:lang w:val="en-GB"/>
        </w:rPr>
        <w:t xml:space="preserve">Example: </w:t>
      </w:r>
      <w:r w:rsidR="00093565" w:rsidRPr="00A20999">
        <w:rPr>
          <w:rFonts w:asciiTheme="minorHAnsi" w:eastAsia="Segoe UI" w:hAnsiTheme="minorHAnsi"/>
          <w:b/>
          <w:bCs/>
          <w:sz w:val="24"/>
          <w:szCs w:val="24"/>
          <w:lang w:val="en-GB"/>
        </w:rPr>
        <w:t>Commissioner for Human Rights</w:t>
      </w:r>
      <w:r w:rsidR="00093565">
        <w:rPr>
          <w:rFonts w:asciiTheme="minorHAnsi" w:eastAsia="Segoe UI" w:hAnsiTheme="minorHAnsi"/>
          <w:b/>
          <w:bCs/>
          <w:sz w:val="24"/>
          <w:szCs w:val="24"/>
          <w:lang w:val="en-GB"/>
        </w:rPr>
        <w:t xml:space="preserve">, </w:t>
      </w:r>
      <w:r w:rsidR="00093565" w:rsidRPr="00A20999">
        <w:rPr>
          <w:rFonts w:asciiTheme="minorHAnsi" w:eastAsia="Segoe UI" w:hAnsiTheme="minorHAnsi"/>
          <w:b/>
          <w:bCs/>
          <w:sz w:val="24"/>
          <w:szCs w:val="24"/>
          <w:lang w:val="en-GB"/>
        </w:rPr>
        <w:t>Poland</w:t>
      </w:r>
    </w:p>
    <w:p w14:paraId="1F8403E7" w14:textId="40911426" w:rsidR="00CE5CC9" w:rsidRPr="00847E9B" w:rsidRDefault="00847E9B" w:rsidP="00A360E7">
      <w:pPr>
        <w:spacing w:before="360" w:after="360" w:line="360" w:lineRule="auto"/>
        <w:ind w:left="397" w:right="397"/>
        <w:rPr>
          <w:rFonts w:asciiTheme="minorHAnsi" w:eastAsia="Segoe UI" w:hAnsiTheme="minorHAnsi"/>
          <w:sz w:val="24"/>
          <w:szCs w:val="24"/>
          <w:lang w:val="en-GB"/>
        </w:rPr>
      </w:pPr>
      <w:r w:rsidRPr="0066253A">
        <w:rPr>
          <w:rFonts w:asciiTheme="minorHAnsi" w:eastAsia="Segoe UI" w:hAnsiTheme="minorHAnsi" w:cstheme="minorHAnsi"/>
          <w:sz w:val="24"/>
          <w:szCs w:val="24"/>
          <w:lang w:val="en-GB"/>
        </w:rPr>
        <w:t xml:space="preserve">With a view to protecting the rights of a minor Polish citizen and her parents, the </w:t>
      </w:r>
      <w:r w:rsidRPr="00C95824">
        <w:rPr>
          <w:rFonts w:asciiTheme="minorHAnsi" w:eastAsia="Segoe UI" w:hAnsiTheme="minorHAnsi" w:cstheme="minorHAnsi"/>
          <w:sz w:val="24"/>
          <w:szCs w:val="24"/>
          <w:lang w:val="en-GB"/>
        </w:rPr>
        <w:t>Commissioner for Human Rights of the Republic of Poland</w:t>
      </w:r>
      <w:r w:rsidRPr="00767541">
        <w:rPr>
          <w:rFonts w:asciiTheme="minorHAnsi" w:eastAsia="Segoe UI" w:hAnsiTheme="minorHAnsi" w:cstheme="minorHAnsi"/>
          <w:b/>
          <w:bCs/>
          <w:sz w:val="24"/>
          <w:szCs w:val="24"/>
          <w:lang w:val="en-GB"/>
        </w:rPr>
        <w:t xml:space="preserve"> </w:t>
      </w:r>
      <w:r w:rsidRPr="0066253A">
        <w:rPr>
          <w:rFonts w:asciiTheme="minorHAnsi" w:eastAsia="Segoe UI" w:hAnsiTheme="minorHAnsi" w:cstheme="minorHAnsi"/>
          <w:sz w:val="24"/>
          <w:szCs w:val="24"/>
          <w:lang w:val="en-GB"/>
        </w:rPr>
        <w:t>joined a case concerning the refusal to confirm the citizenship of a girl born in Canada under a surrogacy procedure, whose birth certificate revealed two fathers - the biological father and his husband - as parents. Both the administrative authorities and the Provincial Administrative Court in Warsaw refused to confirm citizenship on the grounds of the public policy clause, understood to mean that the Polish legal system does not know of a surrogacy agreement and same-sex parenthood. The Supreme Administrative Court overturned both the judgment of the court of first instance and the preceding decisions of the administrative bodies and ordered the Mazovian voivode to issue a decision on confirmation of the child's Polish citizenship within 30 days of the announcement of the ruling. The court pointed out that the state cannot make clemency out of the confirmation of citizenship in a situation where a provision of substantive law clearly stipulates an obligation to do so. It was also stressed out that the evidentiary proceedings carried out by the authorities, in particular the need to provide genetic tests that confirmed the biological bond between the child and the father was a disproportionate hardship to which the girl was subjected, and the public policy clause should be applied carefully and interpreted narrowly in each case (judgement of February 16, 2022, case file no. II OSK 128/19). </w:t>
      </w:r>
      <w:bookmarkEnd w:id="31"/>
    </w:p>
    <w:p w14:paraId="20BD6DC1" w14:textId="15EE9B6E" w:rsidR="00284936" w:rsidRPr="0066253A" w:rsidRDefault="00284936" w:rsidP="0066253A">
      <w:pPr>
        <w:spacing w:before="120" w:after="120" w:line="360" w:lineRule="auto"/>
        <w:rPr>
          <w:rFonts w:asciiTheme="minorHAnsi" w:eastAsia="Segoe UI" w:hAnsiTheme="minorHAnsi"/>
          <w:sz w:val="24"/>
          <w:szCs w:val="24"/>
          <w:lang w:val="en-GB"/>
        </w:rPr>
      </w:pPr>
      <w:r w:rsidRPr="0066253A">
        <w:rPr>
          <w:rFonts w:asciiTheme="minorHAnsi" w:eastAsia="Segoe UI" w:hAnsiTheme="minorHAnsi"/>
          <w:sz w:val="24"/>
          <w:szCs w:val="24"/>
          <w:lang w:val="en-GB"/>
        </w:rPr>
        <w:t xml:space="preserve">In </w:t>
      </w:r>
      <w:r w:rsidR="379144D5" w:rsidRPr="0066253A">
        <w:rPr>
          <w:rFonts w:asciiTheme="minorHAnsi" w:eastAsia="Segoe UI" w:hAnsiTheme="minorHAnsi"/>
          <w:sz w:val="24"/>
          <w:szCs w:val="24"/>
          <w:lang w:val="en-GB"/>
        </w:rPr>
        <w:t>Belgium</w:t>
      </w:r>
      <w:r w:rsidRPr="0066253A">
        <w:rPr>
          <w:rFonts w:asciiTheme="minorHAnsi" w:eastAsia="Segoe UI" w:hAnsiTheme="minorHAnsi"/>
          <w:sz w:val="24"/>
          <w:szCs w:val="24"/>
          <w:lang w:val="en-GB"/>
        </w:rPr>
        <w:t xml:space="preserve">, </w:t>
      </w:r>
      <w:r w:rsidR="115F3F56" w:rsidRPr="0066253A">
        <w:rPr>
          <w:rFonts w:asciiTheme="minorHAnsi" w:eastAsia="Segoe UI" w:hAnsiTheme="minorHAnsi"/>
          <w:sz w:val="24"/>
          <w:szCs w:val="24"/>
          <w:lang w:val="en-GB"/>
        </w:rPr>
        <w:t xml:space="preserve">Myria, </w:t>
      </w:r>
      <w:r w:rsidRPr="0066253A">
        <w:rPr>
          <w:rFonts w:asciiTheme="minorHAnsi" w:eastAsia="Segoe UI" w:hAnsiTheme="minorHAnsi"/>
          <w:sz w:val="24"/>
          <w:szCs w:val="24"/>
          <w:lang w:val="en-GB"/>
        </w:rPr>
        <w:t>the</w:t>
      </w:r>
      <w:r w:rsidR="7E51C221" w:rsidRPr="0066253A">
        <w:rPr>
          <w:rFonts w:asciiTheme="minorHAnsi" w:eastAsia="Segoe UI" w:hAnsiTheme="minorHAnsi"/>
          <w:sz w:val="24"/>
          <w:szCs w:val="24"/>
          <w:lang w:val="en-GB"/>
        </w:rPr>
        <w:t xml:space="preserve"> independent National Rapporteur that analyses migration a</w:t>
      </w:r>
      <w:r w:rsidR="20CDA090" w:rsidRPr="0066253A">
        <w:rPr>
          <w:rFonts w:asciiTheme="minorHAnsi" w:eastAsia="Segoe UI" w:hAnsiTheme="minorHAnsi"/>
          <w:sz w:val="24"/>
          <w:szCs w:val="24"/>
          <w:lang w:val="en-GB"/>
        </w:rPr>
        <w:t>n</w:t>
      </w:r>
      <w:r w:rsidR="7E51C221" w:rsidRPr="0066253A">
        <w:rPr>
          <w:rFonts w:asciiTheme="minorHAnsi" w:eastAsia="Segoe UI" w:hAnsiTheme="minorHAnsi"/>
          <w:sz w:val="24"/>
          <w:szCs w:val="24"/>
          <w:lang w:val="en-GB"/>
        </w:rPr>
        <w:t>d combat</w:t>
      </w:r>
      <w:r w:rsidR="008344AE" w:rsidRPr="0066253A">
        <w:rPr>
          <w:rFonts w:asciiTheme="minorHAnsi" w:eastAsia="Segoe UI" w:hAnsiTheme="minorHAnsi"/>
          <w:sz w:val="24"/>
          <w:szCs w:val="24"/>
          <w:lang w:val="en-GB"/>
        </w:rPr>
        <w:t>s</w:t>
      </w:r>
      <w:r w:rsidR="7E51C221" w:rsidRPr="0066253A">
        <w:rPr>
          <w:rFonts w:asciiTheme="minorHAnsi" w:eastAsia="Segoe UI" w:hAnsiTheme="minorHAnsi"/>
          <w:sz w:val="24"/>
          <w:szCs w:val="24"/>
          <w:lang w:val="en-GB"/>
        </w:rPr>
        <w:t xml:space="preserve"> trafficking and smuggling of human beings in Belgium, </w:t>
      </w:r>
      <w:r w:rsidRPr="0066253A">
        <w:rPr>
          <w:rFonts w:asciiTheme="minorHAnsi" w:eastAsia="Segoe UI" w:hAnsiTheme="minorHAnsi"/>
          <w:sz w:val="24"/>
          <w:szCs w:val="24"/>
          <w:lang w:val="en-GB"/>
        </w:rPr>
        <w:t>provides legal advice and does get involve</w:t>
      </w:r>
      <w:r w:rsidR="006055A3">
        <w:rPr>
          <w:rFonts w:asciiTheme="minorHAnsi" w:eastAsia="Segoe UI" w:hAnsiTheme="minorHAnsi"/>
          <w:sz w:val="24"/>
          <w:szCs w:val="24"/>
          <w:lang w:val="en-GB"/>
        </w:rPr>
        <w:t>d</w:t>
      </w:r>
      <w:r w:rsidRPr="0066253A">
        <w:rPr>
          <w:rFonts w:asciiTheme="minorHAnsi" w:eastAsia="Segoe UI" w:hAnsiTheme="minorHAnsi"/>
          <w:sz w:val="24"/>
          <w:szCs w:val="24"/>
          <w:lang w:val="en-GB"/>
        </w:rPr>
        <w:t xml:space="preserve"> in administrative proceedings in cases where families deal with issues linked to the establishment or recognition of parenthood in </w:t>
      </w:r>
      <w:r w:rsidRPr="008C1A7F">
        <w:rPr>
          <w:rStyle w:val="Emphasis"/>
        </w:rPr>
        <w:t>cases involving domestic adoptions</w:t>
      </w:r>
      <w:r w:rsidRPr="0066253A">
        <w:rPr>
          <w:rFonts w:asciiTheme="minorHAnsi" w:eastAsia="Segoe UI" w:hAnsiTheme="minorHAnsi"/>
          <w:sz w:val="24"/>
          <w:szCs w:val="24"/>
          <w:lang w:val="en-GB"/>
        </w:rPr>
        <w:t xml:space="preserve">.  </w:t>
      </w:r>
    </w:p>
    <w:p w14:paraId="1E283DE9" w14:textId="78D070D9" w:rsidR="00284936" w:rsidRPr="0066253A" w:rsidRDefault="00284936" w:rsidP="0066253A">
      <w:pPr>
        <w:spacing w:before="120" w:after="120" w:line="360" w:lineRule="auto"/>
        <w:rPr>
          <w:rFonts w:asciiTheme="minorHAnsi" w:eastAsia="Segoe UI" w:hAnsiTheme="minorHAnsi"/>
          <w:sz w:val="24"/>
          <w:szCs w:val="24"/>
          <w:lang w:val="en-GB"/>
        </w:rPr>
      </w:pPr>
      <w:r w:rsidRPr="0066253A">
        <w:rPr>
          <w:rFonts w:asciiTheme="minorHAnsi" w:eastAsia="Segoe UI" w:hAnsiTheme="minorHAnsi"/>
          <w:sz w:val="24"/>
          <w:szCs w:val="24"/>
          <w:lang w:val="en-GB"/>
        </w:rPr>
        <w:lastRenderedPageBreak/>
        <w:t xml:space="preserve">Also salient was the lack of involvement of Equality Bodies in </w:t>
      </w:r>
      <w:r w:rsidRPr="008C1A7F">
        <w:rPr>
          <w:rStyle w:val="Emphasis"/>
        </w:rPr>
        <w:t xml:space="preserve">cases involving </w:t>
      </w:r>
      <w:bookmarkStart w:id="32" w:name="_Hlk135748762"/>
      <w:r w:rsidRPr="008C1A7F">
        <w:rPr>
          <w:rStyle w:val="Emphasis"/>
        </w:rPr>
        <w:t>assisted reproduction techniques</w:t>
      </w:r>
      <w:bookmarkEnd w:id="32"/>
      <w:r w:rsidRPr="0066253A">
        <w:rPr>
          <w:rFonts w:asciiTheme="minorHAnsi" w:eastAsia="Segoe UI" w:hAnsiTheme="minorHAnsi"/>
          <w:b/>
          <w:bCs/>
          <w:sz w:val="24"/>
          <w:szCs w:val="24"/>
          <w:lang w:val="en-GB"/>
        </w:rPr>
        <w:t xml:space="preserve"> </w:t>
      </w:r>
      <w:r w:rsidRPr="0066253A">
        <w:rPr>
          <w:rFonts w:asciiTheme="minorHAnsi" w:eastAsia="Segoe UI" w:hAnsiTheme="minorHAnsi"/>
          <w:sz w:val="24"/>
          <w:szCs w:val="24"/>
          <w:lang w:val="en-GB"/>
        </w:rPr>
        <w:t xml:space="preserve">(i.e., in vitro fertilization). The Equality Body in Poland reported that while in vitro fertilization is legal in Poland, it is only available to married couples (heterosexual, as in Poland same-sex marriages are not recognized </w:t>
      </w:r>
      <w:r w:rsidR="008E0A44" w:rsidRPr="0066253A">
        <w:rPr>
          <w:rFonts w:asciiTheme="minorHAnsi" w:eastAsia="Segoe UI" w:hAnsiTheme="minorHAnsi"/>
          <w:sz w:val="24"/>
          <w:szCs w:val="24"/>
          <w:lang w:val="en-GB"/>
        </w:rPr>
        <w:t>n</w:t>
      </w:r>
      <w:r w:rsidRPr="0066253A">
        <w:rPr>
          <w:rFonts w:asciiTheme="minorHAnsi" w:eastAsia="Segoe UI" w:hAnsiTheme="minorHAnsi"/>
          <w:sz w:val="24"/>
          <w:szCs w:val="24"/>
          <w:lang w:val="en-GB"/>
        </w:rPr>
        <w:t>or possible). In the case of Slovenia, the Equality Body is aware of cases at the national level, however, they have not been involved in such.  </w:t>
      </w:r>
    </w:p>
    <w:p w14:paraId="08DBE159" w14:textId="3AAFF127" w:rsidR="00284936" w:rsidRPr="0066253A" w:rsidRDefault="00284936" w:rsidP="0066253A">
      <w:pPr>
        <w:spacing w:before="120" w:after="120" w:line="360" w:lineRule="auto"/>
        <w:rPr>
          <w:rFonts w:asciiTheme="minorHAnsi" w:eastAsia="Segoe UI" w:hAnsiTheme="minorHAnsi"/>
          <w:sz w:val="24"/>
          <w:szCs w:val="24"/>
          <w:lang w:val="en-GB"/>
        </w:rPr>
      </w:pPr>
      <w:r w:rsidRPr="0066253A">
        <w:rPr>
          <w:rFonts w:asciiTheme="minorHAnsi" w:eastAsia="Segoe UI" w:hAnsiTheme="minorHAnsi"/>
          <w:sz w:val="24"/>
          <w:szCs w:val="24"/>
          <w:lang w:val="en-GB"/>
        </w:rPr>
        <w:t xml:space="preserve">Equality Bodies noted </w:t>
      </w:r>
      <w:r w:rsidRPr="001B62B5">
        <w:rPr>
          <w:rStyle w:val="Emphasis"/>
        </w:rPr>
        <w:t>cooperation with CSOs in cases concerning recognition of parenthood</w:t>
      </w:r>
      <w:r w:rsidRPr="0066253A">
        <w:rPr>
          <w:rFonts w:asciiTheme="minorHAnsi" w:eastAsia="Segoe UI" w:hAnsiTheme="minorHAnsi"/>
          <w:sz w:val="24"/>
          <w:szCs w:val="24"/>
          <w:lang w:val="en-GB"/>
        </w:rPr>
        <w:t xml:space="preserve"> established in another Member State. For instance, the National Council for Combating Discrimination in Romania</w:t>
      </w:r>
      <w:r w:rsidR="001F3E9D" w:rsidRPr="0066253A">
        <w:rPr>
          <w:rFonts w:asciiTheme="minorHAnsi" w:eastAsia="Segoe UI" w:hAnsiTheme="minorHAnsi"/>
          <w:sz w:val="24"/>
          <w:szCs w:val="24"/>
          <w:lang w:val="en-GB"/>
        </w:rPr>
        <w:t xml:space="preserve"> </w:t>
      </w:r>
      <w:r w:rsidRPr="0066253A">
        <w:rPr>
          <w:rFonts w:asciiTheme="minorHAnsi" w:eastAsia="Segoe UI" w:hAnsiTheme="minorHAnsi"/>
          <w:sz w:val="24"/>
          <w:szCs w:val="24"/>
          <w:lang w:val="en-GB"/>
        </w:rPr>
        <w:t xml:space="preserve">cooperates with ACCEPT Association regarding LGBTIQ’s rights through campaigns and capacity building initiatives. This is also the case of the Office of the Commissioner for Human Rights of the Republic of Poland, </w:t>
      </w:r>
      <w:r w:rsidR="001C04C0" w:rsidRPr="0066253A">
        <w:rPr>
          <w:rFonts w:asciiTheme="minorHAnsi" w:eastAsia="Segoe UI" w:hAnsiTheme="minorHAnsi"/>
          <w:sz w:val="24"/>
          <w:szCs w:val="24"/>
          <w:lang w:val="en-GB"/>
        </w:rPr>
        <w:t xml:space="preserve">whose </w:t>
      </w:r>
      <w:r w:rsidRPr="0066253A">
        <w:rPr>
          <w:rFonts w:asciiTheme="minorHAnsi" w:eastAsia="Segoe UI" w:hAnsiTheme="minorHAnsi"/>
          <w:sz w:val="24"/>
          <w:szCs w:val="24"/>
          <w:lang w:val="en-GB"/>
        </w:rPr>
        <w:t>cooperation with CSOs includes: entering into legal proceedings in which they are involved in; providing opinions of legal experts; participating in meetings organized by CSOs; exchanging process strategy and collected data; and intervening in cases reported to their office. </w:t>
      </w:r>
    </w:p>
    <w:p w14:paraId="7660D4AB" w14:textId="4B3681C3" w:rsidR="00284936" w:rsidRPr="00CA1527" w:rsidRDefault="00284936" w:rsidP="008F51C6">
      <w:pPr>
        <w:pStyle w:val="Heading2"/>
      </w:pPr>
      <w:bookmarkStart w:id="33" w:name="_Toc157782141"/>
      <w:r w:rsidRPr="00CA1527">
        <w:t>Barriers to the involvement of Equality Bodies</w:t>
      </w:r>
      <w:bookmarkEnd w:id="33"/>
      <w:r w:rsidRPr="00CA1527">
        <w:t> </w:t>
      </w:r>
    </w:p>
    <w:p w14:paraId="7BCB8CF1" w14:textId="77777777" w:rsidR="00284936" w:rsidRPr="004238C4" w:rsidRDefault="00284936" w:rsidP="0066253A">
      <w:pPr>
        <w:spacing w:before="120" w:after="120" w:line="360" w:lineRule="auto"/>
        <w:rPr>
          <w:rFonts w:asciiTheme="minorHAnsi" w:eastAsia="Segoe UI" w:hAnsiTheme="minorHAnsi"/>
          <w:sz w:val="24"/>
          <w:szCs w:val="24"/>
          <w:u w:val="single"/>
          <w:lang w:val="en-GB"/>
        </w:rPr>
      </w:pPr>
      <w:r w:rsidRPr="004238C4">
        <w:rPr>
          <w:rFonts w:asciiTheme="minorHAnsi" w:eastAsia="Segoe UI" w:hAnsiTheme="minorHAnsi"/>
          <w:sz w:val="24"/>
          <w:szCs w:val="24"/>
          <w:lang w:val="en-GB"/>
        </w:rPr>
        <w:t xml:space="preserve">In spite of the </w:t>
      </w:r>
      <w:bookmarkStart w:id="34" w:name="_Hlk135741480"/>
      <w:r w:rsidRPr="004238C4">
        <w:rPr>
          <w:rFonts w:asciiTheme="minorHAnsi" w:eastAsia="Segoe UI" w:hAnsiTheme="minorHAnsi"/>
          <w:sz w:val="24"/>
          <w:szCs w:val="24"/>
          <w:lang w:val="en-GB"/>
        </w:rPr>
        <w:t>studies and reports identifying the obstacles that rainbow families face when they move between EU Member States in exercise of EU free movement rights</w:t>
      </w:r>
      <w:bookmarkEnd w:id="34"/>
      <w:r w:rsidRPr="004238C4">
        <w:rPr>
          <w:rFonts w:asciiTheme="minorHAnsi" w:eastAsia="Segoe UI" w:hAnsiTheme="minorHAnsi"/>
          <w:sz w:val="24"/>
          <w:szCs w:val="24"/>
          <w:lang w:val="en-GB"/>
        </w:rPr>
        <w:t xml:space="preserve">, Equality Bodies reported low levels of activity in this matter. This might be the consequence of a number of </w:t>
      </w:r>
      <w:bookmarkStart w:id="35" w:name="_Hlk135748819"/>
      <w:r w:rsidRPr="004238C4">
        <w:rPr>
          <w:rFonts w:asciiTheme="minorHAnsi" w:eastAsia="Segoe UI" w:hAnsiTheme="minorHAnsi"/>
          <w:sz w:val="24"/>
          <w:szCs w:val="24"/>
          <w:lang w:val="en-GB"/>
        </w:rPr>
        <w:t>barriers, mostly related to Equality Bodies’ mandate, their countries’ legal framework and lack of awareness or underreporting.  </w:t>
      </w:r>
    </w:p>
    <w:bookmarkEnd w:id="35"/>
    <w:p w14:paraId="4AEAFE40" w14:textId="77777777" w:rsidR="00284936" w:rsidRPr="004238C4" w:rsidRDefault="00284936" w:rsidP="0066253A">
      <w:pPr>
        <w:spacing w:before="120" w:after="120" w:line="360" w:lineRule="auto"/>
        <w:rPr>
          <w:rFonts w:asciiTheme="minorHAnsi" w:eastAsia="Segoe UI" w:hAnsiTheme="minorHAnsi" w:cstheme="minorHAnsi"/>
          <w:sz w:val="24"/>
          <w:szCs w:val="24"/>
          <w:lang w:val="en-GB"/>
        </w:rPr>
      </w:pPr>
      <w:r w:rsidRPr="004238C4">
        <w:rPr>
          <w:rFonts w:asciiTheme="minorHAnsi" w:eastAsia="Segoe UI" w:hAnsiTheme="minorHAnsi" w:cstheme="minorHAnsi"/>
          <w:sz w:val="24"/>
          <w:szCs w:val="24"/>
          <w:lang w:val="en-GB"/>
        </w:rPr>
        <w:t>These are some of the answers Equality Bodies provided when asked about their lack of involvement with issues linked to the establishment or recognition of parenthood: </w:t>
      </w:r>
    </w:p>
    <w:p w14:paraId="3EA8B4AC" w14:textId="77777777" w:rsidR="003C2F6B" w:rsidRDefault="00284936" w:rsidP="00C95824">
      <w:pPr>
        <w:pStyle w:val="ListParagraph"/>
        <w:numPr>
          <w:ilvl w:val="0"/>
          <w:numId w:val="28"/>
        </w:numPr>
        <w:spacing w:before="120" w:after="120" w:line="360" w:lineRule="auto"/>
        <w:ind w:left="1037" w:hanging="680"/>
        <w:rPr>
          <w:rFonts w:asciiTheme="minorHAnsi" w:eastAsia="Segoe UI" w:hAnsiTheme="minorHAnsi" w:cstheme="minorHAnsi"/>
          <w:sz w:val="24"/>
          <w:szCs w:val="24"/>
          <w:lang w:val="en-GB"/>
        </w:rPr>
      </w:pPr>
      <w:r w:rsidRPr="003C2F6B">
        <w:rPr>
          <w:rStyle w:val="Emphasis"/>
        </w:rPr>
        <w:t>National Commission for the Promotion of Equality (Malta):</w:t>
      </w:r>
      <w:r w:rsidRPr="003C2F6B">
        <w:rPr>
          <w:rFonts w:asciiTheme="minorHAnsi" w:eastAsia="Segoe UI" w:hAnsiTheme="minorHAnsi" w:cstheme="minorHAnsi"/>
          <w:sz w:val="24"/>
          <w:szCs w:val="24"/>
          <w:lang w:val="en-GB"/>
        </w:rPr>
        <w:t xml:space="preserve"> The Equality Body did not receive any cases despite having the legal mandate and competence to deal with such issues and having a close link with the LGBTQI+ community.  </w:t>
      </w:r>
    </w:p>
    <w:p w14:paraId="00DD3D29" w14:textId="77777777" w:rsidR="003C2F6B" w:rsidRPr="003C2F6B" w:rsidRDefault="00284936" w:rsidP="00C95824">
      <w:pPr>
        <w:pStyle w:val="ListParagraph"/>
        <w:numPr>
          <w:ilvl w:val="0"/>
          <w:numId w:val="28"/>
        </w:numPr>
        <w:spacing w:before="120" w:after="120" w:line="360" w:lineRule="auto"/>
        <w:ind w:left="1037" w:hanging="680"/>
        <w:rPr>
          <w:rFonts w:asciiTheme="minorHAnsi" w:eastAsia="Segoe UI" w:hAnsiTheme="minorHAnsi" w:cstheme="minorHAnsi"/>
          <w:sz w:val="24"/>
          <w:szCs w:val="24"/>
          <w:lang w:val="en-GB"/>
        </w:rPr>
      </w:pPr>
      <w:r w:rsidRPr="003C2F6B">
        <w:rPr>
          <w:rStyle w:val="Emphasis"/>
        </w:rPr>
        <w:t>Equal Opportunities Ombudsperson (Lithuania):</w:t>
      </w:r>
      <w:r w:rsidRPr="003C2F6B">
        <w:rPr>
          <w:rFonts w:asciiTheme="minorHAnsi" w:eastAsia="Segoe UI" w:hAnsiTheme="minorHAnsi"/>
          <w:sz w:val="24"/>
          <w:szCs w:val="24"/>
          <w:lang w:val="en-GB"/>
        </w:rPr>
        <w:t xml:space="preserve"> The Equality Body has a mandate on sexual orientation but limitations when it comes to the field of life. Theoretically there could be some cases connected to rainbow families on the </w:t>
      </w:r>
      <w:r w:rsidRPr="003C2F6B">
        <w:rPr>
          <w:rFonts w:asciiTheme="minorHAnsi" w:eastAsia="Segoe UI" w:hAnsiTheme="minorHAnsi"/>
          <w:sz w:val="24"/>
          <w:szCs w:val="24"/>
          <w:lang w:val="en-GB"/>
        </w:rPr>
        <w:lastRenderedPageBreak/>
        <w:t xml:space="preserve">move that fall under their </w:t>
      </w:r>
      <w:r w:rsidR="14FAF6CE" w:rsidRPr="003C2F6B">
        <w:rPr>
          <w:rFonts w:asciiTheme="minorHAnsi" w:eastAsia="Segoe UI" w:hAnsiTheme="minorHAnsi"/>
          <w:sz w:val="24"/>
          <w:szCs w:val="24"/>
          <w:lang w:val="en-GB"/>
        </w:rPr>
        <w:t>mandate,</w:t>
      </w:r>
      <w:r w:rsidRPr="003C2F6B">
        <w:rPr>
          <w:rFonts w:asciiTheme="minorHAnsi" w:eastAsia="Segoe UI" w:hAnsiTheme="minorHAnsi"/>
          <w:sz w:val="24"/>
          <w:szCs w:val="24"/>
          <w:lang w:val="en-GB"/>
        </w:rPr>
        <w:t> but they have not received cases. Furthermore, in Lithuania same-sex partnerships are not legally recognized.  </w:t>
      </w:r>
    </w:p>
    <w:p w14:paraId="06464DE3" w14:textId="77777777" w:rsidR="003C2F6B" w:rsidRDefault="00284936" w:rsidP="00C95824">
      <w:pPr>
        <w:pStyle w:val="ListParagraph"/>
        <w:numPr>
          <w:ilvl w:val="0"/>
          <w:numId w:val="28"/>
        </w:numPr>
        <w:spacing w:before="120" w:after="120" w:line="360" w:lineRule="auto"/>
        <w:ind w:left="1037" w:hanging="680"/>
        <w:rPr>
          <w:rFonts w:asciiTheme="minorHAnsi" w:eastAsia="Segoe UI" w:hAnsiTheme="minorHAnsi" w:cstheme="minorHAnsi"/>
          <w:sz w:val="24"/>
          <w:szCs w:val="24"/>
          <w:lang w:val="en-GB"/>
        </w:rPr>
      </w:pPr>
      <w:r w:rsidRPr="003C2F6B">
        <w:rPr>
          <w:rStyle w:val="Emphasis"/>
        </w:rPr>
        <w:t>Commission for the Protection of Equality (Serbia):</w:t>
      </w:r>
      <w:r w:rsidRPr="003C2F6B">
        <w:rPr>
          <w:rFonts w:asciiTheme="minorHAnsi" w:eastAsia="Segoe UI" w:hAnsiTheme="minorHAnsi" w:cstheme="minorHAnsi"/>
          <w:sz w:val="24"/>
          <w:szCs w:val="24"/>
          <w:lang w:val="en-GB"/>
        </w:rPr>
        <w:t xml:space="preserve"> the Commission has not received any complaints. In Serbia, same-sex partnerships are not recognized. </w:t>
      </w:r>
    </w:p>
    <w:p w14:paraId="28CE654D" w14:textId="77777777" w:rsidR="003C2F6B" w:rsidRDefault="00284936" w:rsidP="00C95824">
      <w:pPr>
        <w:pStyle w:val="ListParagraph"/>
        <w:numPr>
          <w:ilvl w:val="0"/>
          <w:numId w:val="28"/>
        </w:numPr>
        <w:spacing w:before="120" w:after="120" w:line="360" w:lineRule="auto"/>
        <w:ind w:left="1037" w:hanging="680"/>
        <w:rPr>
          <w:rFonts w:asciiTheme="minorHAnsi" w:eastAsia="Segoe UI" w:hAnsiTheme="minorHAnsi" w:cstheme="minorHAnsi"/>
          <w:sz w:val="24"/>
          <w:szCs w:val="24"/>
          <w:lang w:val="en-GB"/>
        </w:rPr>
      </w:pPr>
      <w:r w:rsidRPr="00051A1C">
        <w:rPr>
          <w:rStyle w:val="Emphasis"/>
        </w:rPr>
        <w:t>Ombudsperson Institution of Kosovo:</w:t>
      </w:r>
      <w:r w:rsidRPr="003C2F6B">
        <w:rPr>
          <w:rFonts w:asciiTheme="minorHAnsi" w:eastAsia="Segoe UI" w:hAnsiTheme="minorHAnsi" w:cstheme="minorHAnsi"/>
          <w:sz w:val="24"/>
          <w:szCs w:val="24"/>
          <w:lang w:val="en-GB"/>
        </w:rPr>
        <w:t xml:space="preserve"> has not received cases yet.  </w:t>
      </w:r>
    </w:p>
    <w:p w14:paraId="7470AB2A" w14:textId="77777777" w:rsidR="00051A1C" w:rsidRDefault="00284936" w:rsidP="00C95824">
      <w:pPr>
        <w:pStyle w:val="ListParagraph"/>
        <w:numPr>
          <w:ilvl w:val="0"/>
          <w:numId w:val="28"/>
        </w:numPr>
        <w:spacing w:before="120" w:after="120" w:line="360" w:lineRule="auto"/>
        <w:ind w:left="1037" w:hanging="680"/>
        <w:rPr>
          <w:rFonts w:asciiTheme="minorHAnsi" w:eastAsia="Segoe UI" w:hAnsiTheme="minorHAnsi" w:cstheme="minorHAnsi"/>
          <w:sz w:val="24"/>
          <w:szCs w:val="24"/>
          <w:lang w:val="en-GB"/>
        </w:rPr>
      </w:pPr>
      <w:r w:rsidRPr="00051A1C">
        <w:rPr>
          <w:rStyle w:val="Emphasis"/>
        </w:rPr>
        <w:t>National Council for Combating Discrimination (Romania):</w:t>
      </w:r>
      <w:r w:rsidRPr="003C2F6B">
        <w:rPr>
          <w:rFonts w:asciiTheme="minorHAnsi" w:eastAsia="Segoe UI" w:hAnsiTheme="minorHAnsi" w:cstheme="minorHAnsi"/>
          <w:sz w:val="24"/>
          <w:szCs w:val="24"/>
          <w:lang w:val="en-GB"/>
        </w:rPr>
        <w:t xml:space="preserve"> They have the mandate and received complaints but not for families. In Romania, there is no recognition of same-sex partnerships and marriages.  </w:t>
      </w:r>
    </w:p>
    <w:p w14:paraId="5E43D1A5" w14:textId="32B94D77" w:rsidR="004238C4" w:rsidRPr="003C2F6B" w:rsidRDefault="00284936" w:rsidP="00C95824">
      <w:pPr>
        <w:pStyle w:val="ListParagraph"/>
        <w:numPr>
          <w:ilvl w:val="0"/>
          <w:numId w:val="28"/>
        </w:numPr>
        <w:spacing w:before="120" w:after="120" w:line="360" w:lineRule="auto"/>
        <w:ind w:left="1037" w:hanging="680"/>
        <w:rPr>
          <w:rFonts w:asciiTheme="minorHAnsi" w:eastAsia="Segoe UI" w:hAnsiTheme="minorHAnsi" w:cstheme="minorHAnsi"/>
          <w:sz w:val="24"/>
          <w:szCs w:val="24"/>
          <w:lang w:val="en-GB"/>
        </w:rPr>
        <w:sectPr w:rsidR="004238C4" w:rsidRPr="003C2F6B" w:rsidSect="006C1178">
          <w:footerReference w:type="default" r:id="rId29"/>
          <w:pgSz w:w="11906" w:h="16838"/>
          <w:pgMar w:top="1440" w:right="1440" w:bottom="1440" w:left="1440" w:header="708" w:footer="708" w:gutter="0"/>
          <w:cols w:space="708"/>
          <w:docGrid w:linePitch="360"/>
        </w:sectPr>
      </w:pPr>
      <w:r w:rsidRPr="00051A1C">
        <w:rPr>
          <w:rStyle w:val="Emphasis"/>
        </w:rPr>
        <w:t xml:space="preserve">Commission for Protection against Discrimination (Bulgaria): </w:t>
      </w:r>
      <w:r w:rsidRPr="003C2F6B">
        <w:rPr>
          <w:rFonts w:asciiTheme="minorHAnsi" w:eastAsia="Segoe UI" w:hAnsiTheme="minorHAnsi" w:cstheme="minorHAnsi"/>
          <w:sz w:val="24"/>
          <w:szCs w:val="24"/>
          <w:lang w:val="en-GB"/>
        </w:rPr>
        <w:t>They have the mandate to examine such cases, however, it is not specifically for families. Bulgarian’s constitution only recognizes marriage between men and women. They had only a few such cases through the years.</w:t>
      </w:r>
    </w:p>
    <w:p w14:paraId="5C271348" w14:textId="530339FB" w:rsidR="00F05B83" w:rsidRDefault="00B64925" w:rsidP="009F5AC2">
      <w:pPr>
        <w:pStyle w:val="Heading1"/>
        <w:numPr>
          <w:ilvl w:val="0"/>
          <w:numId w:val="20"/>
        </w:numPr>
        <w:spacing w:before="10000"/>
        <w:ind w:left="1077"/>
        <w:rPr>
          <w:rStyle w:val="Heading1Char"/>
          <w:sz w:val="40"/>
          <w:szCs w:val="40"/>
        </w:rPr>
        <w:sectPr w:rsidR="00F05B83" w:rsidSect="006C1178">
          <w:footerReference w:type="default" r:id="rId30"/>
          <w:pgSz w:w="11906" w:h="16838"/>
          <w:pgMar w:top="1440" w:right="1440" w:bottom="1440" w:left="1440" w:header="708" w:footer="708" w:gutter="0"/>
          <w:cols w:space="708"/>
          <w:docGrid w:linePitch="360"/>
        </w:sectPr>
      </w:pPr>
      <w:bookmarkStart w:id="36" w:name="_Toc157782142"/>
      <w:r>
        <w:rPr>
          <w:noProof/>
          <w:sz w:val="44"/>
          <w:szCs w:val="44"/>
        </w:rPr>
        <w:lastRenderedPageBreak/>
        <w:drawing>
          <wp:anchor distT="0" distB="0" distL="114300" distR="114300" simplePos="0" relativeHeight="251658255" behindDoc="1" locked="0" layoutInCell="1" allowOverlap="1" wp14:anchorId="17BBD40C" wp14:editId="74DAB09D">
            <wp:simplePos x="0" y="0"/>
            <wp:positionH relativeFrom="column">
              <wp:posOffset>-1113167</wp:posOffset>
            </wp:positionH>
            <wp:positionV relativeFrom="paragraph">
              <wp:posOffset>-902526</wp:posOffset>
            </wp:positionV>
            <wp:extent cx="7777938" cy="5973289"/>
            <wp:effectExtent l="0" t="0" r="0" b="8890"/>
            <wp:wrapNone/>
            <wp:docPr id="88074972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749728" name="Picture 3">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778562" cy="5973768"/>
                    </a:xfrm>
                    <a:prstGeom prst="rect">
                      <a:avLst/>
                    </a:prstGeom>
                  </pic:spPr>
                </pic:pic>
              </a:graphicData>
            </a:graphic>
            <wp14:sizeRelH relativeFrom="page">
              <wp14:pctWidth>0</wp14:pctWidth>
            </wp14:sizeRelH>
            <wp14:sizeRelV relativeFrom="page">
              <wp14:pctHeight>0</wp14:pctHeight>
            </wp14:sizeRelV>
          </wp:anchor>
        </w:drawing>
      </w:r>
      <w:r w:rsidR="00536976" w:rsidRPr="00277719">
        <w:rPr>
          <w:noProof/>
          <w:sz w:val="100"/>
          <w:szCs w:val="100"/>
        </w:rPr>
        <w:drawing>
          <wp:anchor distT="0" distB="0" distL="114300" distR="114300" simplePos="0" relativeHeight="251658256" behindDoc="0" locked="0" layoutInCell="1" allowOverlap="1" wp14:anchorId="06C12706" wp14:editId="67DCC3F9">
            <wp:simplePos x="0" y="0"/>
            <wp:positionH relativeFrom="margin">
              <wp:posOffset>-907004</wp:posOffset>
            </wp:positionH>
            <wp:positionV relativeFrom="paragraph">
              <wp:posOffset>4545330</wp:posOffset>
            </wp:positionV>
            <wp:extent cx="15706725" cy="1943100"/>
            <wp:effectExtent l="0" t="0" r="9525" b="0"/>
            <wp:wrapNone/>
            <wp:docPr id="305916" name="Picture 305916" descr="P12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124#y1">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0672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28B6" w:rsidRPr="009F5AC2">
        <w:rPr>
          <w:rStyle w:val="Heading1Char"/>
          <w:sz w:val="40"/>
          <w:szCs w:val="40"/>
        </w:rPr>
        <w:t>Cross-border recognition of parenthood and right to equal treatment and other fundamental rights</w:t>
      </w:r>
      <w:bookmarkEnd w:id="36"/>
    </w:p>
    <w:p w14:paraId="664C69EB" w14:textId="56C37BDB" w:rsidR="00BB28B6" w:rsidRPr="0059606A" w:rsidRDefault="00BA0424" w:rsidP="0059606A">
      <w:pPr>
        <w:spacing w:before="120" w:after="120" w:line="360" w:lineRule="auto"/>
        <w:rPr>
          <w:rFonts w:asciiTheme="minorHAnsi" w:eastAsia="Segoe UI" w:hAnsiTheme="minorHAnsi"/>
          <w:sz w:val="24"/>
          <w:szCs w:val="24"/>
          <w:lang w:val="en-GB"/>
        </w:rPr>
      </w:pPr>
      <w:r w:rsidRPr="0059606A">
        <w:rPr>
          <w:rFonts w:asciiTheme="minorHAnsi" w:eastAsia="Segoe UI" w:hAnsiTheme="minorHAnsi"/>
          <w:sz w:val="24"/>
          <w:szCs w:val="24"/>
          <w:lang w:val="en-GB"/>
        </w:rPr>
        <w:lastRenderedPageBreak/>
        <w:t>The issue of (lack of) cross-border recognition of parenthood is strongly interconnected with the protection of fundamental rights, particularly – right to non-discrimination and equality.</w:t>
      </w:r>
    </w:p>
    <w:p w14:paraId="7764DA1F" w14:textId="4E485C17" w:rsidR="00E56ACF" w:rsidRPr="0059606A" w:rsidRDefault="008E0A44" w:rsidP="0059606A">
      <w:pPr>
        <w:spacing w:before="120" w:after="120" w:line="360" w:lineRule="auto"/>
        <w:rPr>
          <w:rFonts w:asciiTheme="minorHAnsi" w:eastAsia="Segoe UI" w:hAnsiTheme="minorHAnsi"/>
          <w:sz w:val="24"/>
          <w:szCs w:val="24"/>
          <w:lang w:val="en-GB"/>
        </w:rPr>
      </w:pPr>
      <w:r w:rsidRPr="0059606A">
        <w:rPr>
          <w:rFonts w:asciiTheme="minorHAnsi" w:eastAsia="Segoe UI" w:hAnsiTheme="minorHAnsi"/>
          <w:sz w:val="24"/>
          <w:szCs w:val="24"/>
          <w:lang w:val="en-GB"/>
        </w:rPr>
        <w:t xml:space="preserve">The survey </w:t>
      </w:r>
      <w:r w:rsidR="29BEB39B" w:rsidRPr="0059606A">
        <w:rPr>
          <w:rFonts w:asciiTheme="minorHAnsi" w:eastAsia="Segoe UI" w:hAnsiTheme="minorHAnsi"/>
          <w:sz w:val="24"/>
          <w:szCs w:val="24"/>
          <w:lang w:val="en-GB"/>
        </w:rPr>
        <w:t>proved that</w:t>
      </w:r>
      <w:r w:rsidR="00BB28B6" w:rsidRPr="0059606A">
        <w:rPr>
          <w:rFonts w:asciiTheme="minorHAnsi" w:eastAsia="Segoe UI" w:hAnsiTheme="minorHAnsi"/>
          <w:sz w:val="24"/>
          <w:szCs w:val="24"/>
          <w:lang w:val="en-GB"/>
        </w:rPr>
        <w:t xml:space="preserve"> the </w:t>
      </w:r>
      <w:r w:rsidR="00BB28B6" w:rsidRPr="00C31121">
        <w:rPr>
          <w:rStyle w:val="Emphasis"/>
        </w:rPr>
        <w:t>lack of legal possibility to have their parenthood recognized under the national law affects parents identified by (the same) sex/non-heteronormative orientation the most</w:t>
      </w:r>
      <w:r w:rsidR="00BB28B6" w:rsidRPr="0059606A">
        <w:rPr>
          <w:rFonts w:asciiTheme="minorHAnsi" w:eastAsia="Segoe UI" w:hAnsiTheme="minorHAnsi"/>
          <w:sz w:val="24"/>
          <w:szCs w:val="24"/>
          <w:lang w:val="en-GB"/>
        </w:rPr>
        <w:t>.</w:t>
      </w:r>
      <w:r w:rsidRPr="0059606A">
        <w:rPr>
          <w:rFonts w:asciiTheme="minorHAnsi" w:eastAsia="Segoe UI" w:hAnsiTheme="minorHAnsi"/>
          <w:sz w:val="24"/>
          <w:szCs w:val="24"/>
          <w:lang w:val="en-GB"/>
        </w:rPr>
        <w:t xml:space="preserve"> Responding </w:t>
      </w:r>
      <w:r w:rsidR="004B2549">
        <w:rPr>
          <w:rFonts w:asciiTheme="minorHAnsi" w:eastAsia="Segoe UI" w:hAnsiTheme="minorHAnsi"/>
          <w:sz w:val="24"/>
          <w:szCs w:val="24"/>
          <w:lang w:val="en-GB"/>
        </w:rPr>
        <w:t>E</w:t>
      </w:r>
      <w:r w:rsidRPr="0059606A">
        <w:rPr>
          <w:rFonts w:asciiTheme="minorHAnsi" w:eastAsia="Segoe UI" w:hAnsiTheme="minorHAnsi"/>
          <w:sz w:val="24"/>
          <w:szCs w:val="24"/>
          <w:lang w:val="en-GB"/>
        </w:rPr>
        <w:t xml:space="preserve">quality </w:t>
      </w:r>
      <w:r w:rsidR="004B2549">
        <w:rPr>
          <w:rFonts w:asciiTheme="minorHAnsi" w:eastAsia="Segoe UI" w:hAnsiTheme="minorHAnsi"/>
          <w:sz w:val="24"/>
          <w:szCs w:val="24"/>
          <w:lang w:val="en-GB"/>
        </w:rPr>
        <w:t>B</w:t>
      </w:r>
      <w:r w:rsidRPr="0059606A">
        <w:rPr>
          <w:rFonts w:asciiTheme="minorHAnsi" w:eastAsia="Segoe UI" w:hAnsiTheme="minorHAnsi"/>
          <w:sz w:val="24"/>
          <w:szCs w:val="24"/>
          <w:lang w:val="en-GB"/>
        </w:rPr>
        <w:t>odies indicated</w:t>
      </w:r>
      <w:r w:rsidR="00BB28B6" w:rsidRPr="0059606A">
        <w:rPr>
          <w:rFonts w:asciiTheme="minorHAnsi" w:eastAsia="Segoe UI" w:hAnsiTheme="minorHAnsi"/>
          <w:sz w:val="24"/>
          <w:szCs w:val="24"/>
          <w:lang w:val="en-GB"/>
        </w:rPr>
        <w:t xml:space="preserve"> </w:t>
      </w:r>
      <w:r w:rsidRPr="0059606A">
        <w:rPr>
          <w:rFonts w:asciiTheme="minorHAnsi" w:eastAsia="Segoe UI" w:hAnsiTheme="minorHAnsi"/>
          <w:sz w:val="24"/>
          <w:szCs w:val="24"/>
          <w:lang w:val="en-GB"/>
        </w:rPr>
        <w:t>that t</w:t>
      </w:r>
      <w:r w:rsidR="00BB28B6" w:rsidRPr="0059606A">
        <w:rPr>
          <w:rFonts w:asciiTheme="minorHAnsi" w:eastAsia="Segoe UI" w:hAnsiTheme="minorHAnsi"/>
          <w:sz w:val="24"/>
          <w:szCs w:val="24"/>
          <w:lang w:val="en-GB"/>
        </w:rPr>
        <w:t>he negative implications of such a legal situation affect same-sex parents (Slovak National Center for Human Rights, Polish Commissioner for Human Rights, Equal Opportunities Ombudsperson of the Republic of Lithuania), particularly – ho</w:t>
      </w:r>
      <w:r w:rsidR="007273BD" w:rsidRPr="0059606A">
        <w:rPr>
          <w:rFonts w:asciiTheme="minorHAnsi" w:eastAsia="Segoe UI" w:hAnsiTheme="minorHAnsi"/>
          <w:sz w:val="24"/>
          <w:szCs w:val="24"/>
          <w:lang w:val="en-GB"/>
        </w:rPr>
        <w:t>m</w:t>
      </w:r>
      <w:r w:rsidR="00BB28B6" w:rsidRPr="0059606A">
        <w:rPr>
          <w:rFonts w:asciiTheme="minorHAnsi" w:eastAsia="Segoe UI" w:hAnsiTheme="minorHAnsi"/>
          <w:sz w:val="24"/>
          <w:szCs w:val="24"/>
          <w:lang w:val="en-GB"/>
        </w:rPr>
        <w:t xml:space="preserve">osexual men (Belgian Federal Migration Centre) – also in a situation resulting from </w:t>
      </w:r>
      <w:r w:rsidRPr="0059606A">
        <w:rPr>
          <w:rFonts w:asciiTheme="minorHAnsi" w:eastAsia="Segoe UI" w:hAnsiTheme="minorHAnsi"/>
          <w:sz w:val="24"/>
          <w:szCs w:val="24"/>
          <w:lang w:val="en-GB"/>
        </w:rPr>
        <w:t xml:space="preserve">transsexuality </w:t>
      </w:r>
      <w:r w:rsidR="00BB28B6" w:rsidRPr="0059606A">
        <w:rPr>
          <w:rFonts w:asciiTheme="minorHAnsi" w:eastAsia="Segoe UI" w:hAnsiTheme="minorHAnsi"/>
          <w:sz w:val="24"/>
          <w:szCs w:val="24"/>
          <w:lang w:val="en-GB"/>
        </w:rPr>
        <w:t xml:space="preserve">of one of the </w:t>
      </w:r>
      <w:r w:rsidR="13ED472E" w:rsidRPr="0059606A">
        <w:rPr>
          <w:rFonts w:asciiTheme="minorHAnsi" w:eastAsia="Segoe UI" w:hAnsiTheme="minorHAnsi"/>
          <w:sz w:val="24"/>
          <w:szCs w:val="24"/>
          <w:lang w:val="en-GB"/>
        </w:rPr>
        <w:t>parents</w:t>
      </w:r>
      <w:r w:rsidR="00BB28B6" w:rsidRPr="0059606A">
        <w:rPr>
          <w:rFonts w:asciiTheme="minorHAnsi" w:eastAsia="Segoe UI" w:hAnsiTheme="minorHAnsi"/>
          <w:sz w:val="24"/>
          <w:szCs w:val="24"/>
          <w:lang w:val="en-GB"/>
        </w:rPr>
        <w:t xml:space="preserve"> (</w:t>
      </w:r>
      <w:r w:rsidR="00093565" w:rsidRPr="0059606A">
        <w:rPr>
          <w:rFonts w:asciiTheme="minorHAnsi" w:eastAsia="Segoe UI" w:hAnsiTheme="minorHAnsi"/>
          <w:sz w:val="24"/>
          <w:szCs w:val="24"/>
          <w:lang w:val="en-GB"/>
        </w:rPr>
        <w:t>Slovak National Center for Human Rights</w:t>
      </w:r>
      <w:r w:rsidR="00BB28B6" w:rsidRPr="0059606A">
        <w:rPr>
          <w:rFonts w:asciiTheme="minorHAnsi" w:eastAsia="Segoe UI" w:hAnsiTheme="minorHAnsi"/>
          <w:sz w:val="24"/>
          <w:szCs w:val="24"/>
          <w:lang w:val="en-GB"/>
        </w:rPr>
        <w:t>). Homosexual parents as the most affected group were pointed to even if the responding</w:t>
      </w:r>
      <w:r w:rsidR="00E56ACF" w:rsidRPr="0059606A">
        <w:rPr>
          <w:rFonts w:asciiTheme="minorHAnsi" w:eastAsia="Segoe UI" w:hAnsiTheme="minorHAnsi"/>
          <w:sz w:val="24"/>
          <w:szCs w:val="24"/>
          <w:lang w:val="en-GB"/>
        </w:rPr>
        <w:t xml:space="preserve"> </w:t>
      </w:r>
      <w:r w:rsidR="003A37B4">
        <w:rPr>
          <w:rFonts w:asciiTheme="minorHAnsi" w:eastAsia="Segoe UI" w:hAnsiTheme="minorHAnsi"/>
          <w:sz w:val="24"/>
          <w:szCs w:val="24"/>
          <w:lang w:val="en-GB"/>
        </w:rPr>
        <w:t>E</w:t>
      </w:r>
      <w:r w:rsidR="00E56ACF" w:rsidRPr="0059606A">
        <w:rPr>
          <w:rFonts w:asciiTheme="minorHAnsi" w:eastAsia="Segoe UI" w:hAnsiTheme="minorHAnsi"/>
          <w:sz w:val="24"/>
          <w:szCs w:val="24"/>
          <w:lang w:val="en-GB"/>
        </w:rPr>
        <w:t>quality</w:t>
      </w:r>
      <w:r w:rsidR="00BB28B6" w:rsidRPr="0059606A">
        <w:rPr>
          <w:rFonts w:asciiTheme="minorHAnsi" w:eastAsia="Segoe UI" w:hAnsiTheme="minorHAnsi"/>
          <w:sz w:val="24"/>
          <w:szCs w:val="24"/>
          <w:lang w:val="en-GB"/>
        </w:rPr>
        <w:t xml:space="preserve"> </w:t>
      </w:r>
      <w:r w:rsidR="003A37B4">
        <w:rPr>
          <w:rFonts w:asciiTheme="minorHAnsi" w:eastAsia="Segoe UI" w:hAnsiTheme="minorHAnsi"/>
          <w:sz w:val="24"/>
          <w:szCs w:val="24"/>
          <w:lang w:val="en-GB"/>
        </w:rPr>
        <w:t>B</w:t>
      </w:r>
      <w:r w:rsidR="00BB28B6" w:rsidRPr="0059606A">
        <w:rPr>
          <w:rFonts w:asciiTheme="minorHAnsi" w:eastAsia="Segoe UI" w:hAnsiTheme="minorHAnsi"/>
          <w:sz w:val="24"/>
          <w:szCs w:val="24"/>
          <w:lang w:val="en-GB"/>
        </w:rPr>
        <w:t xml:space="preserve">ody has no experience in cases concerning recognition of parenthood (Lithuanian </w:t>
      </w:r>
      <w:r w:rsidR="003A37B4">
        <w:rPr>
          <w:rFonts w:asciiTheme="minorHAnsi" w:eastAsia="Segoe UI" w:hAnsiTheme="minorHAnsi"/>
          <w:sz w:val="24"/>
          <w:szCs w:val="24"/>
          <w:lang w:val="en-GB"/>
        </w:rPr>
        <w:t>E</w:t>
      </w:r>
      <w:r w:rsidR="00BB28B6" w:rsidRPr="0059606A">
        <w:rPr>
          <w:rFonts w:asciiTheme="minorHAnsi" w:eastAsia="Segoe UI" w:hAnsiTheme="minorHAnsi"/>
          <w:sz w:val="24"/>
          <w:szCs w:val="24"/>
          <w:lang w:val="en-GB"/>
        </w:rPr>
        <w:t xml:space="preserve">quality </w:t>
      </w:r>
      <w:r w:rsidR="003A37B4">
        <w:rPr>
          <w:rFonts w:asciiTheme="minorHAnsi" w:eastAsia="Segoe UI" w:hAnsiTheme="minorHAnsi"/>
          <w:sz w:val="24"/>
          <w:szCs w:val="24"/>
          <w:lang w:val="en-GB"/>
        </w:rPr>
        <w:t>B</w:t>
      </w:r>
      <w:r w:rsidR="00BB28B6" w:rsidRPr="0059606A">
        <w:rPr>
          <w:rFonts w:asciiTheme="minorHAnsi" w:eastAsia="Segoe UI" w:hAnsiTheme="minorHAnsi"/>
          <w:sz w:val="24"/>
          <w:szCs w:val="24"/>
          <w:lang w:val="en-GB"/>
        </w:rPr>
        <w:t xml:space="preserve">ody). </w:t>
      </w:r>
    </w:p>
    <w:p w14:paraId="30EAC369" w14:textId="562002BB" w:rsidR="00BB28B6" w:rsidRPr="0059606A" w:rsidRDefault="00063E4D" w:rsidP="0059606A">
      <w:pPr>
        <w:spacing w:before="120" w:after="120" w:line="360" w:lineRule="auto"/>
        <w:rPr>
          <w:rFonts w:asciiTheme="minorHAnsi" w:eastAsia="Segoe UI" w:hAnsiTheme="minorHAnsi"/>
          <w:sz w:val="24"/>
          <w:szCs w:val="24"/>
          <w:lang w:val="en-GB"/>
        </w:rPr>
      </w:pPr>
      <w:r w:rsidRPr="0059606A">
        <w:rPr>
          <w:rFonts w:asciiTheme="minorHAnsi" w:eastAsia="Segoe UI" w:hAnsiTheme="minorHAnsi"/>
          <w:sz w:val="24"/>
          <w:szCs w:val="24"/>
          <w:lang w:val="en-GB"/>
        </w:rPr>
        <w:t xml:space="preserve">When it comes to the </w:t>
      </w:r>
      <w:r w:rsidRPr="003A37B4">
        <w:rPr>
          <w:rStyle w:val="Emphasis"/>
        </w:rPr>
        <w:t xml:space="preserve">causes </w:t>
      </w:r>
      <w:r w:rsidR="00B35AAE" w:rsidRPr="003A37B4">
        <w:rPr>
          <w:rStyle w:val="Emphasis"/>
        </w:rPr>
        <w:t xml:space="preserve">of </w:t>
      </w:r>
      <w:r w:rsidR="6C40557A" w:rsidRPr="003A37B4">
        <w:rPr>
          <w:rStyle w:val="Emphasis"/>
        </w:rPr>
        <w:t xml:space="preserve">the </w:t>
      </w:r>
      <w:r w:rsidR="00B35AAE" w:rsidRPr="003A37B4">
        <w:rPr>
          <w:rStyle w:val="Emphasis"/>
        </w:rPr>
        <w:t>identified situation</w:t>
      </w:r>
      <w:r w:rsidR="00377F06">
        <w:rPr>
          <w:rStyle w:val="Emphasis"/>
        </w:rPr>
        <w:t>,</w:t>
      </w:r>
      <w:r w:rsidR="00BB28B6" w:rsidRPr="003A37B4">
        <w:rPr>
          <w:rStyle w:val="Emphasis"/>
        </w:rPr>
        <w:t xml:space="preserve"> lack of legal </w:t>
      </w:r>
      <w:r w:rsidR="523D68E8" w:rsidRPr="003A37B4">
        <w:rPr>
          <w:rStyle w:val="Emphasis"/>
        </w:rPr>
        <w:t>recognition</w:t>
      </w:r>
      <w:r w:rsidR="00BB28B6" w:rsidRPr="003A37B4">
        <w:rPr>
          <w:rStyle w:val="Emphasis"/>
        </w:rPr>
        <w:t xml:space="preserve"> of different types of relationships of same-sex persons by the Member States </w:t>
      </w:r>
      <w:r w:rsidR="000F50D1" w:rsidRPr="003A37B4">
        <w:rPr>
          <w:rStyle w:val="Emphasis"/>
        </w:rPr>
        <w:t>leading</w:t>
      </w:r>
      <w:r w:rsidR="00BB28B6" w:rsidRPr="003A37B4">
        <w:rPr>
          <w:rStyle w:val="Emphasis"/>
        </w:rPr>
        <w:t xml:space="preserve"> to the legal impossibility of recognition of their parenthood</w:t>
      </w:r>
      <w:r w:rsidR="00DA3D83" w:rsidRPr="0059606A">
        <w:rPr>
          <w:rFonts w:asciiTheme="minorHAnsi" w:eastAsia="Segoe UI" w:hAnsiTheme="minorHAnsi"/>
          <w:sz w:val="24"/>
          <w:szCs w:val="24"/>
          <w:lang w:val="en-GB"/>
        </w:rPr>
        <w:t xml:space="preserve"> was indicated</w:t>
      </w:r>
      <w:r w:rsidR="00080B79" w:rsidRPr="0059606A">
        <w:rPr>
          <w:rFonts w:asciiTheme="minorHAnsi" w:eastAsia="Segoe UI" w:hAnsiTheme="minorHAnsi"/>
          <w:sz w:val="24"/>
          <w:szCs w:val="24"/>
          <w:lang w:val="en-GB"/>
        </w:rPr>
        <w:t>.</w:t>
      </w:r>
      <w:r w:rsidR="00DA3D83" w:rsidRPr="0059606A">
        <w:rPr>
          <w:rFonts w:asciiTheme="minorHAnsi" w:eastAsia="Segoe UI" w:hAnsiTheme="minorHAnsi"/>
          <w:sz w:val="24"/>
          <w:szCs w:val="24"/>
          <w:lang w:val="en-GB"/>
        </w:rPr>
        <w:t xml:space="preserve"> </w:t>
      </w:r>
      <w:r w:rsidR="00BB28B6" w:rsidRPr="0059606A">
        <w:rPr>
          <w:rFonts w:asciiTheme="minorHAnsi" w:eastAsia="Segoe UI" w:hAnsiTheme="minorHAnsi"/>
          <w:sz w:val="24"/>
          <w:szCs w:val="24"/>
          <w:lang w:val="en-GB"/>
        </w:rPr>
        <w:t>  </w:t>
      </w:r>
    </w:p>
    <w:p w14:paraId="71F187DA" w14:textId="4690C27B" w:rsidR="00BB28B6" w:rsidRPr="005B79CC" w:rsidRDefault="00E56ACF" w:rsidP="005B79CC">
      <w:pPr>
        <w:spacing w:before="120" w:after="120" w:line="360" w:lineRule="auto"/>
        <w:rPr>
          <w:rFonts w:asciiTheme="minorHAnsi" w:eastAsia="Segoe UI" w:hAnsiTheme="minorHAnsi"/>
          <w:sz w:val="24"/>
          <w:szCs w:val="24"/>
          <w:lang w:val="en-GB"/>
        </w:rPr>
      </w:pPr>
      <w:r w:rsidRPr="0059606A">
        <w:rPr>
          <w:rFonts w:asciiTheme="minorHAnsi" w:eastAsia="Segoe UI" w:hAnsiTheme="minorHAnsi"/>
          <w:sz w:val="24"/>
          <w:szCs w:val="24"/>
          <w:lang w:val="en-GB"/>
        </w:rPr>
        <w:t xml:space="preserve"> </w:t>
      </w:r>
      <w:r w:rsidR="00063E4D" w:rsidRPr="0059606A">
        <w:rPr>
          <w:rFonts w:asciiTheme="minorHAnsi" w:eastAsia="Segoe UI" w:hAnsiTheme="minorHAnsi"/>
          <w:sz w:val="24"/>
          <w:szCs w:val="24"/>
          <w:lang w:val="en-GB"/>
        </w:rPr>
        <w:t>As it might be pres</w:t>
      </w:r>
      <w:r w:rsidR="00DA3D83" w:rsidRPr="0059606A">
        <w:rPr>
          <w:rFonts w:asciiTheme="minorHAnsi" w:eastAsia="Segoe UI" w:hAnsiTheme="minorHAnsi"/>
          <w:sz w:val="24"/>
          <w:szCs w:val="24"/>
          <w:lang w:val="en-GB"/>
        </w:rPr>
        <w:t>umed</w:t>
      </w:r>
      <w:r w:rsidR="00063E4D" w:rsidRPr="0059606A">
        <w:rPr>
          <w:rFonts w:asciiTheme="minorHAnsi" w:eastAsia="Segoe UI" w:hAnsiTheme="minorHAnsi"/>
          <w:sz w:val="24"/>
          <w:szCs w:val="24"/>
          <w:lang w:val="en-GB"/>
        </w:rPr>
        <w:t xml:space="preserve"> against</w:t>
      </w:r>
      <w:r w:rsidR="00DA3D83" w:rsidRPr="0059606A">
        <w:rPr>
          <w:rFonts w:asciiTheme="minorHAnsi" w:eastAsia="Segoe UI" w:hAnsiTheme="minorHAnsi"/>
          <w:sz w:val="24"/>
          <w:szCs w:val="24"/>
          <w:lang w:val="en-GB"/>
        </w:rPr>
        <w:t xml:space="preserve"> the above-mentioned</w:t>
      </w:r>
      <w:r w:rsidR="00BB28B6" w:rsidRPr="0059606A">
        <w:rPr>
          <w:rFonts w:asciiTheme="minorHAnsi" w:eastAsia="Segoe UI" w:hAnsiTheme="minorHAnsi"/>
          <w:sz w:val="24"/>
          <w:szCs w:val="24"/>
          <w:lang w:val="en-GB"/>
        </w:rPr>
        <w:t>, the group of children that experience to the widest extent the negative consequences of such a lack of recognition are children of same-sex parents (as indicated by Slovak National Centre for Human Rights and Polish Commissioner for Human Rights). The reason behind it</w:t>
      </w:r>
      <w:r w:rsidR="7B314CA3" w:rsidRPr="0059606A">
        <w:rPr>
          <w:rFonts w:asciiTheme="minorHAnsi" w:eastAsia="Segoe UI" w:hAnsiTheme="minorHAnsi"/>
          <w:sz w:val="24"/>
          <w:szCs w:val="24"/>
          <w:lang w:val="en-GB"/>
        </w:rPr>
        <w:t xml:space="preserve">, </w:t>
      </w:r>
      <w:r w:rsidR="00BB28B6" w:rsidRPr="0059606A">
        <w:rPr>
          <w:rFonts w:asciiTheme="minorHAnsi" w:eastAsia="Segoe UI" w:hAnsiTheme="minorHAnsi"/>
          <w:sz w:val="24"/>
          <w:szCs w:val="24"/>
          <w:lang w:val="en-GB"/>
        </w:rPr>
        <w:t xml:space="preserve"> as explained by the responding bodies</w:t>
      </w:r>
      <w:r w:rsidR="5C161CFB" w:rsidRPr="0059606A">
        <w:rPr>
          <w:rFonts w:asciiTheme="minorHAnsi" w:eastAsia="Segoe UI" w:hAnsiTheme="minorHAnsi"/>
          <w:sz w:val="24"/>
          <w:szCs w:val="24"/>
          <w:lang w:val="en-GB"/>
        </w:rPr>
        <w:t xml:space="preserve">, </w:t>
      </w:r>
      <w:r w:rsidR="00BB28B6" w:rsidRPr="0059606A">
        <w:rPr>
          <w:rFonts w:asciiTheme="minorHAnsi" w:eastAsia="Segoe UI" w:hAnsiTheme="minorHAnsi"/>
          <w:sz w:val="24"/>
          <w:szCs w:val="24"/>
          <w:lang w:val="en-GB"/>
        </w:rPr>
        <w:t xml:space="preserve"> is</w:t>
      </w:r>
      <w:r w:rsidR="00CF6F15">
        <w:rPr>
          <w:rFonts w:asciiTheme="minorHAnsi" w:eastAsia="Segoe UI" w:hAnsiTheme="minorHAnsi"/>
          <w:sz w:val="24"/>
          <w:szCs w:val="24"/>
          <w:lang w:val="en-GB"/>
        </w:rPr>
        <w:t xml:space="preserve"> </w:t>
      </w:r>
      <w:r w:rsidR="00B35AAE" w:rsidRPr="0059606A">
        <w:rPr>
          <w:rFonts w:asciiTheme="minorHAnsi" w:eastAsia="Segoe UI" w:hAnsiTheme="minorHAnsi"/>
          <w:sz w:val="24"/>
          <w:szCs w:val="24"/>
          <w:lang w:val="en-GB"/>
        </w:rPr>
        <w:t>again</w:t>
      </w:r>
      <w:r w:rsidR="000F50D1" w:rsidRPr="0059606A">
        <w:rPr>
          <w:rFonts w:asciiTheme="minorHAnsi" w:eastAsia="Segoe UI" w:hAnsiTheme="minorHAnsi"/>
          <w:sz w:val="24"/>
          <w:szCs w:val="24"/>
          <w:lang w:val="en-GB"/>
        </w:rPr>
        <w:t xml:space="preserve"> </w:t>
      </w:r>
      <w:r w:rsidR="00BB28B6" w:rsidRPr="0059606A">
        <w:rPr>
          <w:rFonts w:asciiTheme="minorHAnsi" w:eastAsia="Segoe UI" w:hAnsiTheme="minorHAnsi"/>
          <w:sz w:val="24"/>
          <w:szCs w:val="24"/>
          <w:lang w:val="en-GB"/>
        </w:rPr>
        <w:t xml:space="preserve">the impossibility of recognising two persons of the same gender as parents of a child under relevant national laws. If – under </w:t>
      </w:r>
      <w:r w:rsidR="35F1FA95" w:rsidRPr="0059606A">
        <w:rPr>
          <w:rFonts w:asciiTheme="minorHAnsi" w:eastAsia="Segoe UI" w:hAnsiTheme="minorHAnsi"/>
          <w:sz w:val="24"/>
          <w:szCs w:val="24"/>
          <w:lang w:val="en-GB"/>
        </w:rPr>
        <w:t>national laws</w:t>
      </w:r>
      <w:r w:rsidR="00BB28B6" w:rsidRPr="0059606A">
        <w:rPr>
          <w:rFonts w:asciiTheme="minorHAnsi" w:eastAsia="Segoe UI" w:hAnsiTheme="minorHAnsi"/>
          <w:sz w:val="24"/>
          <w:szCs w:val="24"/>
          <w:lang w:val="en-GB"/>
        </w:rPr>
        <w:t xml:space="preserve"> –a child had a mother (a female exclusively) and a father (a male exclusively) there would be no legal obstacles to confirm the parental relationship between the parents and the child.  </w:t>
      </w:r>
    </w:p>
    <w:p w14:paraId="6A695812" w14:textId="56200E12" w:rsidR="000C50C2" w:rsidRDefault="00DC7A88" w:rsidP="0059606A">
      <w:pPr>
        <w:spacing w:before="120" w:after="120" w:line="360" w:lineRule="auto"/>
        <w:rPr>
          <w:rFonts w:asciiTheme="minorHAnsi" w:eastAsia="Segoe UI" w:hAnsiTheme="minorHAnsi"/>
          <w:sz w:val="24"/>
          <w:szCs w:val="24"/>
          <w:lang w:val="en-GB"/>
        </w:rPr>
      </w:pPr>
      <w:r w:rsidRPr="0059606A">
        <w:rPr>
          <w:rFonts w:asciiTheme="minorHAnsi" w:eastAsia="Segoe UI" w:hAnsiTheme="minorHAnsi"/>
          <w:sz w:val="24"/>
          <w:szCs w:val="24"/>
          <w:lang w:val="en-GB"/>
        </w:rPr>
        <w:t>Unsurprisingly</w:t>
      </w:r>
      <w:r w:rsidR="00A213A3" w:rsidRPr="0059606A">
        <w:rPr>
          <w:rFonts w:asciiTheme="minorHAnsi" w:eastAsia="Segoe UI" w:hAnsiTheme="minorHAnsi"/>
          <w:sz w:val="24"/>
          <w:szCs w:val="24"/>
          <w:lang w:val="en-GB"/>
        </w:rPr>
        <w:t>, i</w:t>
      </w:r>
      <w:r w:rsidR="009C1618" w:rsidRPr="0059606A">
        <w:rPr>
          <w:rFonts w:asciiTheme="minorHAnsi" w:eastAsia="Segoe UI" w:hAnsiTheme="minorHAnsi"/>
          <w:sz w:val="24"/>
          <w:szCs w:val="24"/>
          <w:lang w:val="en-GB"/>
        </w:rPr>
        <w:t>n the Member States w</w:t>
      </w:r>
      <w:r w:rsidR="004946DF" w:rsidRPr="0059606A">
        <w:rPr>
          <w:rFonts w:asciiTheme="minorHAnsi" w:eastAsia="Segoe UI" w:hAnsiTheme="minorHAnsi"/>
          <w:sz w:val="24"/>
          <w:szCs w:val="24"/>
          <w:lang w:val="en-GB"/>
        </w:rPr>
        <w:t>h</w:t>
      </w:r>
      <w:r w:rsidR="009C1618" w:rsidRPr="0059606A">
        <w:rPr>
          <w:rFonts w:asciiTheme="minorHAnsi" w:eastAsia="Segoe UI" w:hAnsiTheme="minorHAnsi"/>
          <w:sz w:val="24"/>
          <w:szCs w:val="24"/>
          <w:lang w:val="en-GB"/>
        </w:rPr>
        <w:t xml:space="preserve">ere </w:t>
      </w:r>
      <w:r w:rsidR="00A213A3" w:rsidRPr="0059606A">
        <w:rPr>
          <w:rFonts w:asciiTheme="minorHAnsi" w:eastAsia="Segoe UI" w:hAnsiTheme="minorHAnsi"/>
          <w:sz w:val="24"/>
          <w:szCs w:val="24"/>
          <w:lang w:val="en-GB"/>
        </w:rPr>
        <w:t>same-</w:t>
      </w:r>
      <w:r w:rsidR="009C1618" w:rsidRPr="0059606A">
        <w:rPr>
          <w:rFonts w:asciiTheme="minorHAnsi" w:eastAsia="Segoe UI" w:hAnsiTheme="minorHAnsi"/>
          <w:sz w:val="24"/>
          <w:szCs w:val="24"/>
          <w:lang w:val="en-GB"/>
        </w:rPr>
        <w:t xml:space="preserve">sex parenthood is not allowed </w:t>
      </w:r>
      <w:r w:rsidR="00BB28B6" w:rsidRPr="0059606A">
        <w:rPr>
          <w:rFonts w:asciiTheme="minorHAnsi" w:eastAsia="Segoe UI" w:hAnsiTheme="minorHAnsi"/>
          <w:sz w:val="24"/>
          <w:szCs w:val="24"/>
          <w:lang w:val="en-GB"/>
        </w:rPr>
        <w:t xml:space="preserve"> </w:t>
      </w:r>
      <w:r w:rsidR="00BB28B6" w:rsidRPr="00EC75F0">
        <w:rPr>
          <w:rStyle w:val="Emphasis"/>
        </w:rPr>
        <w:t xml:space="preserve">the ‘traditional’ legal notion of “marriage” and </w:t>
      </w:r>
      <w:r w:rsidR="00BB28B6" w:rsidRPr="0059606A">
        <w:rPr>
          <w:rFonts w:asciiTheme="minorHAnsi" w:eastAsia="Segoe UI" w:hAnsiTheme="minorHAnsi"/>
          <w:sz w:val="24"/>
          <w:szCs w:val="24"/>
          <w:lang w:val="en-GB"/>
        </w:rPr>
        <w:t xml:space="preserve">– consequently – </w:t>
      </w:r>
      <w:r w:rsidR="00BB28B6" w:rsidRPr="00EC75F0">
        <w:rPr>
          <w:rStyle w:val="Emphasis"/>
        </w:rPr>
        <w:t>“parents”</w:t>
      </w:r>
      <w:r w:rsidR="00BB28B6" w:rsidRPr="0059606A">
        <w:rPr>
          <w:rFonts w:asciiTheme="minorHAnsi" w:eastAsia="Segoe UI" w:hAnsiTheme="minorHAnsi"/>
          <w:sz w:val="24"/>
          <w:szCs w:val="24"/>
          <w:lang w:val="en-GB"/>
        </w:rPr>
        <w:t xml:space="preserve"> (understood as a mother and a father) </w:t>
      </w:r>
      <w:r w:rsidR="00BB28B6" w:rsidRPr="00EC75F0">
        <w:rPr>
          <w:rStyle w:val="Emphasis"/>
        </w:rPr>
        <w:t>and “parenthood”</w:t>
      </w:r>
      <w:r w:rsidR="00BB28B6" w:rsidRPr="0059606A">
        <w:rPr>
          <w:rFonts w:asciiTheme="minorHAnsi" w:eastAsia="Segoe UI" w:hAnsiTheme="minorHAnsi"/>
          <w:sz w:val="24"/>
          <w:szCs w:val="24"/>
          <w:lang w:val="en-GB"/>
        </w:rPr>
        <w:t xml:space="preserve">, </w:t>
      </w:r>
      <w:r w:rsidR="009C1618" w:rsidRPr="0059606A">
        <w:rPr>
          <w:rFonts w:asciiTheme="minorHAnsi" w:eastAsia="Segoe UI" w:hAnsiTheme="minorHAnsi"/>
          <w:sz w:val="24"/>
          <w:szCs w:val="24"/>
          <w:lang w:val="en-GB"/>
        </w:rPr>
        <w:t xml:space="preserve">allegedly </w:t>
      </w:r>
      <w:r w:rsidR="00BB28B6" w:rsidRPr="0059606A">
        <w:rPr>
          <w:rFonts w:asciiTheme="minorHAnsi" w:eastAsia="Segoe UI" w:hAnsiTheme="minorHAnsi"/>
          <w:sz w:val="24"/>
          <w:szCs w:val="24"/>
          <w:lang w:val="en-GB"/>
        </w:rPr>
        <w:t xml:space="preserve">reflecting the social norms and moral values prevailing in </w:t>
      </w:r>
      <w:r w:rsidR="009C1618" w:rsidRPr="0059606A">
        <w:rPr>
          <w:rFonts w:asciiTheme="minorHAnsi" w:eastAsia="Segoe UI" w:hAnsiTheme="minorHAnsi"/>
          <w:sz w:val="24"/>
          <w:szCs w:val="24"/>
          <w:lang w:val="en-GB"/>
        </w:rPr>
        <w:t xml:space="preserve">the </w:t>
      </w:r>
      <w:r w:rsidR="00BB28B6" w:rsidRPr="0059606A">
        <w:rPr>
          <w:rFonts w:asciiTheme="minorHAnsi" w:eastAsia="Segoe UI" w:hAnsiTheme="minorHAnsi"/>
          <w:sz w:val="24"/>
          <w:szCs w:val="24"/>
          <w:lang w:val="en-GB"/>
        </w:rPr>
        <w:t>society</w:t>
      </w:r>
      <w:r w:rsidR="009C1618" w:rsidRPr="0059606A">
        <w:rPr>
          <w:rFonts w:asciiTheme="minorHAnsi" w:eastAsia="Segoe UI" w:hAnsiTheme="minorHAnsi"/>
          <w:sz w:val="24"/>
          <w:szCs w:val="24"/>
          <w:lang w:val="en-GB"/>
        </w:rPr>
        <w:t xml:space="preserve"> </w:t>
      </w:r>
      <w:r w:rsidR="009C1618" w:rsidRPr="00EC75F0">
        <w:rPr>
          <w:rStyle w:val="Emphasis"/>
        </w:rPr>
        <w:t>is</w:t>
      </w:r>
      <w:r w:rsidR="00BB28B6" w:rsidRPr="00EC75F0">
        <w:rPr>
          <w:rStyle w:val="Emphasis"/>
        </w:rPr>
        <w:t xml:space="preserve"> </w:t>
      </w:r>
      <w:r w:rsidR="009C1618" w:rsidRPr="00EC75F0">
        <w:rPr>
          <w:rStyle w:val="Emphasis"/>
        </w:rPr>
        <w:t xml:space="preserve">the </w:t>
      </w:r>
      <w:r w:rsidR="00BB28B6" w:rsidRPr="00EC75F0">
        <w:rPr>
          <w:rStyle w:val="Emphasis"/>
        </w:rPr>
        <w:t xml:space="preserve">main reason among the public policy grounds </w:t>
      </w:r>
      <w:r w:rsidR="009C1618" w:rsidRPr="00EC75F0">
        <w:rPr>
          <w:rStyle w:val="Emphasis"/>
        </w:rPr>
        <w:t xml:space="preserve">invoked by the public authorities </w:t>
      </w:r>
      <w:r w:rsidR="00BB28B6" w:rsidRPr="00EC75F0">
        <w:rPr>
          <w:rStyle w:val="Emphasis"/>
        </w:rPr>
        <w:t>as a justification of refusal to recognise the parenthood</w:t>
      </w:r>
      <w:r w:rsidR="00BB28B6" w:rsidRPr="0059606A">
        <w:rPr>
          <w:rFonts w:asciiTheme="minorHAnsi" w:eastAsia="Segoe UI" w:hAnsiTheme="minorHAnsi"/>
          <w:sz w:val="24"/>
          <w:szCs w:val="24"/>
          <w:lang w:val="en-GB"/>
        </w:rPr>
        <w:t xml:space="preserve"> (Slovak</w:t>
      </w:r>
      <w:r w:rsidR="009C1618" w:rsidRPr="0059606A">
        <w:rPr>
          <w:rFonts w:asciiTheme="minorHAnsi" w:eastAsia="Segoe UI" w:hAnsiTheme="minorHAnsi"/>
          <w:sz w:val="24"/>
          <w:szCs w:val="24"/>
          <w:lang w:val="en-GB"/>
        </w:rPr>
        <w:t>ia,</w:t>
      </w:r>
      <w:r w:rsidR="00BB28B6" w:rsidRPr="0059606A">
        <w:rPr>
          <w:rFonts w:asciiTheme="minorHAnsi" w:eastAsia="Segoe UI" w:hAnsiTheme="minorHAnsi"/>
          <w:sz w:val="24"/>
          <w:szCs w:val="24"/>
          <w:lang w:val="en-GB"/>
        </w:rPr>
        <w:t xml:space="preserve"> </w:t>
      </w:r>
      <w:r w:rsidR="009C1618" w:rsidRPr="0059606A">
        <w:rPr>
          <w:rFonts w:asciiTheme="minorHAnsi" w:eastAsia="Segoe UI" w:hAnsiTheme="minorHAnsi"/>
          <w:sz w:val="24"/>
          <w:szCs w:val="24"/>
          <w:lang w:val="en-GB"/>
        </w:rPr>
        <w:t>Poland</w:t>
      </w:r>
      <w:r w:rsidR="00BB28B6" w:rsidRPr="171AD899">
        <w:rPr>
          <w:rFonts w:asciiTheme="minorHAnsi" w:eastAsia="Segoe UI" w:hAnsiTheme="minorHAnsi"/>
          <w:sz w:val="24"/>
          <w:szCs w:val="24"/>
          <w:lang w:val="en-GB"/>
        </w:rPr>
        <w:t>)</w:t>
      </w:r>
      <w:r w:rsidR="5A6D8AC5" w:rsidRPr="171AD899">
        <w:rPr>
          <w:rFonts w:asciiTheme="minorHAnsi" w:eastAsia="Segoe UI" w:hAnsiTheme="minorHAnsi"/>
          <w:sz w:val="24"/>
          <w:szCs w:val="24"/>
          <w:lang w:val="en-GB"/>
        </w:rPr>
        <w:t>.</w:t>
      </w:r>
      <w:r w:rsidR="000C50C2">
        <w:rPr>
          <w:rFonts w:asciiTheme="minorHAnsi" w:eastAsia="Segoe UI" w:hAnsiTheme="minorHAnsi"/>
          <w:sz w:val="24"/>
          <w:szCs w:val="24"/>
          <w:lang w:val="en-GB"/>
        </w:rPr>
        <w:br w:type="page"/>
      </w:r>
    </w:p>
    <w:p w14:paraId="44EB45E8" w14:textId="3332D27A" w:rsidR="000C50C2" w:rsidRPr="000C50C2" w:rsidRDefault="000C50C2" w:rsidP="00BE00D4">
      <w:pPr>
        <w:spacing w:before="120" w:after="360" w:line="360" w:lineRule="auto"/>
        <w:ind w:left="397" w:right="397"/>
        <w:rPr>
          <w:rFonts w:asciiTheme="minorHAnsi" w:eastAsia="Segoe UI" w:hAnsiTheme="minorHAnsi"/>
          <w:b/>
          <w:bCs/>
          <w:sz w:val="24"/>
          <w:szCs w:val="24"/>
          <w:lang w:val="en-GB"/>
        </w:rPr>
      </w:pPr>
      <w:r w:rsidRPr="000C50C2">
        <w:rPr>
          <w:b/>
          <w:bCs/>
          <w:noProof/>
          <w:lang w:val="en-GB"/>
        </w:rPr>
        <w:lastRenderedPageBreak/>
        <mc:AlternateContent>
          <mc:Choice Requires="wps">
            <w:drawing>
              <wp:anchor distT="0" distB="0" distL="114300" distR="114300" simplePos="0" relativeHeight="251658250" behindDoc="1" locked="0" layoutInCell="1" allowOverlap="1" wp14:anchorId="68221032" wp14:editId="1BA632FE">
                <wp:simplePos x="0" y="0"/>
                <wp:positionH relativeFrom="column">
                  <wp:posOffset>0</wp:posOffset>
                </wp:positionH>
                <wp:positionV relativeFrom="paragraph">
                  <wp:posOffset>-49427</wp:posOffset>
                </wp:positionV>
                <wp:extent cx="5711190" cy="3039762"/>
                <wp:effectExtent l="0" t="0" r="3810" b="8255"/>
                <wp:wrapNone/>
                <wp:docPr id="593007740"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1190" cy="3039762"/>
                        </a:xfrm>
                        <a:prstGeom prst="rect">
                          <a:avLst/>
                        </a:prstGeom>
                        <a:solidFill>
                          <a:srgbClr val="E6DFF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78CD7" id="Rectangle 1" o:spid="_x0000_s1026" alt="&quot;&quot;" style="position:absolute;margin-left:0;margin-top:-3.9pt;width:449.7pt;height:239.35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" fillcolor="#e6dff9" stroked="f" strokeweight="1pt"/>
            </w:pict>
          </mc:Fallback>
        </mc:AlternateContent>
      </w:r>
      <w:r w:rsidRPr="000C50C2">
        <w:rPr>
          <w:rFonts w:asciiTheme="minorHAnsi" w:eastAsia="Segoe UI" w:hAnsiTheme="minorHAnsi"/>
          <w:b/>
          <w:bCs/>
          <w:sz w:val="24"/>
          <w:szCs w:val="24"/>
          <w:lang w:val="en-GB"/>
        </w:rPr>
        <w:t>Example: Poland</w:t>
      </w:r>
    </w:p>
    <w:p w14:paraId="26F966CF" w14:textId="3FC165F1" w:rsidR="00881A68" w:rsidRPr="0059606A" w:rsidRDefault="000C50C2" w:rsidP="0081121D">
      <w:pPr>
        <w:spacing w:before="120" w:after="360" w:line="360" w:lineRule="auto"/>
        <w:ind w:left="397" w:right="397"/>
        <w:rPr>
          <w:rFonts w:asciiTheme="minorHAnsi" w:eastAsia="Segoe UI" w:hAnsiTheme="minorHAnsi"/>
          <w:sz w:val="24"/>
          <w:szCs w:val="24"/>
          <w:lang w:val="en-GB"/>
        </w:rPr>
      </w:pPr>
      <w:r w:rsidRPr="000C50C2">
        <w:rPr>
          <w:b/>
          <w:bCs/>
          <w:noProof/>
          <w:lang w:val="en-GB"/>
        </w:rPr>
        <mc:AlternateContent>
          <mc:Choice Requires="wps">
            <w:drawing>
              <wp:anchor distT="0" distB="0" distL="114300" distR="114300" simplePos="0" relativeHeight="251658251" behindDoc="1" locked="0" layoutInCell="1" allowOverlap="1" wp14:anchorId="0A559B02" wp14:editId="56A56733">
                <wp:simplePos x="0" y="0"/>
                <wp:positionH relativeFrom="column">
                  <wp:posOffset>0</wp:posOffset>
                </wp:positionH>
                <wp:positionV relativeFrom="paragraph">
                  <wp:posOffset>2643608</wp:posOffset>
                </wp:positionV>
                <wp:extent cx="5711190" cy="3669854"/>
                <wp:effectExtent l="0" t="0" r="3810" b="6985"/>
                <wp:wrapNone/>
                <wp:docPr id="822819978"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1190" cy="3669854"/>
                        </a:xfrm>
                        <a:prstGeom prst="rect">
                          <a:avLst/>
                        </a:prstGeom>
                        <a:solidFill>
                          <a:srgbClr val="E6DFF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ADE6B" id="Rectangle 1" o:spid="_x0000_s1026" alt="&quot;&quot;" style="position:absolute;margin-left:0;margin-top:208.15pt;width:449.7pt;height:288.9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" fillcolor="#e6dff9" stroked="f" strokeweight="1pt"/>
            </w:pict>
          </mc:Fallback>
        </mc:AlternateContent>
      </w:r>
      <w:r w:rsidR="00881A68" w:rsidRPr="0059606A">
        <w:rPr>
          <w:rFonts w:asciiTheme="minorHAnsi" w:eastAsia="Segoe UI" w:hAnsiTheme="minorHAnsi"/>
          <w:sz w:val="24"/>
          <w:szCs w:val="24"/>
          <w:lang w:val="en-GB"/>
        </w:rPr>
        <w:t>As explained by the resolution of a panel of 7 judges of the Polish Supreme Administrative Court of 02/12/2019, case file no. II OPS 1/19, given that under Polish family law a child may not be considered to have same-sex parents, it would be a violation of the Polish legal order to introduce, for the purpose of legal transactions, a Polish birth certificate containing such data on the parents. The transcription of a birth certificate indicating same-sex persons as the parents would threaten the cohesion of the Polish legal system, as there would be Polish birth certificates containing data that may not be entered in a birth certificate of a child in Poland. </w:t>
      </w:r>
    </w:p>
    <w:p w14:paraId="54FA0DB0" w14:textId="77777777" w:rsidR="000C50C2" w:rsidRPr="000C50C2" w:rsidRDefault="000C50C2" w:rsidP="00BE00D4">
      <w:pPr>
        <w:spacing w:before="360" w:after="360" w:line="360" w:lineRule="auto"/>
        <w:ind w:left="397" w:right="397"/>
        <w:rPr>
          <w:rFonts w:asciiTheme="minorHAnsi" w:eastAsia="Segoe UI" w:hAnsiTheme="minorHAnsi"/>
          <w:b/>
          <w:bCs/>
          <w:sz w:val="24"/>
          <w:szCs w:val="24"/>
          <w:lang w:val="en-GB"/>
        </w:rPr>
      </w:pPr>
      <w:r w:rsidRPr="000C50C2">
        <w:rPr>
          <w:rFonts w:asciiTheme="minorHAnsi" w:eastAsia="Segoe UI" w:hAnsiTheme="minorHAnsi"/>
          <w:b/>
          <w:bCs/>
          <w:sz w:val="24"/>
          <w:szCs w:val="24"/>
          <w:lang w:val="en-GB"/>
        </w:rPr>
        <w:t>Example: Slovakia</w:t>
      </w:r>
    </w:p>
    <w:p w14:paraId="0787B825" w14:textId="6E2678ED" w:rsidR="00574280" w:rsidRPr="0059606A" w:rsidRDefault="00881A68" w:rsidP="0081121D">
      <w:pPr>
        <w:spacing w:before="360" w:after="360" w:line="360" w:lineRule="auto"/>
        <w:ind w:left="397" w:right="397"/>
        <w:rPr>
          <w:rFonts w:asciiTheme="minorHAnsi" w:eastAsia="Segoe UI" w:hAnsiTheme="minorHAnsi"/>
          <w:sz w:val="24"/>
          <w:szCs w:val="24"/>
          <w:lang w:val="en-GB"/>
        </w:rPr>
      </w:pPr>
      <w:r w:rsidRPr="0059606A">
        <w:rPr>
          <w:rFonts w:asciiTheme="minorHAnsi" w:eastAsia="Segoe UI" w:hAnsiTheme="minorHAnsi"/>
          <w:sz w:val="24"/>
          <w:szCs w:val="24"/>
          <w:lang w:val="en-GB"/>
        </w:rPr>
        <w:t>Under national law in Slovakia, the refusal of recognition of same-sex parenthood is considered also as an action taken in the best interests of the child. In general policy discussions, an argument for this is also that same-sex parenthood is not beneficial for mental well-being of a child concerned. This argument is strongly opposed by the LGBTIQ community, human rights experts as well as experts on psychology and psychiatry. Nevertheless, as there has not yet been a case concerning same-sex parenthood argued before Slovak courts, it is hard to predict which arguments would be used in handling the problem, notwithstanding the recent legislative initiative undertaken in the Slovak Parliament to reflect the traditional concept of a family composed of</w:t>
      </w:r>
      <w:r w:rsidRPr="0059606A">
        <w:rPr>
          <w:rFonts w:eastAsia="Times New Roman" w:cs="Calibri"/>
          <w:color w:val="000000" w:themeColor="text1"/>
          <w:sz w:val="24"/>
          <w:szCs w:val="24"/>
          <w:lang w:val="en-GB" w:eastAsia="en-GB"/>
        </w:rPr>
        <w:t xml:space="preserve"> a mother, a father and a child/children</w:t>
      </w:r>
      <w:r w:rsidRPr="0059606A">
        <w:rPr>
          <w:rFonts w:asciiTheme="minorHAnsi" w:eastAsia="Segoe UI" w:hAnsiTheme="minorHAnsi"/>
          <w:sz w:val="24"/>
          <w:szCs w:val="24"/>
          <w:lang w:val="en-GB"/>
        </w:rPr>
        <w:t xml:space="preserve"> in the legal norms to the widest extent.</w:t>
      </w:r>
    </w:p>
    <w:p w14:paraId="6438016B" w14:textId="77777777" w:rsidR="001A4FFB" w:rsidRPr="0059606A" w:rsidRDefault="001A4FFB" w:rsidP="0059606A">
      <w:pPr>
        <w:spacing w:before="120" w:after="120" w:line="360" w:lineRule="auto"/>
        <w:rPr>
          <w:rFonts w:asciiTheme="minorHAnsi" w:eastAsia="Segoe UI" w:hAnsiTheme="minorHAnsi"/>
          <w:sz w:val="24"/>
          <w:szCs w:val="24"/>
          <w:lang w:val="en-GB"/>
        </w:rPr>
      </w:pPr>
      <w:r w:rsidRPr="0059606A">
        <w:rPr>
          <w:rFonts w:asciiTheme="minorHAnsi" w:eastAsia="Segoe UI" w:hAnsiTheme="minorHAnsi"/>
          <w:sz w:val="24"/>
          <w:szCs w:val="24"/>
          <w:lang w:val="en-GB"/>
        </w:rPr>
        <w:t>The lack of recognition of parenthood has multiple and diversified consequences for the child and his/her parents.  </w:t>
      </w:r>
    </w:p>
    <w:p w14:paraId="539B44CE" w14:textId="3D97B320" w:rsidR="001A4FFB" w:rsidRPr="0059606A" w:rsidRDefault="001A4FFB" w:rsidP="0059606A">
      <w:pPr>
        <w:spacing w:before="120" w:after="120" w:line="360" w:lineRule="auto"/>
        <w:rPr>
          <w:rFonts w:asciiTheme="minorHAnsi" w:eastAsia="Segoe UI" w:hAnsiTheme="minorHAnsi"/>
          <w:sz w:val="24"/>
          <w:szCs w:val="24"/>
          <w:lang w:val="en-GB"/>
        </w:rPr>
      </w:pPr>
      <w:r w:rsidRPr="0059606A">
        <w:rPr>
          <w:rFonts w:asciiTheme="minorHAnsi" w:eastAsia="Segoe UI" w:hAnsiTheme="minorHAnsi"/>
          <w:sz w:val="24"/>
          <w:szCs w:val="24"/>
          <w:lang w:val="en-GB"/>
        </w:rPr>
        <w:t>When it comes to the child’s rights</w:t>
      </w:r>
      <w:r w:rsidR="007268DC" w:rsidRPr="0059606A">
        <w:rPr>
          <w:rFonts w:asciiTheme="minorHAnsi" w:eastAsia="Segoe UI" w:hAnsiTheme="minorHAnsi"/>
          <w:sz w:val="24"/>
          <w:szCs w:val="24"/>
          <w:lang w:val="en-GB"/>
        </w:rPr>
        <w:t>,</w:t>
      </w:r>
      <w:r w:rsidRPr="0059606A">
        <w:rPr>
          <w:rFonts w:asciiTheme="minorHAnsi" w:eastAsia="Segoe UI" w:hAnsiTheme="minorHAnsi"/>
          <w:sz w:val="24"/>
          <w:szCs w:val="24"/>
          <w:lang w:val="en-GB"/>
        </w:rPr>
        <w:t xml:space="preserve"> the best interest of the child is not protected in the situation at stake as</w:t>
      </w:r>
      <w:r w:rsidR="00574280" w:rsidRPr="0059606A">
        <w:rPr>
          <w:rFonts w:asciiTheme="minorHAnsi" w:eastAsia="Segoe UI" w:hAnsiTheme="minorHAnsi"/>
          <w:sz w:val="24"/>
          <w:szCs w:val="24"/>
          <w:lang w:val="en-GB"/>
        </w:rPr>
        <w:t xml:space="preserve"> – in the responding </w:t>
      </w:r>
      <w:r w:rsidR="00DC4ED7">
        <w:rPr>
          <w:rFonts w:asciiTheme="minorHAnsi" w:eastAsia="Segoe UI" w:hAnsiTheme="minorHAnsi"/>
          <w:sz w:val="24"/>
          <w:szCs w:val="24"/>
          <w:lang w:val="en-GB"/>
        </w:rPr>
        <w:t>E</w:t>
      </w:r>
      <w:r w:rsidR="00574280" w:rsidRPr="0059606A">
        <w:rPr>
          <w:rFonts w:asciiTheme="minorHAnsi" w:eastAsia="Segoe UI" w:hAnsiTheme="minorHAnsi"/>
          <w:sz w:val="24"/>
          <w:szCs w:val="24"/>
          <w:lang w:val="en-GB"/>
        </w:rPr>
        <w:t xml:space="preserve">quality </w:t>
      </w:r>
      <w:r w:rsidR="00DC4ED7">
        <w:rPr>
          <w:rFonts w:asciiTheme="minorHAnsi" w:eastAsia="Segoe UI" w:hAnsiTheme="minorHAnsi"/>
          <w:sz w:val="24"/>
          <w:szCs w:val="24"/>
          <w:lang w:val="en-GB"/>
        </w:rPr>
        <w:t>B</w:t>
      </w:r>
      <w:r w:rsidR="00574280" w:rsidRPr="0059606A">
        <w:rPr>
          <w:rFonts w:asciiTheme="minorHAnsi" w:eastAsia="Segoe UI" w:hAnsiTheme="minorHAnsi"/>
          <w:sz w:val="24"/>
          <w:szCs w:val="24"/>
          <w:lang w:val="en-GB"/>
        </w:rPr>
        <w:t xml:space="preserve">odies’ opinion – </w:t>
      </w:r>
      <w:r w:rsidRPr="0059606A">
        <w:rPr>
          <w:rFonts w:asciiTheme="minorHAnsi" w:eastAsia="Segoe UI" w:hAnsiTheme="minorHAnsi"/>
          <w:sz w:val="24"/>
          <w:szCs w:val="24"/>
          <w:lang w:val="en-GB"/>
        </w:rPr>
        <w:t xml:space="preserve"> </w:t>
      </w:r>
      <w:r w:rsidRPr="000E3BD4">
        <w:rPr>
          <w:rStyle w:val="Emphasis"/>
        </w:rPr>
        <w:t>it is in his/her best interest to have ties to both parents legally recognised</w:t>
      </w:r>
      <w:r w:rsidRPr="0059606A">
        <w:rPr>
          <w:rFonts w:asciiTheme="minorHAnsi" w:eastAsia="Segoe UI" w:hAnsiTheme="minorHAnsi"/>
          <w:sz w:val="24"/>
          <w:szCs w:val="24"/>
          <w:lang w:val="en-GB"/>
        </w:rPr>
        <w:t xml:space="preserve">. By non-recognising both parents, </w:t>
      </w:r>
      <w:r w:rsidRPr="000E3BD4">
        <w:rPr>
          <w:rStyle w:val="Emphasis"/>
        </w:rPr>
        <w:t>the child is deprived of his or her right to personal identity</w:t>
      </w:r>
      <w:r w:rsidRPr="0059606A">
        <w:rPr>
          <w:rFonts w:asciiTheme="minorHAnsi" w:eastAsia="Segoe UI" w:hAnsiTheme="minorHAnsi"/>
          <w:sz w:val="24"/>
          <w:szCs w:val="24"/>
          <w:lang w:val="en-GB"/>
        </w:rPr>
        <w:t>. What’s more</w:t>
      </w:r>
      <w:r w:rsidR="002A6615" w:rsidRPr="0059606A">
        <w:rPr>
          <w:rFonts w:asciiTheme="minorHAnsi" w:eastAsia="Segoe UI" w:hAnsiTheme="minorHAnsi"/>
          <w:sz w:val="24"/>
          <w:szCs w:val="24"/>
          <w:lang w:val="en-GB"/>
        </w:rPr>
        <w:t xml:space="preserve">, </w:t>
      </w:r>
      <w:r w:rsidR="002A6615" w:rsidRPr="000E3BD4">
        <w:rPr>
          <w:rStyle w:val="Emphasis"/>
        </w:rPr>
        <w:t>the</w:t>
      </w:r>
      <w:r w:rsidRPr="000E3BD4">
        <w:rPr>
          <w:rStyle w:val="Emphasis"/>
        </w:rPr>
        <w:t xml:space="preserve"> child’s rights </w:t>
      </w:r>
      <w:r w:rsidRPr="000E3BD4">
        <w:rPr>
          <w:rStyle w:val="Emphasis"/>
        </w:rPr>
        <w:lastRenderedPageBreak/>
        <w:t xml:space="preserve">derived from a parent’s obligation to contribute to a child´s upbringing, care duties and the duty to pay </w:t>
      </w:r>
      <w:r w:rsidR="00E84217" w:rsidRPr="000E3BD4">
        <w:rPr>
          <w:rStyle w:val="Emphasis"/>
        </w:rPr>
        <w:t>alimonies</w:t>
      </w:r>
      <w:r w:rsidRPr="000E3BD4">
        <w:rPr>
          <w:rStyle w:val="Emphasis"/>
        </w:rPr>
        <w:t xml:space="preserve"> as well as the child’s inheritance rights might be affected</w:t>
      </w:r>
      <w:r w:rsidRPr="0059606A">
        <w:rPr>
          <w:rFonts w:asciiTheme="minorHAnsi" w:eastAsia="Segoe UI" w:hAnsiTheme="minorHAnsi"/>
          <w:sz w:val="24"/>
          <w:szCs w:val="24"/>
          <w:lang w:val="en-GB"/>
        </w:rPr>
        <w:t xml:space="preserve"> in case one parent is not legally recognised as a parent. As explained by the responding </w:t>
      </w:r>
      <w:r w:rsidR="00585AA5">
        <w:rPr>
          <w:rFonts w:asciiTheme="minorHAnsi" w:eastAsia="Segoe UI" w:hAnsiTheme="minorHAnsi"/>
          <w:sz w:val="24"/>
          <w:szCs w:val="24"/>
          <w:lang w:val="en-GB"/>
        </w:rPr>
        <w:t>E</w:t>
      </w:r>
      <w:r w:rsidRPr="0059606A">
        <w:rPr>
          <w:rFonts w:asciiTheme="minorHAnsi" w:eastAsia="Segoe UI" w:hAnsiTheme="minorHAnsi"/>
          <w:sz w:val="24"/>
          <w:szCs w:val="24"/>
          <w:lang w:val="en-GB"/>
        </w:rPr>
        <w:t xml:space="preserve">quality </w:t>
      </w:r>
      <w:r w:rsidR="00585AA5">
        <w:rPr>
          <w:rFonts w:asciiTheme="minorHAnsi" w:eastAsia="Segoe UI" w:hAnsiTheme="minorHAnsi"/>
          <w:sz w:val="24"/>
          <w:szCs w:val="24"/>
          <w:lang w:val="en-GB"/>
        </w:rPr>
        <w:t>B</w:t>
      </w:r>
      <w:r w:rsidRPr="0059606A">
        <w:rPr>
          <w:rFonts w:asciiTheme="minorHAnsi" w:eastAsia="Segoe UI" w:hAnsiTheme="minorHAnsi"/>
          <w:sz w:val="24"/>
          <w:szCs w:val="24"/>
          <w:lang w:val="en-GB"/>
        </w:rPr>
        <w:t>odies</w:t>
      </w:r>
      <w:r w:rsidR="005B10EE" w:rsidRPr="0059606A">
        <w:rPr>
          <w:rFonts w:asciiTheme="minorHAnsi" w:eastAsia="Segoe UI" w:hAnsiTheme="minorHAnsi"/>
          <w:sz w:val="24"/>
          <w:szCs w:val="24"/>
          <w:lang w:val="en-GB"/>
        </w:rPr>
        <w:t>,</w:t>
      </w:r>
      <w:r w:rsidRPr="0059606A">
        <w:rPr>
          <w:rFonts w:asciiTheme="minorHAnsi" w:eastAsia="Segoe UI" w:hAnsiTheme="minorHAnsi"/>
          <w:sz w:val="24"/>
          <w:szCs w:val="24"/>
          <w:lang w:val="en-GB"/>
        </w:rPr>
        <w:t xml:space="preserve"> a legal situation at stake leads also to</w:t>
      </w:r>
      <w:r w:rsidRPr="0059606A">
        <w:rPr>
          <w:rFonts w:asciiTheme="minorHAnsi" w:eastAsia="Segoe UI" w:hAnsiTheme="minorHAnsi"/>
          <w:b/>
          <w:bCs/>
          <w:sz w:val="24"/>
          <w:szCs w:val="24"/>
          <w:lang w:val="en-GB"/>
        </w:rPr>
        <w:t xml:space="preserve"> </w:t>
      </w:r>
      <w:r w:rsidRPr="00585AA5">
        <w:rPr>
          <w:rStyle w:val="Emphasis"/>
        </w:rPr>
        <w:t xml:space="preserve">the discrimination </w:t>
      </w:r>
      <w:r w:rsidR="0093326C" w:rsidRPr="00585AA5">
        <w:rPr>
          <w:rStyle w:val="Emphasis"/>
        </w:rPr>
        <w:t xml:space="preserve">by association </w:t>
      </w:r>
      <w:r w:rsidRPr="00585AA5">
        <w:rPr>
          <w:rStyle w:val="Emphasis"/>
        </w:rPr>
        <w:t>of these children</w:t>
      </w:r>
      <w:r w:rsidR="0093326C" w:rsidRPr="0059606A">
        <w:rPr>
          <w:rFonts w:asciiTheme="minorHAnsi" w:eastAsia="Segoe UI" w:hAnsiTheme="minorHAnsi"/>
          <w:b/>
          <w:bCs/>
          <w:sz w:val="24"/>
          <w:szCs w:val="24"/>
          <w:lang w:val="en-GB"/>
        </w:rPr>
        <w:t xml:space="preserve"> </w:t>
      </w:r>
      <w:r w:rsidR="0093326C" w:rsidRPr="0059606A">
        <w:rPr>
          <w:rFonts w:asciiTheme="minorHAnsi" w:eastAsia="Segoe UI" w:hAnsiTheme="minorHAnsi"/>
          <w:sz w:val="24"/>
          <w:szCs w:val="24"/>
          <w:lang w:val="en-GB"/>
        </w:rPr>
        <w:t>caused by the sexual orientation of the parents (as compared to minor Polish citizens who are children of parents of different sexes, in which case receiving the travel document with two parents indicated would be possible)</w:t>
      </w:r>
      <w:r w:rsidRPr="0059606A">
        <w:rPr>
          <w:rFonts w:asciiTheme="minorHAnsi" w:eastAsia="Segoe UI" w:hAnsiTheme="minorHAnsi"/>
          <w:b/>
          <w:bCs/>
          <w:sz w:val="24"/>
          <w:szCs w:val="24"/>
          <w:lang w:val="en-GB"/>
        </w:rPr>
        <w:t xml:space="preserve"> </w:t>
      </w:r>
      <w:r w:rsidRPr="003D3A83">
        <w:rPr>
          <w:rStyle w:val="Emphasis"/>
        </w:rPr>
        <w:t>and interferes with their freedom of movement under EU law</w:t>
      </w:r>
      <w:r w:rsidRPr="0059606A">
        <w:rPr>
          <w:rFonts w:asciiTheme="minorHAnsi" w:eastAsia="Segoe UI" w:hAnsiTheme="minorHAnsi"/>
          <w:sz w:val="24"/>
          <w:szCs w:val="24"/>
          <w:lang w:val="en-GB"/>
        </w:rPr>
        <w:t xml:space="preserve"> to the extent the impossibility to enter same-sex parents in civil status documents makes it impossible for </w:t>
      </w:r>
      <w:r w:rsidR="0093326C" w:rsidRPr="0059606A">
        <w:rPr>
          <w:rFonts w:asciiTheme="minorHAnsi" w:eastAsia="Segoe UI" w:hAnsiTheme="minorHAnsi"/>
          <w:sz w:val="24"/>
          <w:szCs w:val="24"/>
          <w:lang w:val="en-GB"/>
        </w:rPr>
        <w:t xml:space="preserve">such </w:t>
      </w:r>
      <w:r w:rsidRPr="0059606A">
        <w:rPr>
          <w:rFonts w:asciiTheme="minorHAnsi" w:eastAsia="Segoe UI" w:hAnsiTheme="minorHAnsi"/>
          <w:sz w:val="24"/>
          <w:szCs w:val="24"/>
          <w:lang w:val="en-GB"/>
        </w:rPr>
        <w:t xml:space="preserve">a minor Union citizen to have issued documents required for travel containing data of both same-sex parents. Without a personal identity card or </w:t>
      </w:r>
      <w:r w:rsidR="183542CC" w:rsidRPr="0059606A">
        <w:rPr>
          <w:rFonts w:asciiTheme="minorHAnsi" w:eastAsia="Segoe UI" w:hAnsiTheme="minorHAnsi"/>
          <w:sz w:val="24"/>
          <w:szCs w:val="24"/>
          <w:lang w:val="en-GB"/>
        </w:rPr>
        <w:t>national registration</w:t>
      </w:r>
      <w:r w:rsidRPr="0059606A">
        <w:rPr>
          <w:rFonts w:asciiTheme="minorHAnsi" w:eastAsia="Segoe UI" w:hAnsiTheme="minorHAnsi"/>
          <w:sz w:val="24"/>
          <w:szCs w:val="24"/>
          <w:lang w:val="en-GB"/>
        </w:rPr>
        <w:t xml:space="preserve"> number, also a </w:t>
      </w:r>
      <w:r w:rsidRPr="002825CC">
        <w:rPr>
          <w:rStyle w:val="Emphasis"/>
        </w:rPr>
        <w:t>child’s right to public and/or private health care and other social services is threatened</w:t>
      </w:r>
      <w:r w:rsidRPr="0059606A">
        <w:rPr>
          <w:rFonts w:asciiTheme="minorHAnsi" w:eastAsia="Segoe UI" w:hAnsiTheme="minorHAnsi"/>
          <w:sz w:val="24"/>
          <w:szCs w:val="24"/>
          <w:lang w:val="en-GB"/>
        </w:rPr>
        <w:t xml:space="preserve">. The lack of a national personal identity card, being a result of refusal of recognition of parenthood, may cause </w:t>
      </w:r>
      <w:r w:rsidRPr="005B79CC">
        <w:rPr>
          <w:rStyle w:val="Emphasis"/>
        </w:rPr>
        <w:t>problems with proving the legality of stay</w:t>
      </w:r>
      <w:r w:rsidRPr="0059606A">
        <w:rPr>
          <w:rFonts w:asciiTheme="minorHAnsi" w:eastAsia="Segoe UI" w:hAnsiTheme="minorHAnsi"/>
          <w:sz w:val="24"/>
          <w:szCs w:val="24"/>
          <w:lang w:val="en-GB"/>
        </w:rPr>
        <w:t xml:space="preserve"> in the given Member State and </w:t>
      </w:r>
      <w:r w:rsidRPr="005B79CC">
        <w:rPr>
          <w:rStyle w:val="Emphasis"/>
        </w:rPr>
        <w:t>constitutes a disproportionate interference with the right to have a personal identity card and the right to respect for private and family life</w:t>
      </w:r>
      <w:r w:rsidRPr="0059606A">
        <w:rPr>
          <w:rFonts w:asciiTheme="minorHAnsi" w:eastAsia="Segoe UI" w:hAnsiTheme="minorHAnsi"/>
          <w:sz w:val="24"/>
          <w:szCs w:val="24"/>
          <w:lang w:val="en-GB"/>
        </w:rPr>
        <w:t xml:space="preserve"> of the minor and his/her parents.  </w:t>
      </w:r>
    </w:p>
    <w:p w14:paraId="301EC42A" w14:textId="2880B38A" w:rsidR="001A4FFB" w:rsidRPr="0059606A" w:rsidRDefault="001A4FFB" w:rsidP="0059606A">
      <w:pPr>
        <w:spacing w:before="120" w:after="120" w:line="360" w:lineRule="auto"/>
        <w:rPr>
          <w:rFonts w:asciiTheme="minorHAnsi" w:eastAsia="Segoe UI" w:hAnsiTheme="minorHAnsi"/>
          <w:sz w:val="24"/>
          <w:szCs w:val="24"/>
          <w:lang w:val="en-GB"/>
        </w:rPr>
      </w:pPr>
      <w:r w:rsidRPr="0059606A">
        <w:rPr>
          <w:rFonts w:asciiTheme="minorHAnsi" w:eastAsia="Segoe UI" w:hAnsiTheme="minorHAnsi"/>
          <w:sz w:val="24"/>
          <w:szCs w:val="24"/>
          <w:lang w:val="en-GB"/>
        </w:rPr>
        <w:t>When it comes to parents’ rights</w:t>
      </w:r>
      <w:r w:rsidR="00077DFA" w:rsidRPr="0059606A">
        <w:rPr>
          <w:rFonts w:asciiTheme="minorHAnsi" w:eastAsia="Segoe UI" w:hAnsiTheme="minorHAnsi"/>
          <w:sz w:val="24"/>
          <w:szCs w:val="24"/>
          <w:lang w:val="en-GB"/>
        </w:rPr>
        <w:t>,</w:t>
      </w:r>
      <w:r w:rsidRPr="0059606A">
        <w:rPr>
          <w:rFonts w:asciiTheme="minorHAnsi" w:eastAsia="Segoe UI" w:hAnsiTheme="minorHAnsi"/>
          <w:sz w:val="24"/>
          <w:szCs w:val="24"/>
          <w:lang w:val="en-GB"/>
        </w:rPr>
        <w:t xml:space="preserve"> failure to enter a non-biological parent in the identity document of a child as a manifestation of lack of recognition of same-sex parenthood leads to questioning the parental relationship in many situations. This might affect negatively </w:t>
      </w:r>
      <w:r w:rsidRPr="00620A1E">
        <w:rPr>
          <w:rStyle w:val="Emphasis"/>
        </w:rPr>
        <w:t>parents’ right to obtain information about health status of a child</w:t>
      </w:r>
      <w:r w:rsidRPr="0059606A">
        <w:rPr>
          <w:rFonts w:asciiTheme="minorHAnsi" w:eastAsia="Segoe UI" w:hAnsiTheme="minorHAnsi"/>
          <w:sz w:val="24"/>
          <w:szCs w:val="24"/>
          <w:lang w:val="en-GB"/>
        </w:rPr>
        <w:t xml:space="preserve"> when hospitalised or when provided healthcare. The obtained answers </w:t>
      </w:r>
      <w:r w:rsidR="0063196F">
        <w:rPr>
          <w:rFonts w:asciiTheme="minorHAnsi" w:eastAsia="Segoe UI" w:hAnsiTheme="minorHAnsi"/>
          <w:sz w:val="24"/>
          <w:szCs w:val="24"/>
          <w:lang w:val="en-GB"/>
        </w:rPr>
        <w:t>also drew attention to the fact that the only reason to refuse to recognise the parental relationship between both parents and the child indicated by the foreign birth certificate in the situation at stake is the fact the parents are of the same sex,</w:t>
      </w:r>
      <w:r w:rsidR="0060438C" w:rsidRPr="0059606A">
        <w:rPr>
          <w:rFonts w:asciiTheme="minorHAnsi" w:eastAsia="Segoe UI" w:hAnsiTheme="minorHAnsi"/>
          <w:sz w:val="24"/>
          <w:szCs w:val="24"/>
          <w:lang w:val="en-GB"/>
        </w:rPr>
        <w:t xml:space="preserve"> indic</w:t>
      </w:r>
      <w:r w:rsidR="00632905" w:rsidRPr="0059606A">
        <w:rPr>
          <w:rFonts w:asciiTheme="minorHAnsi" w:eastAsia="Segoe UI" w:hAnsiTheme="minorHAnsi"/>
          <w:sz w:val="24"/>
          <w:szCs w:val="24"/>
          <w:lang w:val="en-GB"/>
        </w:rPr>
        <w:t>a</w:t>
      </w:r>
      <w:r w:rsidR="0060438C" w:rsidRPr="0059606A">
        <w:rPr>
          <w:rFonts w:asciiTheme="minorHAnsi" w:eastAsia="Segoe UI" w:hAnsiTheme="minorHAnsi"/>
          <w:sz w:val="24"/>
          <w:szCs w:val="24"/>
          <w:lang w:val="en-GB"/>
        </w:rPr>
        <w:t xml:space="preserve">ting </w:t>
      </w:r>
      <w:r w:rsidR="1741A398" w:rsidRPr="00AE76E2">
        <w:rPr>
          <w:rStyle w:val="Emphasis"/>
        </w:rPr>
        <w:t>its</w:t>
      </w:r>
      <w:r w:rsidR="0060438C" w:rsidRPr="00AE76E2">
        <w:rPr>
          <w:rStyle w:val="Emphasis"/>
        </w:rPr>
        <w:t xml:space="preserve"> discriminatory nature</w:t>
      </w:r>
      <w:r w:rsidRPr="0059606A">
        <w:rPr>
          <w:rFonts w:asciiTheme="minorHAnsi" w:eastAsia="Segoe UI" w:hAnsiTheme="minorHAnsi"/>
          <w:sz w:val="24"/>
          <w:szCs w:val="24"/>
          <w:lang w:val="en-GB"/>
        </w:rPr>
        <w:t>.  </w:t>
      </w:r>
    </w:p>
    <w:p w14:paraId="48D4610F" w14:textId="2C4F88F1" w:rsidR="000754E0" w:rsidRDefault="0060438C" w:rsidP="0059606A">
      <w:pPr>
        <w:spacing w:before="120" w:after="120" w:line="360" w:lineRule="auto"/>
        <w:rPr>
          <w:rFonts w:asciiTheme="minorHAnsi" w:eastAsia="Segoe UI" w:hAnsiTheme="minorHAnsi"/>
          <w:sz w:val="24"/>
          <w:szCs w:val="24"/>
          <w:lang w:val="en-GB"/>
        </w:rPr>
      </w:pPr>
      <w:r w:rsidRPr="0059606A">
        <w:rPr>
          <w:rFonts w:asciiTheme="minorHAnsi" w:eastAsia="Segoe UI" w:hAnsiTheme="minorHAnsi"/>
          <w:sz w:val="24"/>
          <w:szCs w:val="24"/>
          <w:lang w:val="en-GB"/>
        </w:rPr>
        <w:t>Far</w:t>
      </w:r>
      <w:r w:rsidR="001A4FFB" w:rsidRPr="0059606A">
        <w:rPr>
          <w:rFonts w:asciiTheme="minorHAnsi" w:eastAsia="Segoe UI" w:hAnsiTheme="minorHAnsi"/>
          <w:sz w:val="24"/>
          <w:szCs w:val="24"/>
          <w:lang w:val="en-GB"/>
        </w:rPr>
        <w:t>-reaching</w:t>
      </w:r>
      <w:r w:rsidR="000754E0" w:rsidRPr="0059606A">
        <w:rPr>
          <w:rFonts w:asciiTheme="minorHAnsi" w:eastAsia="Segoe UI" w:hAnsiTheme="minorHAnsi"/>
          <w:sz w:val="24"/>
          <w:szCs w:val="24"/>
          <w:lang w:val="en-GB"/>
        </w:rPr>
        <w:t xml:space="preserve"> negative consequences </w:t>
      </w:r>
      <w:r w:rsidR="0044001E" w:rsidRPr="0059606A">
        <w:rPr>
          <w:rFonts w:asciiTheme="minorHAnsi" w:eastAsia="Segoe UI" w:hAnsiTheme="minorHAnsi"/>
          <w:sz w:val="24"/>
          <w:szCs w:val="24"/>
          <w:lang w:val="en-GB"/>
        </w:rPr>
        <w:t>of refusal of recognition of same-sex parenthood</w:t>
      </w:r>
      <w:r w:rsidRPr="0059606A">
        <w:rPr>
          <w:rFonts w:asciiTheme="minorHAnsi" w:eastAsia="Segoe UI" w:hAnsiTheme="minorHAnsi"/>
          <w:sz w:val="24"/>
          <w:szCs w:val="24"/>
          <w:lang w:val="en-GB"/>
        </w:rPr>
        <w:t xml:space="preserve"> described above</w:t>
      </w:r>
      <w:r w:rsidR="0044001E" w:rsidRPr="0059606A">
        <w:rPr>
          <w:rFonts w:asciiTheme="minorHAnsi" w:eastAsia="Segoe UI" w:hAnsiTheme="minorHAnsi"/>
          <w:sz w:val="24"/>
          <w:szCs w:val="24"/>
          <w:lang w:val="en-GB"/>
        </w:rPr>
        <w:t xml:space="preserve"> </w:t>
      </w:r>
      <w:r w:rsidR="0093326C" w:rsidRPr="0059606A">
        <w:rPr>
          <w:rFonts w:asciiTheme="minorHAnsi" w:eastAsia="Segoe UI" w:hAnsiTheme="minorHAnsi"/>
          <w:sz w:val="24"/>
          <w:szCs w:val="24"/>
          <w:lang w:val="en-GB"/>
        </w:rPr>
        <w:t>are</w:t>
      </w:r>
      <w:r w:rsidR="0044001E" w:rsidRPr="0059606A">
        <w:rPr>
          <w:rFonts w:asciiTheme="minorHAnsi" w:eastAsia="Segoe UI" w:hAnsiTheme="minorHAnsi"/>
          <w:sz w:val="24"/>
          <w:szCs w:val="24"/>
          <w:lang w:val="en-GB"/>
        </w:rPr>
        <w:t xml:space="preserve"> amplified </w:t>
      </w:r>
      <w:r w:rsidR="10C2AE24" w:rsidRPr="0059606A">
        <w:rPr>
          <w:rFonts w:asciiTheme="minorHAnsi" w:eastAsia="Segoe UI" w:hAnsiTheme="minorHAnsi"/>
          <w:sz w:val="24"/>
          <w:szCs w:val="24"/>
          <w:lang w:val="en-GB"/>
        </w:rPr>
        <w:t>by the</w:t>
      </w:r>
      <w:r w:rsidRPr="0059606A">
        <w:rPr>
          <w:rFonts w:asciiTheme="minorHAnsi" w:eastAsia="Segoe UI" w:hAnsiTheme="minorHAnsi"/>
          <w:sz w:val="24"/>
          <w:szCs w:val="24"/>
          <w:lang w:val="en-GB"/>
        </w:rPr>
        <w:t xml:space="preserve"> </w:t>
      </w:r>
      <w:r w:rsidR="0044001E" w:rsidRPr="0059606A">
        <w:rPr>
          <w:rFonts w:asciiTheme="minorHAnsi" w:eastAsia="Segoe UI" w:hAnsiTheme="minorHAnsi"/>
          <w:sz w:val="24"/>
          <w:szCs w:val="24"/>
          <w:lang w:val="en-GB"/>
        </w:rPr>
        <w:t>lack of legal remedies available for the individuals at stake.</w:t>
      </w:r>
      <w:r w:rsidR="000754E0" w:rsidRPr="0059606A">
        <w:rPr>
          <w:rFonts w:asciiTheme="minorHAnsi" w:eastAsia="Segoe UI" w:hAnsiTheme="minorHAnsi"/>
          <w:sz w:val="24"/>
          <w:szCs w:val="24"/>
          <w:lang w:val="en-GB"/>
        </w:rPr>
        <w:t xml:space="preserve"> In this context</w:t>
      </w:r>
      <w:r w:rsidR="4E3A5DC0" w:rsidRPr="0059606A">
        <w:rPr>
          <w:rFonts w:asciiTheme="minorHAnsi" w:eastAsia="Segoe UI" w:hAnsiTheme="minorHAnsi"/>
          <w:sz w:val="24"/>
          <w:szCs w:val="24"/>
          <w:lang w:val="en-GB"/>
        </w:rPr>
        <w:t>,</w:t>
      </w:r>
      <w:r w:rsidR="000754E0" w:rsidRPr="0059606A">
        <w:rPr>
          <w:rFonts w:asciiTheme="minorHAnsi" w:eastAsia="Segoe UI" w:hAnsiTheme="minorHAnsi"/>
          <w:sz w:val="24"/>
          <w:szCs w:val="24"/>
          <w:lang w:val="en-GB"/>
        </w:rPr>
        <w:t xml:space="preserve"> o</w:t>
      </w:r>
      <w:r w:rsidR="00BB28B6" w:rsidRPr="0059606A">
        <w:rPr>
          <w:rFonts w:asciiTheme="minorHAnsi" w:eastAsia="Segoe UI" w:hAnsiTheme="minorHAnsi"/>
          <w:sz w:val="24"/>
          <w:szCs w:val="24"/>
          <w:lang w:val="en-GB"/>
        </w:rPr>
        <w:t>nly the Polish Commissioner indicated th</w:t>
      </w:r>
      <w:r w:rsidR="5B8B810D" w:rsidRPr="0059606A">
        <w:rPr>
          <w:rFonts w:asciiTheme="minorHAnsi" w:eastAsia="Segoe UI" w:hAnsiTheme="minorHAnsi"/>
          <w:sz w:val="24"/>
          <w:szCs w:val="24"/>
          <w:lang w:val="en-GB"/>
        </w:rPr>
        <w:t>at</w:t>
      </w:r>
      <w:r w:rsidR="62CFA8C5" w:rsidRPr="0059606A">
        <w:rPr>
          <w:rFonts w:asciiTheme="minorHAnsi" w:eastAsia="Segoe UI" w:hAnsiTheme="minorHAnsi"/>
          <w:sz w:val="24"/>
          <w:szCs w:val="24"/>
          <w:lang w:val="en-GB"/>
        </w:rPr>
        <w:t xml:space="preserve"> the relevant authorities may still issue a personal identity card </w:t>
      </w:r>
      <w:r w:rsidR="143FC8E3" w:rsidRPr="0059606A">
        <w:rPr>
          <w:rFonts w:asciiTheme="minorHAnsi" w:eastAsia="Segoe UI" w:hAnsiTheme="minorHAnsi"/>
          <w:sz w:val="24"/>
          <w:szCs w:val="24"/>
          <w:lang w:val="en-GB"/>
        </w:rPr>
        <w:t xml:space="preserve">in those cases where the State </w:t>
      </w:r>
      <w:r w:rsidR="4E5CDCEA" w:rsidRPr="0059606A">
        <w:rPr>
          <w:rFonts w:asciiTheme="minorHAnsi" w:eastAsia="Segoe UI" w:hAnsiTheme="minorHAnsi"/>
          <w:sz w:val="24"/>
          <w:szCs w:val="24"/>
          <w:lang w:val="en-GB"/>
        </w:rPr>
        <w:t xml:space="preserve">refuse to transcribe a foreign birth certificate recognising same-sex parenthood. </w:t>
      </w:r>
      <w:r w:rsidR="00BB28B6" w:rsidRPr="0059606A">
        <w:rPr>
          <w:rFonts w:asciiTheme="minorHAnsi" w:eastAsia="Segoe UI" w:hAnsiTheme="minorHAnsi"/>
          <w:sz w:val="24"/>
          <w:szCs w:val="24"/>
          <w:lang w:val="en-GB"/>
        </w:rPr>
        <w:t xml:space="preserve"> </w:t>
      </w:r>
    </w:p>
    <w:p w14:paraId="144C5CF2" w14:textId="77777777" w:rsidR="00D31970" w:rsidRDefault="00D31970" w:rsidP="001A32A5">
      <w:pPr>
        <w:spacing w:before="360" w:after="120" w:line="360" w:lineRule="auto"/>
        <w:ind w:left="397" w:right="397"/>
        <w:rPr>
          <w:rFonts w:asciiTheme="minorHAnsi" w:eastAsia="Segoe UI" w:hAnsiTheme="minorHAnsi"/>
          <w:sz w:val="24"/>
          <w:szCs w:val="24"/>
          <w:lang w:val="en-GB"/>
        </w:rPr>
      </w:pPr>
    </w:p>
    <w:p w14:paraId="37442469" w14:textId="3A937A01" w:rsidR="00D31970" w:rsidRPr="00D31970" w:rsidRDefault="00D31970" w:rsidP="00BE00D4">
      <w:pPr>
        <w:spacing w:before="360" w:after="120" w:line="360" w:lineRule="auto"/>
        <w:ind w:left="397" w:right="397"/>
        <w:rPr>
          <w:rFonts w:asciiTheme="minorHAnsi" w:eastAsia="Segoe UI" w:hAnsiTheme="minorHAnsi"/>
          <w:b/>
          <w:bCs/>
          <w:sz w:val="24"/>
          <w:szCs w:val="24"/>
          <w:lang w:val="en-GB"/>
        </w:rPr>
      </w:pPr>
      <w:r>
        <w:rPr>
          <w:noProof/>
          <w:lang w:val="en-GB"/>
        </w:rPr>
        <w:lastRenderedPageBreak/>
        <mc:AlternateContent>
          <mc:Choice Requires="wps">
            <w:drawing>
              <wp:anchor distT="0" distB="0" distL="114300" distR="114300" simplePos="0" relativeHeight="251658252" behindDoc="1" locked="0" layoutInCell="1" allowOverlap="1" wp14:anchorId="505ECFC1" wp14:editId="0C030826">
                <wp:simplePos x="0" y="0"/>
                <wp:positionH relativeFrom="column">
                  <wp:posOffset>0</wp:posOffset>
                </wp:positionH>
                <wp:positionV relativeFrom="paragraph">
                  <wp:posOffset>-49428</wp:posOffset>
                </wp:positionV>
                <wp:extent cx="5711190" cy="6808573"/>
                <wp:effectExtent l="0" t="0" r="3810" b="0"/>
                <wp:wrapNone/>
                <wp:docPr id="2081019905"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1190" cy="6808573"/>
                        </a:xfrm>
                        <a:prstGeom prst="rect">
                          <a:avLst/>
                        </a:prstGeom>
                        <a:solidFill>
                          <a:srgbClr val="E6DFF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126EB" id="Rectangle 1" o:spid="_x0000_s1026" alt="&quot;&quot;" style="position:absolute;margin-left:0;margin-top:-3.9pt;width:449.7pt;height:536.1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" fillcolor="#e6dff9" stroked="f" strokeweight="1pt"/>
            </w:pict>
          </mc:Fallback>
        </mc:AlternateContent>
      </w:r>
      <w:r w:rsidRPr="00D31970">
        <w:rPr>
          <w:rFonts w:asciiTheme="minorHAnsi" w:eastAsia="Segoe UI" w:hAnsiTheme="minorHAnsi"/>
          <w:b/>
          <w:bCs/>
          <w:sz w:val="24"/>
          <w:szCs w:val="24"/>
          <w:lang w:val="en-GB"/>
        </w:rPr>
        <w:t>Example: Poland</w:t>
      </w:r>
    </w:p>
    <w:p w14:paraId="05DC358F" w14:textId="73B6736A" w:rsidR="00AE63DE" w:rsidRPr="0059606A" w:rsidRDefault="00AE63DE" w:rsidP="001A32A5">
      <w:pPr>
        <w:spacing w:before="360" w:after="120" w:line="360" w:lineRule="auto"/>
        <w:ind w:left="397" w:right="397"/>
        <w:rPr>
          <w:rFonts w:asciiTheme="minorHAnsi" w:eastAsia="Segoe UI" w:hAnsiTheme="minorHAnsi"/>
          <w:sz w:val="24"/>
          <w:szCs w:val="24"/>
          <w:lang w:val="en-GB"/>
        </w:rPr>
      </w:pPr>
      <w:r w:rsidRPr="0059606A">
        <w:rPr>
          <w:rFonts w:asciiTheme="minorHAnsi" w:eastAsia="Segoe UI" w:hAnsiTheme="minorHAnsi"/>
          <w:sz w:val="24"/>
          <w:szCs w:val="24"/>
          <w:lang w:val="en-GB"/>
        </w:rPr>
        <w:t xml:space="preserve">According to the resolution of the Supreme Administrative Court, case file no. act II OPS 1/19 the fact that the child's foreign birth certificate contains data of same-sex parents (specifically: instead of the father's data, there were the data of the woman living in a partnership with the child's mother, a Polish citizen, which partnership is not known to Polish law) may not lead to impossibility to obtain i.a. a personal identity card. It was emphasized that due to the need to protect children's rights, administrative bodies should apply the relevant Polish law in such a manner so as to issue a Polish document to a citizen based only on a foreign birth certificate, if persons of the same sex are entered therein as parents, which, in the opinion of the court, makes the transcription of the certificate impossible. A Polish citizen with a foreign birth certificate may therefore use such a certificate in administrative and court proceedings (decision of the administrative bodies may be appealed against to the Voivodeship Administrative Court) as well as exercise the rights the acquisition of which is dependent on presenting a civil status document, even if it has not been transcribed. </w:t>
      </w:r>
    </w:p>
    <w:p w14:paraId="55A209FE" w14:textId="798D6F10" w:rsidR="007146D3" w:rsidRPr="00AE63DE" w:rsidRDefault="00AE63DE" w:rsidP="001A32A5">
      <w:pPr>
        <w:spacing w:before="120" w:after="360" w:line="360" w:lineRule="auto"/>
        <w:ind w:left="397" w:right="397"/>
        <w:rPr>
          <w:rFonts w:asciiTheme="minorHAnsi" w:eastAsia="Segoe UI" w:hAnsiTheme="minorHAnsi"/>
          <w:sz w:val="24"/>
          <w:szCs w:val="24"/>
          <w:lang w:val="en-GB"/>
        </w:rPr>
      </w:pPr>
      <w:r w:rsidRPr="0059606A">
        <w:rPr>
          <w:rFonts w:asciiTheme="minorHAnsi" w:eastAsia="Segoe UI" w:hAnsiTheme="minorHAnsi"/>
          <w:sz w:val="24"/>
          <w:szCs w:val="24"/>
          <w:lang w:val="en-GB"/>
        </w:rPr>
        <w:t>Similarly, the Minister of the Interior stated that in the event transcription has been refused due to the parenthood of same-sex persons indicated in the foreign birth certificate, the basis for issuing a personal identity card shall be the foreign birth certificate itself. If the child's foreign birth certificate indicates two same-sex parents, the personal identity card shall contain the details of – respectively – the woman who is the child's biological mother or the men who is the child's biological father and the box for the second parent’s data should be left blank.  </w:t>
      </w:r>
    </w:p>
    <w:p w14:paraId="6EB4C0A2" w14:textId="11244623" w:rsidR="00CA1527" w:rsidRPr="00B070CE" w:rsidRDefault="317C6241" w:rsidP="00B070CE">
      <w:pPr>
        <w:spacing w:before="120" w:after="120" w:line="360" w:lineRule="auto"/>
        <w:rPr>
          <w:rFonts w:asciiTheme="minorHAnsi" w:eastAsia="Segoe UI" w:hAnsiTheme="minorHAnsi"/>
          <w:sz w:val="24"/>
          <w:szCs w:val="24"/>
          <w:lang w:val="en-GB"/>
        </w:rPr>
      </w:pPr>
      <w:r w:rsidRPr="0059606A">
        <w:rPr>
          <w:rFonts w:asciiTheme="minorHAnsi" w:eastAsia="Segoe UI" w:hAnsiTheme="minorHAnsi"/>
          <w:sz w:val="24"/>
          <w:szCs w:val="24"/>
          <w:lang w:val="en-GB"/>
        </w:rPr>
        <w:t>It is</w:t>
      </w:r>
      <w:r w:rsidR="00642A7F">
        <w:rPr>
          <w:rFonts w:asciiTheme="minorHAnsi" w:eastAsia="Segoe UI" w:hAnsiTheme="minorHAnsi"/>
          <w:sz w:val="24"/>
          <w:szCs w:val="24"/>
          <w:lang w:val="en-GB"/>
        </w:rPr>
        <w:t xml:space="preserve"> </w:t>
      </w:r>
      <w:r w:rsidR="00BB28B6" w:rsidRPr="0059606A">
        <w:rPr>
          <w:rFonts w:asciiTheme="minorHAnsi" w:eastAsia="Segoe UI" w:hAnsiTheme="minorHAnsi"/>
          <w:sz w:val="24"/>
          <w:szCs w:val="24"/>
          <w:lang w:val="en-GB"/>
        </w:rPr>
        <w:t xml:space="preserve">worth noting that the inadmissibility of refusal to issue a personal identity card by the relevant authorities dependent on the transcription of a document, confirmed by the Supreme Administrative Court’s resolution, is consistent with findings of the CJEU in </w:t>
      </w:r>
      <w:r w:rsidR="00BB28B6" w:rsidRPr="00DE4AF5">
        <w:rPr>
          <w:rStyle w:val="Emphasis"/>
        </w:rPr>
        <w:t>Rzecznik Praw Obywatelskich</w:t>
      </w:r>
      <w:r w:rsidR="00BB28B6" w:rsidRPr="0059606A">
        <w:rPr>
          <w:rFonts w:asciiTheme="minorHAnsi" w:eastAsia="Segoe UI" w:hAnsiTheme="minorHAnsi"/>
          <w:sz w:val="24"/>
          <w:szCs w:val="24"/>
          <w:lang w:val="en-GB"/>
        </w:rPr>
        <w:t xml:space="preserve">. </w:t>
      </w:r>
      <w:r w:rsidR="0AC3FE37" w:rsidRPr="0059606A">
        <w:rPr>
          <w:rFonts w:asciiTheme="minorHAnsi" w:eastAsia="Segoe UI" w:hAnsiTheme="minorHAnsi"/>
          <w:sz w:val="24"/>
          <w:szCs w:val="24"/>
          <w:lang w:val="en-GB"/>
        </w:rPr>
        <w:t>Nevertheless,</w:t>
      </w:r>
      <w:r w:rsidR="00BB28B6" w:rsidRPr="0059606A">
        <w:rPr>
          <w:rFonts w:asciiTheme="minorHAnsi" w:eastAsia="Segoe UI" w:hAnsiTheme="minorHAnsi"/>
          <w:sz w:val="24"/>
          <w:szCs w:val="24"/>
          <w:lang w:val="en-GB"/>
        </w:rPr>
        <w:t xml:space="preserve"> entering the name only of one parent results in partial protection of the parental relationship, namely only those between the child and of his/her parent indicated in the identity card</w:t>
      </w:r>
      <w:r w:rsidR="0044001E" w:rsidRPr="0059606A">
        <w:rPr>
          <w:rFonts w:asciiTheme="minorHAnsi" w:eastAsia="Segoe UI" w:hAnsiTheme="minorHAnsi"/>
          <w:sz w:val="24"/>
          <w:szCs w:val="24"/>
          <w:lang w:val="en-GB"/>
        </w:rPr>
        <w:t xml:space="preserve"> giving rise to negative consequences described above.</w:t>
      </w:r>
      <w:r w:rsidR="00BB28B6" w:rsidRPr="0059606A">
        <w:rPr>
          <w:rFonts w:asciiTheme="minorHAnsi" w:eastAsia="Segoe UI" w:hAnsiTheme="minorHAnsi"/>
          <w:sz w:val="24"/>
          <w:szCs w:val="24"/>
          <w:lang w:val="en-GB"/>
        </w:rPr>
        <w:t>  </w:t>
      </w:r>
    </w:p>
    <w:p w14:paraId="3C027C18" w14:textId="77777777" w:rsidR="0093014B" w:rsidRDefault="0093014B" w:rsidP="00351577">
      <w:pPr>
        <w:spacing w:before="120" w:after="120" w:line="360" w:lineRule="auto"/>
        <w:rPr>
          <w:rFonts w:asciiTheme="minorHAnsi" w:eastAsia="Segoe UI" w:hAnsiTheme="minorHAnsi" w:cstheme="minorHAnsi"/>
          <w:sz w:val="24"/>
          <w:szCs w:val="24"/>
          <w:lang w:val="en-GB"/>
        </w:rPr>
        <w:sectPr w:rsidR="0093014B" w:rsidSect="006C1178">
          <w:footerReference w:type="default" r:id="rId32"/>
          <w:pgSz w:w="11906" w:h="16838"/>
          <w:pgMar w:top="1440" w:right="1440" w:bottom="1440" w:left="1440" w:header="708" w:footer="708" w:gutter="0"/>
          <w:cols w:space="708"/>
          <w:docGrid w:linePitch="360"/>
        </w:sectPr>
      </w:pPr>
    </w:p>
    <w:p w14:paraId="26A07722" w14:textId="5B32E383" w:rsidR="0093014B" w:rsidRPr="00F5185D" w:rsidRDefault="00694F9B" w:rsidP="00F5185D">
      <w:pPr>
        <w:pStyle w:val="Heading1"/>
        <w:spacing w:before="10400" w:after="120" w:line="360" w:lineRule="auto"/>
        <w:rPr>
          <w:color w:val="auto"/>
          <w:sz w:val="24"/>
          <w:szCs w:val="24"/>
        </w:rPr>
        <w:sectPr w:rsidR="0093014B" w:rsidRPr="00F5185D" w:rsidSect="006C1178">
          <w:footerReference w:type="default" r:id="rId33"/>
          <w:pgSz w:w="11906" w:h="16838"/>
          <w:pgMar w:top="1440" w:right="1440" w:bottom="1440" w:left="1440" w:header="708" w:footer="708" w:gutter="0"/>
          <w:cols w:space="708"/>
          <w:docGrid w:linePitch="360"/>
        </w:sectPr>
      </w:pPr>
      <w:bookmarkStart w:id="37" w:name="_Toc157782143"/>
      <w:r w:rsidRPr="00277719">
        <w:rPr>
          <w:noProof/>
          <w:sz w:val="100"/>
          <w:szCs w:val="100"/>
        </w:rPr>
        <w:lastRenderedPageBreak/>
        <w:drawing>
          <wp:anchor distT="0" distB="0" distL="114300" distR="114300" simplePos="0" relativeHeight="251658244" behindDoc="0" locked="0" layoutInCell="1" allowOverlap="1" wp14:anchorId="7DEB62E2" wp14:editId="41EFE093">
            <wp:simplePos x="0" y="0"/>
            <wp:positionH relativeFrom="margin">
              <wp:posOffset>-6794938</wp:posOffset>
            </wp:positionH>
            <wp:positionV relativeFrom="paragraph">
              <wp:posOffset>3846786</wp:posOffset>
            </wp:positionV>
            <wp:extent cx="15706725" cy="1943100"/>
            <wp:effectExtent l="0" t="0" r="9525" b="0"/>
            <wp:wrapNone/>
            <wp:docPr id="644713531" name="Picture 644713531" descr="P12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124#y1">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0672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5B1A">
        <w:rPr>
          <w:noProof/>
        </w:rPr>
        <w:drawing>
          <wp:anchor distT="0" distB="0" distL="114300" distR="114300" simplePos="0" relativeHeight="251658240" behindDoc="1" locked="0" layoutInCell="1" allowOverlap="1" wp14:anchorId="70902C8A" wp14:editId="04B6707F">
            <wp:simplePos x="0" y="0"/>
            <wp:positionH relativeFrom="column">
              <wp:posOffset>-1750498</wp:posOffset>
            </wp:positionH>
            <wp:positionV relativeFrom="paragraph">
              <wp:posOffset>-914400</wp:posOffset>
            </wp:positionV>
            <wp:extent cx="9619778" cy="5391807"/>
            <wp:effectExtent l="0" t="0" r="635" b="0"/>
            <wp:wrapNone/>
            <wp:docPr id="139616105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161058" name="Picture 4">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619778" cy="5391807"/>
                    </a:xfrm>
                    <a:prstGeom prst="rect">
                      <a:avLst/>
                    </a:prstGeom>
                  </pic:spPr>
                </pic:pic>
              </a:graphicData>
            </a:graphic>
            <wp14:sizeRelH relativeFrom="page">
              <wp14:pctWidth>0</wp14:pctWidth>
            </wp14:sizeRelH>
            <wp14:sizeRelV relativeFrom="page">
              <wp14:pctHeight>0</wp14:pctHeight>
            </wp14:sizeRelV>
          </wp:anchor>
        </w:drawing>
      </w:r>
      <w:r w:rsidR="0093014B">
        <w:t>Conclusion</w:t>
      </w:r>
      <w:bookmarkEnd w:id="37"/>
    </w:p>
    <w:p w14:paraId="1A170C1B" w14:textId="77CC547B" w:rsidR="00CA1527" w:rsidRPr="00F5185D" w:rsidRDefault="00F5185D" w:rsidP="00F5185D">
      <w:pPr>
        <w:spacing w:before="120" w:after="120" w:line="360" w:lineRule="auto"/>
        <w:rPr>
          <w:rFonts w:asciiTheme="minorHAnsi" w:eastAsia="Segoe UI" w:hAnsiTheme="minorHAnsi"/>
          <w:sz w:val="24"/>
          <w:szCs w:val="24"/>
          <w:lang w:val="en-GB"/>
        </w:rPr>
      </w:pPr>
      <w:r w:rsidRPr="00F5185D">
        <w:rPr>
          <w:rStyle w:val="normaltextrun"/>
          <w:rFonts w:cs="Calibri"/>
          <w:sz w:val="24"/>
          <w:szCs w:val="24"/>
          <w:shd w:val="clear" w:color="auto" w:fill="FFFFFF"/>
          <w:lang w:val="en-GB"/>
        </w:rPr>
        <w:lastRenderedPageBreak/>
        <w:t xml:space="preserve">The past years have highlighted some significant European legal breakthrough regarding the protection of rainbow families on the move in the EU, including the Coman and V.M.A cases, as well as the introduction of a proposed EC regulation on mutual parenthood recognition. However, reality on the ground and national practices show that rainbow families are still facing significant administrative and legal obstacles within the EU, to ensure equal and fair recognition in the framework of EU freedom of movement laws. In some countries, </w:t>
      </w:r>
      <w:r w:rsidR="00317319">
        <w:rPr>
          <w:rStyle w:val="normaltextrun"/>
          <w:rFonts w:cs="Calibri"/>
          <w:sz w:val="24"/>
          <w:szCs w:val="24"/>
          <w:shd w:val="clear" w:color="auto" w:fill="FFFFFF"/>
          <w:lang w:val="en-GB"/>
        </w:rPr>
        <w:t>E</w:t>
      </w:r>
      <w:r w:rsidRPr="00F5185D">
        <w:rPr>
          <w:rStyle w:val="normaltextrun"/>
          <w:rFonts w:cs="Calibri"/>
          <w:sz w:val="24"/>
          <w:szCs w:val="24"/>
          <w:shd w:val="clear" w:color="auto" w:fill="FFFFFF"/>
          <w:lang w:val="en-GB"/>
        </w:rPr>
        <w:t>quality</w:t>
      </w:r>
      <w:r w:rsidR="00317319">
        <w:rPr>
          <w:rStyle w:val="normaltextrun"/>
          <w:rFonts w:cs="Calibri"/>
          <w:sz w:val="24"/>
          <w:szCs w:val="24"/>
          <w:shd w:val="clear" w:color="auto" w:fill="FFFFFF"/>
          <w:lang w:val="en-GB"/>
        </w:rPr>
        <w:t xml:space="preserve"> B</w:t>
      </w:r>
      <w:r w:rsidRPr="00F5185D">
        <w:rPr>
          <w:rStyle w:val="normaltextrun"/>
          <w:rFonts w:cs="Calibri"/>
          <w:sz w:val="24"/>
          <w:szCs w:val="24"/>
          <w:shd w:val="clear" w:color="auto" w:fill="FFFFFF"/>
          <w:lang w:val="en-GB"/>
        </w:rPr>
        <w:t xml:space="preserve">odies are already active for a stronger recognition of rainbow families. When tackling under-reporting and if given a proper mandate to act, </w:t>
      </w:r>
      <w:r w:rsidR="00613B17">
        <w:rPr>
          <w:rStyle w:val="normaltextrun"/>
          <w:rFonts w:cs="Calibri"/>
          <w:sz w:val="24"/>
          <w:szCs w:val="24"/>
          <w:shd w:val="clear" w:color="auto" w:fill="FFFFFF"/>
          <w:lang w:val="en-GB"/>
        </w:rPr>
        <w:t>E</w:t>
      </w:r>
      <w:r w:rsidRPr="00F5185D">
        <w:rPr>
          <w:rStyle w:val="normaltextrun"/>
          <w:rFonts w:cs="Calibri"/>
          <w:sz w:val="24"/>
          <w:szCs w:val="24"/>
          <w:shd w:val="clear" w:color="auto" w:fill="FFFFFF"/>
          <w:lang w:val="en-GB"/>
        </w:rPr>
        <w:t xml:space="preserve">quality </w:t>
      </w:r>
      <w:r w:rsidR="00613B17">
        <w:rPr>
          <w:rStyle w:val="normaltextrun"/>
          <w:rFonts w:cs="Calibri"/>
          <w:sz w:val="24"/>
          <w:szCs w:val="24"/>
          <w:shd w:val="clear" w:color="auto" w:fill="FFFFFF"/>
          <w:lang w:val="en-GB"/>
        </w:rPr>
        <w:t>B</w:t>
      </w:r>
      <w:r w:rsidRPr="00F5185D">
        <w:rPr>
          <w:rStyle w:val="normaltextrun"/>
          <w:rFonts w:cs="Calibri"/>
          <w:sz w:val="24"/>
          <w:szCs w:val="24"/>
          <w:shd w:val="clear" w:color="auto" w:fill="FFFFFF"/>
          <w:lang w:val="en-GB"/>
        </w:rPr>
        <w:t>odies could be key allies to ensure rainbow families in the EU are given adequate legal and administrative tools for protection. </w:t>
      </w:r>
      <w:r w:rsidRPr="00F5185D">
        <w:rPr>
          <w:rStyle w:val="eop"/>
          <w:rFonts w:cs="Calibri"/>
          <w:sz w:val="24"/>
          <w:szCs w:val="24"/>
          <w:shd w:val="clear" w:color="auto" w:fill="FFFFFF"/>
        </w:rPr>
        <w:t> </w:t>
      </w:r>
    </w:p>
    <w:sectPr w:rsidR="00CA1527" w:rsidRPr="00F5185D">
      <w:foot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963A0" w14:textId="77777777" w:rsidR="006C1178" w:rsidRDefault="006C1178" w:rsidP="008D64E6">
      <w:pPr>
        <w:spacing w:after="0" w:line="240" w:lineRule="auto"/>
      </w:pPr>
      <w:r>
        <w:separator/>
      </w:r>
    </w:p>
  </w:endnote>
  <w:endnote w:type="continuationSeparator" w:id="0">
    <w:p w14:paraId="02EC79CA" w14:textId="77777777" w:rsidR="006C1178" w:rsidRDefault="006C1178" w:rsidP="008D64E6">
      <w:pPr>
        <w:spacing w:after="0" w:line="240" w:lineRule="auto"/>
      </w:pPr>
      <w:r>
        <w:continuationSeparator/>
      </w:r>
    </w:p>
  </w:endnote>
  <w:endnote w:type="continuationNotice" w:id="1">
    <w:p w14:paraId="04D5E8DD" w14:textId="77777777" w:rsidR="006C1178" w:rsidRDefault="006C11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INPro-Bold">
    <w:panose1 w:val="02000503030000020004"/>
    <w:charset w:val="00"/>
    <w:family w:val="modern"/>
    <w:notTrueType/>
    <w:pitch w:val="variable"/>
    <w:sig w:usb0="800002AF" w:usb1="4000206A" w:usb2="00000000" w:usb3="00000000" w:csb0="0000009F" w:csb1="00000000"/>
  </w:font>
  <w:font w:name="DINPro-Regular">
    <w:panose1 w:val="02000503030000020004"/>
    <w:charset w:val="00"/>
    <w:family w:val="modern"/>
    <w:notTrueType/>
    <w:pitch w:val="variable"/>
    <w:sig w:usb0="800002AF" w:usb1="4000206A"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DINPro-Light">
    <w:panose1 w:val="02000504040000020003"/>
    <w:charset w:val="00"/>
    <w:family w:val="modern"/>
    <w:notTrueType/>
    <w:pitch w:val="variable"/>
    <w:sig w:usb0="800002AF" w:usb1="4000206A" w:usb2="00000000" w:usb3="00000000" w:csb0="0000009F" w:csb1="00000000"/>
  </w:font>
  <w:font w:name="DIN-LightItalicAlt">
    <w:panose1 w:val="00000000000000000000"/>
    <w:charset w:val="00"/>
    <w:family w:val="modern"/>
    <w:notTrueType/>
    <w:pitch w:val="variable"/>
    <w:sig w:usb0="A000002F" w:usb1="4000004A" w:usb2="00000000" w:usb3="00000000" w:csb0="00000111" w:csb1="00000000"/>
  </w:font>
  <w:font w:name="Yu Mincho">
    <w:charset w:val="80"/>
    <w:family w:val="roman"/>
    <w:pitch w:val="variable"/>
    <w:sig w:usb0="800002E7" w:usb1="2AC7FCFF" w:usb2="00000012" w:usb3="00000000" w:csb0="0002009F" w:csb1="00000000"/>
  </w:font>
  <w:font w:name="Roboto">
    <w:panose1 w:val="02000000000000000000"/>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7BE2A19" w14:paraId="424F5D37" w14:textId="77777777" w:rsidTr="00020302">
      <w:trPr>
        <w:trHeight w:val="300"/>
      </w:trPr>
      <w:tc>
        <w:tcPr>
          <w:tcW w:w="3005" w:type="dxa"/>
        </w:tcPr>
        <w:p w14:paraId="0CDBA654" w14:textId="0A0FA69D" w:rsidR="77BE2A19" w:rsidRDefault="77BE2A19" w:rsidP="00020302">
          <w:pPr>
            <w:pStyle w:val="Header"/>
            <w:ind w:left="-115"/>
          </w:pPr>
        </w:p>
      </w:tc>
      <w:tc>
        <w:tcPr>
          <w:tcW w:w="3005" w:type="dxa"/>
        </w:tcPr>
        <w:p w14:paraId="6721035E" w14:textId="52F63D79" w:rsidR="77BE2A19" w:rsidRDefault="77BE2A19" w:rsidP="00020302">
          <w:pPr>
            <w:pStyle w:val="Header"/>
            <w:jc w:val="center"/>
          </w:pPr>
        </w:p>
      </w:tc>
      <w:tc>
        <w:tcPr>
          <w:tcW w:w="3005" w:type="dxa"/>
        </w:tcPr>
        <w:p w14:paraId="05EA3CF0" w14:textId="194B5379" w:rsidR="77BE2A19" w:rsidRDefault="77BE2A19" w:rsidP="00020302">
          <w:pPr>
            <w:pStyle w:val="Header"/>
            <w:ind w:right="-115"/>
            <w:jc w:val="right"/>
          </w:pPr>
        </w:p>
      </w:tc>
    </w:tr>
  </w:tbl>
  <w:p w14:paraId="77F09EAA" w14:textId="23F31C16" w:rsidR="77BE2A19" w:rsidRDefault="77BE2A19" w:rsidP="0002030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5F527" w14:textId="77777777" w:rsidR="00EE596A" w:rsidRDefault="00EE596A" w:rsidP="0002030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9773833"/>
      <w:docPartObj>
        <w:docPartGallery w:val="Page Numbers (Bottom of Page)"/>
        <w:docPartUnique/>
      </w:docPartObj>
    </w:sdtPr>
    <w:sdtEndPr>
      <w:rPr>
        <w:noProof/>
      </w:rPr>
    </w:sdtEndPr>
    <w:sdtContent>
      <w:p w14:paraId="0DA0FCEB" w14:textId="77777777" w:rsidR="00EE596A" w:rsidRDefault="00EE596A" w:rsidP="00EE596A">
        <w:pPr>
          <w:pStyle w:val="Footer"/>
          <w:jc w:val="right"/>
        </w:pPr>
        <w:r w:rsidRPr="006D43B2">
          <w:rPr>
            <w:rFonts w:ascii="DINPro-Bold" w:hAnsi="DINPro-Bold"/>
            <w:noProof/>
            <w:color w:val="22489E"/>
          </w:rPr>
          <mc:AlternateContent>
            <mc:Choice Requires="wps">
              <w:drawing>
                <wp:anchor distT="0" distB="0" distL="114300" distR="114300" simplePos="0" relativeHeight="251658249" behindDoc="0" locked="0" layoutInCell="1" allowOverlap="1" wp14:anchorId="2BC89D3A" wp14:editId="4A4486B9">
                  <wp:simplePos x="0" y="0"/>
                  <wp:positionH relativeFrom="column">
                    <wp:posOffset>5790565</wp:posOffset>
                  </wp:positionH>
                  <wp:positionV relativeFrom="paragraph">
                    <wp:posOffset>9998</wp:posOffset>
                  </wp:positionV>
                  <wp:extent cx="10160" cy="900000"/>
                  <wp:effectExtent l="19050" t="19050" r="27940" b="33655"/>
                  <wp:wrapNone/>
                  <wp:docPr id="1073477322" name="Straight Connector 10734773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0160" cy="900000"/>
                          </a:xfrm>
                          <a:prstGeom prst="line">
                            <a:avLst/>
                          </a:prstGeom>
                          <a:ln w="38100">
                            <a:solidFill>
                              <a:srgbClr val="22489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dec="http://schemas.microsoft.com/office/drawing/2017/decorative" xmlns:a="http://schemas.openxmlformats.org/drawingml/2006/main">
              <w:pict>
                <v:line id="Straight Connector 1073477322"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22489e" strokeweight="3pt" from="455.95pt,.8pt" to="456.75pt,71.65pt" w14:anchorId="36C869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">
                  <v:stroke joinstyle="miter"/>
                </v:line>
              </w:pict>
            </mc:Fallback>
          </mc:AlternateContent>
        </w:r>
        <w:r>
          <w:fldChar w:fldCharType="begin"/>
        </w:r>
        <w:r>
          <w:instrText xml:space="preserve"> PAGE   \* MERGEFORMAT </w:instrText>
        </w:r>
        <w:r>
          <w:fldChar w:fldCharType="separate"/>
        </w:r>
        <w:r>
          <w:t>iv</w:t>
        </w:r>
        <w:r>
          <w:rPr>
            <w:noProof/>
          </w:rPr>
          <w:fldChar w:fldCharType="end"/>
        </w:r>
      </w:p>
    </w:sdtContent>
  </w:sdt>
  <w:p w14:paraId="74138455" w14:textId="77777777" w:rsidR="00EE596A" w:rsidRDefault="00EE596A" w:rsidP="0002030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22783" w14:textId="77777777" w:rsidR="0093014B" w:rsidRDefault="0093014B" w:rsidP="0002030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7723242"/>
      <w:docPartObj>
        <w:docPartGallery w:val="Page Numbers (Bottom of Page)"/>
        <w:docPartUnique/>
      </w:docPartObj>
    </w:sdtPr>
    <w:sdtEndPr>
      <w:rPr>
        <w:noProof/>
      </w:rPr>
    </w:sdtEndPr>
    <w:sdtContent>
      <w:p w14:paraId="686B6042" w14:textId="77777777" w:rsidR="0093014B" w:rsidRDefault="0093014B" w:rsidP="00EE596A">
        <w:pPr>
          <w:pStyle w:val="Footer"/>
          <w:jc w:val="right"/>
        </w:pPr>
        <w:r w:rsidRPr="006D43B2">
          <w:rPr>
            <w:rFonts w:ascii="DINPro-Bold" w:hAnsi="DINPro-Bold"/>
            <w:noProof/>
            <w:color w:val="22489E"/>
          </w:rPr>
          <mc:AlternateContent>
            <mc:Choice Requires="wps">
              <w:drawing>
                <wp:anchor distT="0" distB="0" distL="114300" distR="114300" simplePos="0" relativeHeight="251658250" behindDoc="0" locked="0" layoutInCell="1" allowOverlap="1" wp14:anchorId="35C4DFED" wp14:editId="5CCF4C41">
                  <wp:simplePos x="0" y="0"/>
                  <wp:positionH relativeFrom="column">
                    <wp:posOffset>5790565</wp:posOffset>
                  </wp:positionH>
                  <wp:positionV relativeFrom="paragraph">
                    <wp:posOffset>9998</wp:posOffset>
                  </wp:positionV>
                  <wp:extent cx="10160" cy="900000"/>
                  <wp:effectExtent l="19050" t="19050" r="27940" b="33655"/>
                  <wp:wrapNone/>
                  <wp:docPr id="920473090" name="Straight Connector 9204730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0160" cy="900000"/>
                          </a:xfrm>
                          <a:prstGeom prst="line">
                            <a:avLst/>
                          </a:prstGeom>
                          <a:ln w="38100">
                            <a:solidFill>
                              <a:srgbClr val="22489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dec="http://schemas.microsoft.com/office/drawing/2017/decorative" xmlns:a="http://schemas.openxmlformats.org/drawingml/2006/main">
              <w:pict>
                <v:line id="Straight Connector 920473090" style="position:absolute;flip:x;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22489e" strokeweight="3pt" from="455.95pt,.8pt" to="456.75pt,71.65pt" w14:anchorId="16E453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">
                  <v:stroke joinstyle="miter"/>
                </v:line>
              </w:pict>
            </mc:Fallback>
          </mc:AlternateContent>
        </w:r>
        <w:r>
          <w:fldChar w:fldCharType="begin"/>
        </w:r>
        <w:r>
          <w:instrText xml:space="preserve"> PAGE   \* MERGEFORMAT </w:instrText>
        </w:r>
        <w:r>
          <w:fldChar w:fldCharType="separate"/>
        </w:r>
        <w:r>
          <w:t>iv</w:t>
        </w:r>
        <w:r>
          <w:rPr>
            <w:noProof/>
          </w:rPr>
          <w:fldChar w:fldCharType="end"/>
        </w:r>
      </w:p>
    </w:sdtContent>
  </w:sdt>
  <w:p w14:paraId="7A58A528" w14:textId="77777777" w:rsidR="0093014B" w:rsidRDefault="0093014B" w:rsidP="000203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4942C5" w14:paraId="36FB70E7" w14:textId="77777777" w:rsidTr="00020302">
      <w:trPr>
        <w:trHeight w:val="300"/>
      </w:trPr>
      <w:tc>
        <w:tcPr>
          <w:tcW w:w="3005" w:type="dxa"/>
        </w:tcPr>
        <w:p w14:paraId="714EB28A" w14:textId="560AEACA" w:rsidR="004942C5" w:rsidRDefault="004942C5" w:rsidP="00020302">
          <w:pPr>
            <w:pStyle w:val="Header"/>
            <w:ind w:left="-115"/>
          </w:pPr>
          <w:r w:rsidRPr="00CA1527">
            <w:rPr>
              <w:noProof/>
              <w:lang w:val="en-GB"/>
            </w:rPr>
            <w:drawing>
              <wp:anchor distT="0" distB="0" distL="114300" distR="114300" simplePos="0" relativeHeight="251658240" behindDoc="0" locked="0" layoutInCell="1" allowOverlap="1" wp14:anchorId="62A340DD" wp14:editId="16EEF3E1">
                <wp:simplePos x="0" y="0"/>
                <wp:positionH relativeFrom="margin">
                  <wp:posOffset>852170</wp:posOffset>
                </wp:positionH>
                <wp:positionV relativeFrom="paragraph">
                  <wp:posOffset>9314180</wp:posOffset>
                </wp:positionV>
                <wp:extent cx="1903730" cy="756920"/>
                <wp:effectExtent l="0" t="0" r="0" b="0"/>
                <wp:wrapNone/>
                <wp:docPr id="1335610079" name="Picture 1335610079" descr="Equine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Equinet">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03730" cy="7569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05" w:type="dxa"/>
        </w:tcPr>
        <w:p w14:paraId="73243CAF" w14:textId="7E98D8D8" w:rsidR="004942C5" w:rsidRDefault="004942C5" w:rsidP="00020302">
          <w:pPr>
            <w:pStyle w:val="Header"/>
            <w:jc w:val="center"/>
          </w:pPr>
          <w:r>
            <w:rPr>
              <w:noProof/>
            </w:rPr>
            <w:drawing>
              <wp:anchor distT="0" distB="0" distL="114300" distR="114300" simplePos="0" relativeHeight="251658243" behindDoc="0" locked="0" layoutInCell="1" allowOverlap="1" wp14:anchorId="2B8B0452" wp14:editId="66245BBA">
                <wp:simplePos x="0" y="0"/>
                <wp:positionH relativeFrom="column">
                  <wp:posOffset>2824745</wp:posOffset>
                </wp:positionH>
                <wp:positionV relativeFrom="paragraph">
                  <wp:posOffset>9253182</wp:posOffset>
                </wp:positionV>
                <wp:extent cx="1771015" cy="371475"/>
                <wp:effectExtent l="0" t="0" r="0" b="9525"/>
                <wp:wrapNone/>
                <wp:docPr id="133025693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508273" name="Picture 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771015" cy="371475"/>
                        </a:xfrm>
                        <a:prstGeom prst="rect">
                          <a:avLst/>
                        </a:prstGeom>
                      </pic:spPr>
                    </pic:pic>
                  </a:graphicData>
                </a:graphic>
                <wp14:sizeRelH relativeFrom="page">
                  <wp14:pctWidth>0</wp14:pctWidth>
                </wp14:sizeRelH>
                <wp14:sizeRelV relativeFrom="page">
                  <wp14:pctHeight>0</wp14:pctHeight>
                </wp14:sizeRelV>
              </wp:anchor>
            </w:drawing>
          </w:r>
        </w:p>
      </w:tc>
      <w:tc>
        <w:tcPr>
          <w:tcW w:w="3005" w:type="dxa"/>
        </w:tcPr>
        <w:p w14:paraId="5039082C" w14:textId="6BA9B795" w:rsidR="004942C5" w:rsidRDefault="004942C5" w:rsidP="00020302">
          <w:pPr>
            <w:pStyle w:val="Header"/>
            <w:ind w:right="-115"/>
            <w:jc w:val="right"/>
          </w:pPr>
          <w:r>
            <w:rPr>
              <w:noProof/>
            </w:rPr>
            <w:drawing>
              <wp:anchor distT="0" distB="0" distL="114300" distR="114300" simplePos="0" relativeHeight="251658242" behindDoc="0" locked="0" layoutInCell="1" allowOverlap="1" wp14:anchorId="0E4ABCCB" wp14:editId="06193E56">
                <wp:simplePos x="0" y="0"/>
                <wp:positionH relativeFrom="column">
                  <wp:posOffset>66040</wp:posOffset>
                </wp:positionH>
                <wp:positionV relativeFrom="paragraph">
                  <wp:posOffset>3894455</wp:posOffset>
                </wp:positionV>
                <wp:extent cx="1771015" cy="371475"/>
                <wp:effectExtent l="0" t="0" r="0" b="9525"/>
                <wp:wrapNone/>
                <wp:docPr id="13481200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06876"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771015" cy="371475"/>
                        </a:xfrm>
                        <a:prstGeom prst="rect">
                          <a:avLst/>
                        </a:prstGeom>
                      </pic:spPr>
                    </pic:pic>
                  </a:graphicData>
                </a:graphic>
                <wp14:sizeRelH relativeFrom="page">
                  <wp14:pctWidth>0</wp14:pctWidth>
                </wp14:sizeRelH>
                <wp14:sizeRelV relativeFrom="page">
                  <wp14:pctHeight>0</wp14:pctHeight>
                </wp14:sizeRelV>
              </wp:anchor>
            </w:drawing>
          </w:r>
        </w:p>
      </w:tc>
    </w:tr>
  </w:tbl>
  <w:p w14:paraId="67271D7D" w14:textId="3FD8C231" w:rsidR="004942C5" w:rsidRDefault="00A84B5C" w:rsidP="00020302">
    <w:pPr>
      <w:pStyle w:val="Footer"/>
    </w:pPr>
    <w:r>
      <w:rPr>
        <w:noProof/>
        <w:lang w:val="en-GB"/>
      </w:rPr>
      <w:drawing>
        <wp:anchor distT="0" distB="0" distL="114300" distR="114300" simplePos="0" relativeHeight="251658244" behindDoc="0" locked="0" layoutInCell="1" allowOverlap="1" wp14:anchorId="03B6D460" wp14:editId="080FA1F7">
          <wp:simplePos x="0" y="0"/>
          <wp:positionH relativeFrom="column">
            <wp:posOffset>3848735</wp:posOffset>
          </wp:positionH>
          <wp:positionV relativeFrom="paragraph">
            <wp:posOffset>-702455</wp:posOffset>
          </wp:positionV>
          <wp:extent cx="1825097" cy="382773"/>
          <wp:effectExtent l="0" t="0" r="0" b="0"/>
          <wp:wrapNone/>
          <wp:docPr id="91545512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213133"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825097" cy="382773"/>
                  </a:xfrm>
                  <a:prstGeom prst="rect">
                    <a:avLst/>
                  </a:prstGeom>
                </pic:spPr>
              </pic:pic>
            </a:graphicData>
          </a:graphic>
          <wp14:sizeRelH relativeFrom="page">
            <wp14:pctWidth>0</wp14:pctWidth>
          </wp14:sizeRelH>
          <wp14:sizeRelV relativeFrom="page">
            <wp14:pctHeight>0</wp14:pctHeight>
          </wp14:sizeRelV>
        </wp:anchor>
      </w:drawing>
    </w:r>
    <w:r w:rsidRPr="00CA1527">
      <w:rPr>
        <w:noProof/>
        <w:lang w:val="en-GB"/>
      </w:rPr>
      <w:drawing>
        <wp:anchor distT="0" distB="0" distL="114300" distR="114300" simplePos="0" relativeHeight="251658241" behindDoc="0" locked="0" layoutInCell="1" allowOverlap="1" wp14:anchorId="4623569D" wp14:editId="2B32C0F6">
          <wp:simplePos x="0" y="0"/>
          <wp:positionH relativeFrom="margin">
            <wp:posOffset>0</wp:posOffset>
          </wp:positionH>
          <wp:positionV relativeFrom="paragraph">
            <wp:posOffset>-821690</wp:posOffset>
          </wp:positionV>
          <wp:extent cx="1576705" cy="626745"/>
          <wp:effectExtent l="0" t="0" r="0" b="0"/>
          <wp:wrapNone/>
          <wp:docPr id="1924071250" name="Picture 1924071250" descr="Equine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Equinet">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76705" cy="62674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0408593"/>
      <w:docPartObj>
        <w:docPartGallery w:val="Page Numbers (Bottom of Page)"/>
        <w:docPartUnique/>
      </w:docPartObj>
    </w:sdtPr>
    <w:sdtEndPr>
      <w:rPr>
        <w:noProof/>
      </w:rPr>
    </w:sdtEndPr>
    <w:sdtContent>
      <w:p w14:paraId="1FF60005" w14:textId="77777777" w:rsidR="00EE596A" w:rsidRDefault="00EE596A" w:rsidP="00EE596A">
        <w:pPr>
          <w:pStyle w:val="Footer"/>
          <w:jc w:val="right"/>
        </w:pPr>
        <w:r w:rsidRPr="006D43B2">
          <w:rPr>
            <w:rFonts w:ascii="DINPro-Bold" w:hAnsi="DINPro-Bold"/>
            <w:noProof/>
            <w:color w:val="22489E"/>
          </w:rPr>
          <mc:AlternateContent>
            <mc:Choice Requires="wps">
              <w:drawing>
                <wp:anchor distT="0" distB="0" distL="114300" distR="114300" simplePos="0" relativeHeight="251658245" behindDoc="0" locked="0" layoutInCell="1" allowOverlap="1" wp14:anchorId="3B6B93E3" wp14:editId="42A289E8">
                  <wp:simplePos x="0" y="0"/>
                  <wp:positionH relativeFrom="column">
                    <wp:posOffset>5790565</wp:posOffset>
                  </wp:positionH>
                  <wp:positionV relativeFrom="paragraph">
                    <wp:posOffset>9998</wp:posOffset>
                  </wp:positionV>
                  <wp:extent cx="10160" cy="900000"/>
                  <wp:effectExtent l="19050" t="19050" r="27940" b="33655"/>
                  <wp:wrapNone/>
                  <wp:docPr id="1600489671" name="Straight Connector 16004896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0160" cy="900000"/>
                          </a:xfrm>
                          <a:prstGeom prst="line">
                            <a:avLst/>
                          </a:prstGeom>
                          <a:ln w="38100">
                            <a:solidFill>
                              <a:srgbClr val="22489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dec="http://schemas.microsoft.com/office/drawing/2017/decorative" xmlns:a="http://schemas.openxmlformats.org/drawingml/2006/main">
              <w:pict>
                <v:line id="Straight Connector 1600489671"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22489e" strokeweight="3pt" from="455.95pt,.8pt" to="456.75pt,71.65pt" w14:anchorId="5E2A57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">
                  <v:stroke joinstyle="miter"/>
                </v:line>
              </w:pict>
            </mc:Fallback>
          </mc:AlternateContent>
        </w:r>
        <w:r>
          <w:fldChar w:fldCharType="begin"/>
        </w:r>
        <w:r>
          <w:instrText xml:space="preserve"> PAGE   \* MERGEFORMAT </w:instrText>
        </w:r>
        <w:r>
          <w:fldChar w:fldCharType="separate"/>
        </w:r>
        <w:r>
          <w:t>iv</w:t>
        </w:r>
        <w:r>
          <w:rPr>
            <w:noProof/>
          </w:rPr>
          <w:fldChar w:fldCharType="end"/>
        </w:r>
      </w:p>
    </w:sdtContent>
  </w:sdt>
  <w:p w14:paraId="75AC24D6" w14:textId="77777777" w:rsidR="002E14DA" w:rsidRDefault="002E14DA" w:rsidP="0002030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B1A44" w14:textId="77777777" w:rsidR="00EE596A" w:rsidRPr="00EE596A" w:rsidRDefault="00EE596A" w:rsidP="00EE596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8865820"/>
      <w:docPartObj>
        <w:docPartGallery w:val="Page Numbers (Bottom of Page)"/>
        <w:docPartUnique/>
      </w:docPartObj>
    </w:sdtPr>
    <w:sdtEndPr>
      <w:rPr>
        <w:noProof/>
      </w:rPr>
    </w:sdtEndPr>
    <w:sdtContent>
      <w:p w14:paraId="6F28ACAC" w14:textId="77777777" w:rsidR="00EE596A" w:rsidRDefault="00EE596A" w:rsidP="00EE596A">
        <w:pPr>
          <w:pStyle w:val="Footer"/>
          <w:jc w:val="right"/>
        </w:pPr>
        <w:r w:rsidRPr="006D43B2">
          <w:rPr>
            <w:rFonts w:ascii="DINPro-Bold" w:hAnsi="DINPro-Bold"/>
            <w:noProof/>
            <w:color w:val="22489E"/>
          </w:rPr>
          <mc:AlternateContent>
            <mc:Choice Requires="wps">
              <w:drawing>
                <wp:anchor distT="0" distB="0" distL="114300" distR="114300" simplePos="0" relativeHeight="251658246" behindDoc="0" locked="0" layoutInCell="1" allowOverlap="1" wp14:anchorId="57227E95" wp14:editId="615F09C5">
                  <wp:simplePos x="0" y="0"/>
                  <wp:positionH relativeFrom="column">
                    <wp:posOffset>5790565</wp:posOffset>
                  </wp:positionH>
                  <wp:positionV relativeFrom="paragraph">
                    <wp:posOffset>9998</wp:posOffset>
                  </wp:positionV>
                  <wp:extent cx="10160" cy="900000"/>
                  <wp:effectExtent l="19050" t="19050" r="27940" b="33655"/>
                  <wp:wrapNone/>
                  <wp:docPr id="1720804373" name="Straight Connector 17208043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0160" cy="900000"/>
                          </a:xfrm>
                          <a:prstGeom prst="line">
                            <a:avLst/>
                          </a:prstGeom>
                          <a:ln w="38100">
                            <a:solidFill>
                              <a:srgbClr val="22489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dec="http://schemas.microsoft.com/office/drawing/2017/decorative" xmlns:a="http://schemas.openxmlformats.org/drawingml/2006/main">
              <w:pict>
                <v:line id="Straight Connector 1720804373"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22489e" strokeweight="3pt" from="455.95pt,.8pt" to="456.75pt,71.65pt" w14:anchorId="1B28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">
                  <v:stroke joinstyle="miter"/>
                </v:line>
              </w:pict>
            </mc:Fallback>
          </mc:AlternateContent>
        </w:r>
        <w:r>
          <w:fldChar w:fldCharType="begin"/>
        </w:r>
        <w:r>
          <w:instrText xml:space="preserve"> PAGE   \* MERGEFORMAT </w:instrText>
        </w:r>
        <w:r>
          <w:fldChar w:fldCharType="separate"/>
        </w:r>
        <w:r>
          <w:t>iv</w:t>
        </w:r>
        <w:r>
          <w:rPr>
            <w:noProof/>
          </w:rPr>
          <w:fldChar w:fldCharType="end"/>
        </w:r>
      </w:p>
    </w:sdtContent>
  </w:sdt>
  <w:p w14:paraId="0675253E" w14:textId="77777777" w:rsidR="00EE596A" w:rsidRDefault="00EE596A" w:rsidP="0002030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C2D85" w14:textId="77777777" w:rsidR="00EE596A" w:rsidRDefault="00EE596A" w:rsidP="0002030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3067875"/>
      <w:docPartObj>
        <w:docPartGallery w:val="Page Numbers (Bottom of Page)"/>
        <w:docPartUnique/>
      </w:docPartObj>
    </w:sdtPr>
    <w:sdtEndPr>
      <w:rPr>
        <w:noProof/>
      </w:rPr>
    </w:sdtEndPr>
    <w:sdtContent>
      <w:p w14:paraId="555978BB" w14:textId="77777777" w:rsidR="00EE596A" w:rsidRDefault="00EE596A" w:rsidP="00EE596A">
        <w:pPr>
          <w:pStyle w:val="Footer"/>
          <w:jc w:val="right"/>
        </w:pPr>
        <w:r w:rsidRPr="006D43B2">
          <w:rPr>
            <w:rFonts w:ascii="DINPro-Bold" w:hAnsi="DINPro-Bold"/>
            <w:noProof/>
            <w:color w:val="22489E"/>
          </w:rPr>
          <mc:AlternateContent>
            <mc:Choice Requires="wps">
              <w:drawing>
                <wp:anchor distT="0" distB="0" distL="114300" distR="114300" simplePos="0" relativeHeight="251658247" behindDoc="0" locked="0" layoutInCell="1" allowOverlap="1" wp14:anchorId="24AF64B0" wp14:editId="77B6787E">
                  <wp:simplePos x="0" y="0"/>
                  <wp:positionH relativeFrom="column">
                    <wp:posOffset>5790565</wp:posOffset>
                  </wp:positionH>
                  <wp:positionV relativeFrom="paragraph">
                    <wp:posOffset>9998</wp:posOffset>
                  </wp:positionV>
                  <wp:extent cx="10160" cy="900000"/>
                  <wp:effectExtent l="19050" t="19050" r="27940" b="33655"/>
                  <wp:wrapNone/>
                  <wp:docPr id="1890238156" name="Straight Connector 18902381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0160" cy="900000"/>
                          </a:xfrm>
                          <a:prstGeom prst="line">
                            <a:avLst/>
                          </a:prstGeom>
                          <a:ln w="38100">
                            <a:solidFill>
                              <a:srgbClr val="22489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dec="http://schemas.microsoft.com/office/drawing/2017/decorative" xmlns:a="http://schemas.openxmlformats.org/drawingml/2006/main">
              <w:pict>
                <v:line id="Straight Connector 189023815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22489e" strokeweight="3pt" from="455.95pt,.8pt" to="456.75pt,71.65pt" w14:anchorId="42F9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">
                  <v:stroke joinstyle="miter"/>
                </v:line>
              </w:pict>
            </mc:Fallback>
          </mc:AlternateContent>
        </w:r>
        <w:r>
          <w:fldChar w:fldCharType="begin"/>
        </w:r>
        <w:r>
          <w:instrText xml:space="preserve"> PAGE   \* MERGEFORMAT </w:instrText>
        </w:r>
        <w:r>
          <w:fldChar w:fldCharType="separate"/>
        </w:r>
        <w:r>
          <w:t>iv</w:t>
        </w:r>
        <w:r>
          <w:rPr>
            <w:noProof/>
          </w:rPr>
          <w:fldChar w:fldCharType="end"/>
        </w:r>
      </w:p>
    </w:sdtContent>
  </w:sdt>
  <w:p w14:paraId="6479834F" w14:textId="77777777" w:rsidR="00EE596A" w:rsidRDefault="00EE596A" w:rsidP="0002030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E62CF" w14:textId="77777777" w:rsidR="00EE596A" w:rsidRDefault="00EE596A" w:rsidP="0002030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6758534"/>
      <w:docPartObj>
        <w:docPartGallery w:val="Page Numbers (Bottom of Page)"/>
        <w:docPartUnique/>
      </w:docPartObj>
    </w:sdtPr>
    <w:sdtEndPr>
      <w:rPr>
        <w:noProof/>
      </w:rPr>
    </w:sdtEndPr>
    <w:sdtContent>
      <w:p w14:paraId="537BBB7A" w14:textId="77777777" w:rsidR="00EE596A" w:rsidRDefault="00EE596A" w:rsidP="00EE596A">
        <w:pPr>
          <w:pStyle w:val="Footer"/>
          <w:jc w:val="right"/>
        </w:pPr>
        <w:r w:rsidRPr="006D43B2">
          <w:rPr>
            <w:rFonts w:ascii="DINPro-Bold" w:hAnsi="DINPro-Bold"/>
            <w:noProof/>
            <w:color w:val="22489E"/>
          </w:rPr>
          <mc:AlternateContent>
            <mc:Choice Requires="wps">
              <w:drawing>
                <wp:anchor distT="0" distB="0" distL="114300" distR="114300" simplePos="0" relativeHeight="251658248" behindDoc="0" locked="0" layoutInCell="1" allowOverlap="1" wp14:anchorId="7E5866ED" wp14:editId="207189E9">
                  <wp:simplePos x="0" y="0"/>
                  <wp:positionH relativeFrom="column">
                    <wp:posOffset>5790565</wp:posOffset>
                  </wp:positionH>
                  <wp:positionV relativeFrom="paragraph">
                    <wp:posOffset>9998</wp:posOffset>
                  </wp:positionV>
                  <wp:extent cx="10160" cy="900000"/>
                  <wp:effectExtent l="19050" t="19050" r="27940" b="33655"/>
                  <wp:wrapNone/>
                  <wp:docPr id="299310485" name="Straight Connector 2993104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0160" cy="900000"/>
                          </a:xfrm>
                          <a:prstGeom prst="line">
                            <a:avLst/>
                          </a:prstGeom>
                          <a:ln w="38100">
                            <a:solidFill>
                              <a:srgbClr val="22489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dec="http://schemas.microsoft.com/office/drawing/2017/decorative" xmlns:a="http://schemas.openxmlformats.org/drawingml/2006/main">
              <w:pict>
                <v:line id="Straight Connector 299310485"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22489e" strokeweight="3pt" from="455.95pt,.8pt" to="456.75pt,71.65pt" w14:anchorId="596191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">
                  <v:stroke joinstyle="miter"/>
                </v:line>
              </w:pict>
            </mc:Fallback>
          </mc:AlternateContent>
        </w:r>
        <w:r>
          <w:fldChar w:fldCharType="begin"/>
        </w:r>
        <w:r>
          <w:instrText xml:space="preserve"> PAGE   \* MERGEFORMAT </w:instrText>
        </w:r>
        <w:r>
          <w:fldChar w:fldCharType="separate"/>
        </w:r>
        <w:r>
          <w:t>iv</w:t>
        </w:r>
        <w:r>
          <w:rPr>
            <w:noProof/>
          </w:rPr>
          <w:fldChar w:fldCharType="end"/>
        </w:r>
      </w:p>
    </w:sdtContent>
  </w:sdt>
  <w:p w14:paraId="4CD40F36" w14:textId="77777777" w:rsidR="00EE596A" w:rsidRDefault="00EE596A" w:rsidP="000203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698A9" w14:textId="77777777" w:rsidR="006C1178" w:rsidRDefault="006C1178" w:rsidP="008D64E6">
      <w:pPr>
        <w:spacing w:after="0" w:line="240" w:lineRule="auto"/>
      </w:pPr>
      <w:r>
        <w:separator/>
      </w:r>
    </w:p>
  </w:footnote>
  <w:footnote w:type="continuationSeparator" w:id="0">
    <w:p w14:paraId="57E0AD03" w14:textId="77777777" w:rsidR="006C1178" w:rsidRDefault="006C1178" w:rsidP="008D64E6">
      <w:pPr>
        <w:spacing w:after="0" w:line="240" w:lineRule="auto"/>
      </w:pPr>
      <w:r>
        <w:continuationSeparator/>
      </w:r>
    </w:p>
  </w:footnote>
  <w:footnote w:type="continuationNotice" w:id="1">
    <w:p w14:paraId="5CC6B21A" w14:textId="77777777" w:rsidR="006C1178" w:rsidRDefault="006C1178">
      <w:pPr>
        <w:spacing w:after="0" w:line="240" w:lineRule="auto"/>
      </w:pPr>
    </w:p>
  </w:footnote>
  <w:footnote w:id="2">
    <w:p w14:paraId="1AD5FED5" w14:textId="2A7B6D3D" w:rsidR="0FF7D369" w:rsidRPr="00AF16BE" w:rsidRDefault="0FF7D369" w:rsidP="00020302">
      <w:pPr>
        <w:pStyle w:val="FootnoteText"/>
        <w:rPr>
          <w:rFonts w:asciiTheme="minorHAnsi" w:hAnsiTheme="minorHAnsi" w:cstheme="minorHAnsi"/>
        </w:rPr>
      </w:pPr>
      <w:r w:rsidRPr="00AF16BE">
        <w:rPr>
          <w:rStyle w:val="FootnoteReference"/>
          <w:rFonts w:asciiTheme="minorHAnsi" w:hAnsiTheme="minorHAnsi" w:cstheme="minorHAnsi"/>
        </w:rPr>
        <w:footnoteRef/>
      </w:r>
      <w:r w:rsidRPr="00AF16BE">
        <w:rPr>
          <w:rFonts w:asciiTheme="minorHAnsi" w:hAnsiTheme="minorHAnsi" w:cstheme="minorHAnsi"/>
        </w:rPr>
        <w:t xml:space="preserve"> </w:t>
      </w:r>
      <w:r w:rsidRPr="00AF16BE">
        <w:rPr>
          <w:rFonts w:asciiTheme="minorHAnsi" w:eastAsia="Roboto" w:hAnsiTheme="minorHAnsi" w:cstheme="minorHAnsi"/>
        </w:rPr>
        <w:t>Council Directive 2003/86/EC of 22 September 2003 on the right to family reunification</w:t>
      </w:r>
    </w:p>
  </w:footnote>
  <w:footnote w:id="3">
    <w:p w14:paraId="3E4DF02D" w14:textId="3CA0949D" w:rsidR="5880D04F" w:rsidRPr="00BF23A8" w:rsidRDefault="5880D04F" w:rsidP="00020302">
      <w:pPr>
        <w:pStyle w:val="FootnoteText"/>
        <w:rPr>
          <w:rFonts w:asciiTheme="minorHAnsi" w:eastAsia="Segoe UI" w:hAnsiTheme="minorHAnsi" w:cstheme="minorHAnsi"/>
          <w:color w:val="000000" w:themeColor="text1"/>
        </w:rPr>
      </w:pPr>
      <w:r w:rsidRPr="008F51C6">
        <w:rPr>
          <w:rStyle w:val="FootnoteReference"/>
          <w:rFonts w:asciiTheme="minorHAnsi" w:hAnsiTheme="minorHAnsi" w:cstheme="minorHAnsi"/>
        </w:rPr>
        <w:footnoteRef/>
      </w:r>
      <w:r w:rsidRPr="008F51C6">
        <w:rPr>
          <w:rFonts w:asciiTheme="minorHAnsi" w:hAnsiTheme="minorHAnsi" w:cstheme="minorHAnsi"/>
        </w:rPr>
        <w:t xml:space="preserve"> “</w:t>
      </w:r>
      <w:r w:rsidRPr="008F51C6">
        <w:rPr>
          <w:rFonts w:asciiTheme="minorHAnsi" w:eastAsia="Segoe UI" w:hAnsiTheme="minorHAnsi" w:cstheme="minorHAnsi"/>
          <w:color w:val="000000" w:themeColor="text1"/>
        </w:rPr>
        <w:t>In that regard, as the Court has held on a number of occasions, it follows from a literal, contextual and teleological interpretation of Directive 2004/38 that the directive governs only the conditions determining</w:t>
      </w:r>
      <w:r w:rsidRPr="008F51C6">
        <w:rPr>
          <w:rFonts w:ascii="Segoe UI" w:eastAsia="Segoe UI" w:hAnsi="Segoe UI" w:cs="Segoe UI"/>
          <w:color w:val="000000" w:themeColor="text1"/>
        </w:rPr>
        <w:t xml:space="preserve"> </w:t>
      </w:r>
      <w:r w:rsidRPr="00BF23A8">
        <w:rPr>
          <w:rFonts w:asciiTheme="minorHAnsi" w:eastAsia="Segoe UI" w:hAnsiTheme="minorHAnsi" w:cstheme="minorHAnsi"/>
          <w:color w:val="000000" w:themeColor="text1"/>
        </w:rPr>
        <w:t xml:space="preserve">whether a Union citizen can enter and reside in Member States other than that of which he is a national and does not confer a derived right of residence on third-country nationals who are family members of a Union citizen in the Member State </w:t>
      </w:r>
      <w:r w:rsidRPr="00501328">
        <w:rPr>
          <w:rFonts w:asciiTheme="minorHAnsi" w:eastAsia="Segoe UI" w:hAnsiTheme="minorHAnsi" w:cstheme="minorHAnsi"/>
          <w:color w:val="000000" w:themeColor="text1"/>
        </w:rPr>
        <w:t>of which that citizen is a national (see, to that effect, judgments of 12 March 2014, O. and B., C</w:t>
      </w:r>
      <w:r w:rsidRPr="00501328">
        <w:rPr>
          <w:rFonts w:ascii="Cambria Math" w:eastAsia="Segoe UI" w:hAnsi="Cambria Math" w:cs="Cambria Math"/>
          <w:color w:val="000000" w:themeColor="text1"/>
        </w:rPr>
        <w:t>‑</w:t>
      </w:r>
      <w:r w:rsidRPr="00501328">
        <w:rPr>
          <w:rFonts w:asciiTheme="minorHAnsi" w:eastAsia="Segoe UI" w:hAnsiTheme="minorHAnsi" w:cstheme="minorHAnsi"/>
          <w:color w:val="000000" w:themeColor="text1"/>
        </w:rPr>
        <w:t>456/12, EU:C:2014:135, paragraph</w:t>
      </w:r>
      <w:r w:rsidRPr="00501328">
        <w:rPr>
          <w:rFonts w:eastAsia="Segoe UI" w:cs="Calibri"/>
          <w:color w:val="000000" w:themeColor="text1"/>
        </w:rPr>
        <w:t> </w:t>
      </w:r>
      <w:r w:rsidRPr="00501328">
        <w:rPr>
          <w:rFonts w:asciiTheme="minorHAnsi" w:eastAsia="Segoe UI" w:hAnsiTheme="minorHAnsi" w:cstheme="minorHAnsi"/>
          <w:color w:val="000000" w:themeColor="text1"/>
        </w:rPr>
        <w:t>37; of 10</w:t>
      </w:r>
      <w:r w:rsidRPr="00501328">
        <w:rPr>
          <w:rFonts w:eastAsia="Segoe UI" w:cs="Calibri"/>
          <w:color w:val="000000" w:themeColor="text1"/>
        </w:rPr>
        <w:t> </w:t>
      </w:r>
      <w:r w:rsidRPr="00501328">
        <w:rPr>
          <w:rFonts w:asciiTheme="minorHAnsi" w:eastAsia="Segoe UI" w:hAnsiTheme="minorHAnsi" w:cstheme="minorHAnsi"/>
          <w:color w:val="000000" w:themeColor="text1"/>
        </w:rPr>
        <w:t>May 2017,</w:t>
      </w:r>
      <w:r w:rsidRPr="00501328">
        <w:rPr>
          <w:rFonts w:eastAsia="Segoe UI" w:cs="Calibri"/>
          <w:color w:val="000000" w:themeColor="text1"/>
        </w:rPr>
        <w:t> </w:t>
      </w:r>
      <w:r w:rsidRPr="00501328">
        <w:rPr>
          <w:rFonts w:asciiTheme="minorHAnsi" w:eastAsia="Segoe UI" w:hAnsiTheme="minorHAnsi" w:cstheme="minorHAnsi"/>
          <w:color w:val="000000" w:themeColor="text1"/>
        </w:rPr>
        <w:t>Chavez-Vilchez and Others, C</w:t>
      </w:r>
      <w:r w:rsidRPr="00501328">
        <w:rPr>
          <w:rFonts w:ascii="Cambria Math" w:eastAsia="Segoe UI" w:hAnsi="Cambria Math" w:cs="Cambria Math"/>
          <w:color w:val="000000" w:themeColor="text1"/>
        </w:rPr>
        <w:t>‑</w:t>
      </w:r>
      <w:r w:rsidRPr="00501328">
        <w:rPr>
          <w:rFonts w:asciiTheme="minorHAnsi" w:eastAsia="Segoe UI" w:hAnsiTheme="minorHAnsi" w:cstheme="minorHAnsi"/>
          <w:color w:val="000000" w:themeColor="text1"/>
        </w:rPr>
        <w:t>133/15, EU:C:2017:354, paragraph</w:t>
      </w:r>
      <w:r w:rsidRPr="00501328">
        <w:rPr>
          <w:rFonts w:eastAsia="Segoe UI" w:cs="Calibri"/>
          <w:color w:val="000000" w:themeColor="text1"/>
        </w:rPr>
        <w:t> </w:t>
      </w:r>
      <w:r w:rsidRPr="00501328">
        <w:rPr>
          <w:rFonts w:asciiTheme="minorHAnsi" w:eastAsia="Segoe UI" w:hAnsiTheme="minorHAnsi" w:cstheme="minorHAnsi"/>
          <w:color w:val="000000" w:themeColor="text1"/>
        </w:rPr>
        <w:t>53; and of 14</w:t>
      </w:r>
      <w:r w:rsidRPr="00501328">
        <w:rPr>
          <w:rFonts w:eastAsia="Segoe UI" w:cs="Calibri"/>
          <w:color w:val="000000" w:themeColor="text1"/>
        </w:rPr>
        <w:t> </w:t>
      </w:r>
      <w:r w:rsidRPr="00501328">
        <w:rPr>
          <w:rFonts w:asciiTheme="minorHAnsi" w:eastAsia="Segoe UI" w:hAnsiTheme="minorHAnsi" w:cstheme="minorHAnsi"/>
          <w:color w:val="000000" w:themeColor="text1"/>
        </w:rPr>
        <w:t>November 2017,</w:t>
      </w:r>
      <w:r w:rsidRPr="00501328">
        <w:rPr>
          <w:rFonts w:eastAsia="Segoe UI" w:cs="Calibri"/>
          <w:color w:val="000000" w:themeColor="text1"/>
        </w:rPr>
        <w:t> </w:t>
      </w:r>
      <w:r w:rsidRPr="00501328">
        <w:rPr>
          <w:rFonts w:asciiTheme="minorHAnsi" w:eastAsia="Segoe UI" w:hAnsiTheme="minorHAnsi" w:cstheme="minorHAnsi"/>
          <w:color w:val="000000" w:themeColor="text1"/>
        </w:rPr>
        <w:t>Lounes, C</w:t>
      </w:r>
      <w:r w:rsidRPr="00501328">
        <w:rPr>
          <w:rFonts w:ascii="Cambria Math" w:eastAsia="Segoe UI" w:hAnsi="Cambria Math" w:cs="Cambria Math"/>
          <w:color w:val="000000" w:themeColor="text1"/>
        </w:rPr>
        <w:t>‑</w:t>
      </w:r>
      <w:r w:rsidRPr="00501328">
        <w:rPr>
          <w:rFonts w:asciiTheme="minorHAnsi" w:eastAsia="Segoe UI" w:hAnsiTheme="minorHAnsi" w:cstheme="minorHAnsi"/>
          <w:color w:val="000000" w:themeColor="text1"/>
        </w:rPr>
        <w:t>165/16, EU:C:2017:862, paragraph</w:t>
      </w:r>
      <w:r w:rsidRPr="00501328">
        <w:rPr>
          <w:rFonts w:eastAsia="Segoe UI" w:cs="Calibri"/>
          <w:color w:val="000000" w:themeColor="text1"/>
        </w:rPr>
        <w:t> </w:t>
      </w:r>
      <w:r w:rsidRPr="00501328">
        <w:rPr>
          <w:rFonts w:asciiTheme="minorHAnsi" w:eastAsia="Segoe UI" w:hAnsiTheme="minorHAnsi" w:cstheme="minorHAnsi"/>
          <w:color w:val="000000" w:themeColor="text1"/>
        </w:rPr>
        <w:t>33)", CJEU Judgement of 5 June 2018, Coman e.a., paragraph 20, C-673/16</w:t>
      </w:r>
    </w:p>
  </w:footnote>
  <w:footnote w:id="4">
    <w:p w14:paraId="42F06DBC" w14:textId="445E48F8" w:rsidR="0C79CE50" w:rsidRPr="00BF23A8" w:rsidRDefault="0C79CE50" w:rsidP="0C79CE50">
      <w:pPr>
        <w:pStyle w:val="FootnoteText"/>
        <w:rPr>
          <w:rFonts w:asciiTheme="minorHAnsi" w:eastAsia="Times New Roman" w:hAnsiTheme="minorHAnsi" w:cstheme="minorHAnsi"/>
          <w:lang w:val="fr-BE"/>
        </w:rPr>
      </w:pPr>
      <w:r w:rsidRPr="00BF23A8">
        <w:rPr>
          <w:rStyle w:val="FootnoteReference"/>
          <w:rFonts w:asciiTheme="minorHAnsi" w:hAnsiTheme="minorHAnsi" w:cstheme="minorHAnsi"/>
        </w:rPr>
        <w:footnoteRef/>
      </w:r>
      <w:r w:rsidRPr="00BF23A8">
        <w:rPr>
          <w:rFonts w:asciiTheme="minorHAnsi" w:hAnsiTheme="minorHAnsi" w:cstheme="minorHAnsi"/>
          <w:lang w:val="fr-BE"/>
        </w:rPr>
        <w:t xml:space="preserve"> Article 2 (2) b, Directive 2004/38/EC</w:t>
      </w:r>
    </w:p>
  </w:footnote>
  <w:footnote w:id="5">
    <w:p w14:paraId="26645380" w14:textId="007FB636" w:rsidR="0C79CE50" w:rsidRPr="00BF23A8" w:rsidRDefault="0C79CE50" w:rsidP="0C79CE50">
      <w:pPr>
        <w:pStyle w:val="FootnoteText"/>
        <w:rPr>
          <w:rFonts w:asciiTheme="minorHAnsi" w:eastAsia="Times New Roman" w:hAnsiTheme="minorHAnsi" w:cstheme="minorHAnsi"/>
          <w:lang w:val="fr-BE"/>
        </w:rPr>
      </w:pPr>
      <w:r w:rsidRPr="00BF23A8">
        <w:rPr>
          <w:rStyle w:val="FootnoteReference"/>
          <w:rFonts w:asciiTheme="minorHAnsi" w:hAnsiTheme="minorHAnsi" w:cstheme="minorHAnsi"/>
        </w:rPr>
        <w:footnoteRef/>
      </w:r>
      <w:r w:rsidRPr="00BF23A8">
        <w:rPr>
          <w:rFonts w:asciiTheme="minorHAnsi" w:hAnsiTheme="minorHAnsi" w:cstheme="minorHAnsi"/>
          <w:lang w:val="fr-BE"/>
        </w:rPr>
        <w:t xml:space="preserve"> Article 2 (2) b, Directive 2004/38/EC.</w:t>
      </w:r>
    </w:p>
  </w:footnote>
  <w:footnote w:id="6">
    <w:p w14:paraId="750CA564" w14:textId="46ECD584" w:rsidR="0C79CE50" w:rsidRPr="00BF23A8" w:rsidRDefault="0C79CE50" w:rsidP="0C79CE50">
      <w:pPr>
        <w:pStyle w:val="FootnoteText"/>
        <w:rPr>
          <w:rFonts w:asciiTheme="minorHAnsi" w:hAnsiTheme="minorHAnsi" w:cstheme="minorHAnsi"/>
        </w:rPr>
      </w:pPr>
      <w:r w:rsidRPr="00BF23A8">
        <w:rPr>
          <w:rStyle w:val="FootnoteReference"/>
          <w:rFonts w:asciiTheme="minorHAnsi" w:hAnsiTheme="minorHAnsi" w:cstheme="minorHAnsi"/>
        </w:rPr>
        <w:footnoteRef/>
      </w:r>
      <w:r w:rsidRPr="006C4B35">
        <w:rPr>
          <w:rFonts w:asciiTheme="minorHAnsi" w:hAnsiTheme="minorHAnsi" w:cstheme="minorHAnsi"/>
          <w:lang w:val="es-ES"/>
        </w:rPr>
        <w:t xml:space="preserve"> Case C-673/16 Coman, ECLI:EU:C:2018:385, para. </w:t>
      </w:r>
      <w:r w:rsidRPr="00BF23A8">
        <w:rPr>
          <w:rFonts w:asciiTheme="minorHAnsi" w:hAnsiTheme="minorHAnsi" w:cstheme="minorHAnsi"/>
        </w:rPr>
        <w:t>35.</w:t>
      </w:r>
    </w:p>
  </w:footnote>
  <w:footnote w:id="7">
    <w:p w14:paraId="29ED949D" w14:textId="08A1BFCA" w:rsidR="0C79CE50" w:rsidRDefault="0C79CE50" w:rsidP="0C79CE50">
      <w:pPr>
        <w:pStyle w:val="FootnoteText"/>
      </w:pPr>
      <w:r w:rsidRPr="00BF23A8">
        <w:rPr>
          <w:rStyle w:val="FootnoteReference"/>
          <w:rFonts w:asciiTheme="minorHAnsi" w:hAnsiTheme="minorHAnsi" w:cstheme="minorHAnsi"/>
        </w:rPr>
        <w:footnoteRef/>
      </w:r>
      <w:r w:rsidRPr="00BF23A8">
        <w:rPr>
          <w:rFonts w:asciiTheme="minorHAnsi" w:hAnsiTheme="minorHAnsi" w:cstheme="minorHAnsi"/>
        </w:rPr>
        <w:t xml:space="preserve"> Therein, para. 39.</w:t>
      </w:r>
    </w:p>
  </w:footnote>
  <w:footnote w:id="8">
    <w:p w14:paraId="67A48EF4" w14:textId="46DFD551" w:rsidR="0C79CE50" w:rsidRDefault="0C79CE50" w:rsidP="0C79CE50">
      <w:pPr>
        <w:pStyle w:val="FootnoteText"/>
      </w:pPr>
      <w:r w:rsidRPr="0C79CE50">
        <w:rPr>
          <w:rStyle w:val="FootnoteReference"/>
        </w:rPr>
        <w:footnoteRef/>
      </w:r>
      <w:r>
        <w:t xml:space="preserve"> Therein, paras. 45 – 46.</w:t>
      </w:r>
    </w:p>
  </w:footnote>
  <w:footnote w:id="9">
    <w:p w14:paraId="4381B0D8" w14:textId="33AFA011" w:rsidR="0C79CE50" w:rsidRDefault="0C79CE50" w:rsidP="0C79CE50">
      <w:pPr>
        <w:pStyle w:val="FootnoteText"/>
      </w:pPr>
      <w:r w:rsidRPr="0C79CE50">
        <w:rPr>
          <w:rStyle w:val="FootnoteReference"/>
        </w:rPr>
        <w:footnoteRef/>
      </w:r>
      <w:r>
        <w:t xml:space="preserve"> Article 3 (2) (a) and Article 3 (2) (b), Directive 2004/38/EC.</w:t>
      </w:r>
    </w:p>
  </w:footnote>
  <w:footnote w:id="10">
    <w:p w14:paraId="33F2B554" w14:textId="2993C5F0" w:rsidR="0C79CE50" w:rsidRDefault="0C79CE50" w:rsidP="0C79CE50">
      <w:pPr>
        <w:pStyle w:val="FootnoteText"/>
      </w:pPr>
      <w:r w:rsidRPr="0C79CE50">
        <w:rPr>
          <w:rStyle w:val="FootnoteReference"/>
        </w:rPr>
        <w:footnoteRef/>
      </w:r>
      <w:r>
        <w:t xml:space="preserve"> Guidelines on free movement and residence rights of EU citizens and their families (MEMO/09/311), available at: </w:t>
      </w:r>
      <w:hyperlink r:id="rId1" w:history="1">
        <w:r w:rsidR="00BF23A8" w:rsidRPr="007708A4">
          <w:rPr>
            <w:rStyle w:val="Hyperlink"/>
          </w:rPr>
          <w:t>https://www.bing.com/ck/a?!&amp;&amp;p=8fa6ec9679debd41JmltdHM9MTY3ODU3OTIwMCZpZ3VpZD0wNDhiOWVmOC02ZGE2LTZjMjctMDhlZC04Yzk1NmM5MTZkZDImaW5zaWQ9NTE2NA&amp;ptn=3&amp;hsh=3&amp;fclid=048b9ef8-6da6-6c27-08ed-8c956c916dd2&amp;psq=eu+guidelines+on+free+movement+2009&amp;u=a1aHR0cHM6Ly9lYy5ldXJvcGEuZXUvY29tbWlzc2lvbi9wcmVzc2Nvcm5lci9hcGkvZmlsZXMvZG9jdW1lbnQvcHJpbnQvZW4vbWVtb18wOV8zMTEvTUVNT18wOV8zMTFfRU4ucGRm&amp;ntb=1</w:t>
        </w:r>
      </w:hyperlink>
      <w:r w:rsidR="00BF23A8">
        <w:t xml:space="preserve"> </w:t>
      </w:r>
    </w:p>
  </w:footnote>
  <w:footnote w:id="11">
    <w:p w14:paraId="6F224AC6" w14:textId="58BF9BD2" w:rsidR="0C79CE50" w:rsidRDefault="0C79CE50" w:rsidP="0C79CE50">
      <w:pPr>
        <w:pStyle w:val="FootnoteText"/>
      </w:pPr>
      <w:r w:rsidRPr="0C79CE50">
        <w:rPr>
          <w:rStyle w:val="FootnoteReference"/>
        </w:rPr>
        <w:footnoteRef/>
      </w:r>
      <w:r>
        <w:t xml:space="preserve"> Communication from the Commission to the European Parliament, the Council, the European Economic and Social Committee and the Committee of the regions: Union of Equality: LGBTIQ Equality Strategy 2020-2025, (COM(2020)0698), p. 14 - 17.</w:t>
      </w:r>
    </w:p>
  </w:footnote>
  <w:footnote w:id="12">
    <w:p w14:paraId="405B98AF" w14:textId="6C4B5CA4" w:rsidR="7C2F69A5" w:rsidRDefault="7C2F69A5" w:rsidP="7C2F69A5">
      <w:pPr>
        <w:pStyle w:val="FootnoteText"/>
      </w:pPr>
      <w:r w:rsidRPr="7C2F69A5">
        <w:rPr>
          <w:rStyle w:val="FootnoteReference"/>
        </w:rPr>
        <w:footnoteRef/>
      </w:r>
      <w:r w:rsidRPr="00224929">
        <w:rPr>
          <w:lang w:val="pt-BR"/>
        </w:rPr>
        <w:t xml:space="preserve"> See: Case C-267/06 Maruko, ECLI:EU:C:2008:179, para. </w:t>
      </w:r>
      <w:r>
        <w:t>72-73 (up to a national court to decide whether a surviving life partner is in a situation comparable to that of a spouse); Case C-147/08 Römer, ECLI:EU:C:2011/286, para. 52; Case C-267/12 Hay, ECLI:EU:C:2013:823, para. 44 - 47.</w:t>
      </w:r>
    </w:p>
  </w:footnote>
  <w:footnote w:id="13">
    <w:p w14:paraId="5A0A6768" w14:textId="3D3F7F26" w:rsidR="7C2F69A5" w:rsidRDefault="7C2F69A5" w:rsidP="7C2F69A5">
      <w:pPr>
        <w:pStyle w:val="FootnoteText"/>
      </w:pPr>
      <w:r w:rsidRPr="7C2F69A5">
        <w:rPr>
          <w:rStyle w:val="FootnoteReference"/>
        </w:rPr>
        <w:footnoteRef/>
      </w:r>
      <w:r>
        <w:t xml:space="preserve"> Communication from the Commission to the European Parliament, the Council, the European Economic and Social Committee and the Committee of the regions: Union of Equality: LGBTIQ Equality Strategy 2020-2025, (COM(2020)0698), p. 17.</w:t>
      </w:r>
    </w:p>
  </w:footnote>
  <w:footnote w:id="14">
    <w:p w14:paraId="7A16D49B" w14:textId="3C158CE1" w:rsidR="7C2F69A5" w:rsidRDefault="7C2F69A5" w:rsidP="7C2F69A5">
      <w:pPr>
        <w:pStyle w:val="FootnoteText"/>
      </w:pPr>
      <w:r w:rsidRPr="7C2F69A5">
        <w:rPr>
          <w:rStyle w:val="FootnoteReference"/>
        </w:rPr>
        <w:footnoteRef/>
      </w:r>
      <w:r>
        <w:t xml:space="preserve"> Proposal for a Council Regulation on jurisdiction, applicable law, recognition of decisions and acceptance of authentic instruments in matters of parenthood and on the creation of a European Certificate of Parenthood (COM(2022) 695 final), available at: </w:t>
      </w:r>
      <w:hyperlink r:id="rId2" w:history="1">
        <w:r w:rsidR="004B3FD7">
          <w:rPr>
            <w:rStyle w:val="Hyperlink"/>
          </w:rPr>
          <w:t>EUR-Lex - 52022PC0695 - EN - EUR-Lex (europa.eu)</w:t>
        </w:r>
      </w:hyperlink>
    </w:p>
  </w:footnote>
  <w:footnote w:id="15">
    <w:p w14:paraId="2040E198" w14:textId="5F4B0773" w:rsidR="7C2F69A5" w:rsidRDefault="7C2F69A5" w:rsidP="00A602F5">
      <w:pPr>
        <w:pStyle w:val="FootnoteText"/>
      </w:pPr>
      <w:r w:rsidRPr="7C2F69A5">
        <w:rPr>
          <w:rStyle w:val="FootnoteReference"/>
        </w:rPr>
        <w:footnoteRef/>
      </w:r>
      <w:r>
        <w:t xml:space="preserve"> Proposal for a Council Regulation on jurisdiction, applicable law, recognition of decisions and acceptance of authentic instruments in matters of parenthood and on the creation of a European Certificate of Parenthood (COM(2022) 695 final), Explanatory Memorandum, p. 1, available at: </w:t>
      </w:r>
      <w:hyperlink r:id="rId3" w:history="1">
        <w:r w:rsidR="00AE7E9E">
          <w:rPr>
            <w:rStyle w:val="Hyperlink"/>
          </w:rPr>
          <w:t>EUR-Lex - 52022PC0695 - EN - EUR-Lex (europa.eu)</w:t>
        </w:r>
      </w:hyperlink>
    </w:p>
  </w:footnote>
  <w:footnote w:id="16">
    <w:p w14:paraId="655B5CD2" w14:textId="0E84C72E" w:rsidR="7C2F69A5" w:rsidRDefault="7C2F69A5" w:rsidP="7C2F69A5">
      <w:pPr>
        <w:pStyle w:val="FootnoteText"/>
      </w:pPr>
      <w:r w:rsidRPr="7C2F69A5">
        <w:rPr>
          <w:rStyle w:val="FootnoteReference"/>
        </w:rPr>
        <w:footnoteRef/>
      </w:r>
      <w:r>
        <w:t xml:space="preserve"> Ibid, p. 3.</w:t>
      </w:r>
    </w:p>
  </w:footnote>
  <w:footnote w:id="17">
    <w:p w14:paraId="4B1F2D3E" w14:textId="5B5ED1C4" w:rsidR="7C2F69A5" w:rsidRDefault="7C2F69A5" w:rsidP="00A602F5">
      <w:pPr>
        <w:pStyle w:val="FootnoteText"/>
      </w:pPr>
      <w:r w:rsidRPr="7C2F69A5">
        <w:rPr>
          <w:rStyle w:val="FootnoteReference"/>
        </w:rPr>
        <w:footnoteRef/>
      </w:r>
      <w:r>
        <w:t xml:space="preserve"> Ibid, p. 1.</w:t>
      </w:r>
    </w:p>
  </w:footnote>
  <w:footnote w:id="18">
    <w:p w14:paraId="25A6EFAB" w14:textId="3C7CBDFA" w:rsidR="7C2F69A5" w:rsidRDefault="7C2F69A5" w:rsidP="7C2F69A5">
      <w:pPr>
        <w:pStyle w:val="FootnoteText"/>
      </w:pPr>
      <w:r w:rsidRPr="7C2F69A5">
        <w:rPr>
          <w:rStyle w:val="FootnoteReference"/>
        </w:rPr>
        <w:footnoteRef/>
      </w:r>
      <w:r>
        <w:t xml:space="preserve"> Case C-490/20 V.M.A., ECLI:EU:C:2021:296</w:t>
      </w:r>
    </w:p>
  </w:footnote>
  <w:footnote w:id="19">
    <w:p w14:paraId="65803B04" w14:textId="68BCB830" w:rsidR="7C2F69A5" w:rsidRPr="006C4B35" w:rsidRDefault="7C2F69A5" w:rsidP="7C2F69A5">
      <w:pPr>
        <w:pStyle w:val="FootnoteText"/>
        <w:rPr>
          <w:lang w:val="de-DE"/>
        </w:rPr>
      </w:pPr>
      <w:r w:rsidRPr="7C2F69A5">
        <w:rPr>
          <w:rStyle w:val="FootnoteReference"/>
        </w:rPr>
        <w:footnoteRef/>
      </w:r>
      <w:r w:rsidRPr="006C4B35">
        <w:rPr>
          <w:lang w:val="de-DE"/>
        </w:rPr>
        <w:t xml:space="preserve"> Therein, para. 48.</w:t>
      </w:r>
    </w:p>
  </w:footnote>
  <w:footnote w:id="20">
    <w:p w14:paraId="67EFFDC3" w14:textId="45D7628E" w:rsidR="7C2F69A5" w:rsidRPr="006C4B35" w:rsidRDefault="7C2F69A5" w:rsidP="00A602F5">
      <w:pPr>
        <w:pStyle w:val="FootnoteText"/>
        <w:rPr>
          <w:lang w:val="de-DE"/>
        </w:rPr>
      </w:pPr>
      <w:r w:rsidRPr="7C2F69A5">
        <w:rPr>
          <w:rStyle w:val="FootnoteReference"/>
        </w:rPr>
        <w:footnoteRef/>
      </w:r>
      <w:r w:rsidRPr="006C4B35">
        <w:rPr>
          <w:lang w:val="de-DE"/>
        </w:rPr>
        <w:t xml:space="preserve"> Therein, para. 50.</w:t>
      </w:r>
    </w:p>
  </w:footnote>
  <w:footnote w:id="21">
    <w:p w14:paraId="6AC2A4AF" w14:textId="160E4CAF" w:rsidR="7C2F69A5" w:rsidRPr="006C4B35" w:rsidRDefault="7C2F69A5" w:rsidP="00A602F5">
      <w:pPr>
        <w:pStyle w:val="FootnoteText"/>
        <w:rPr>
          <w:lang w:val="de-DE"/>
        </w:rPr>
      </w:pPr>
      <w:r w:rsidRPr="7C2F69A5">
        <w:rPr>
          <w:rStyle w:val="FootnoteReference"/>
        </w:rPr>
        <w:footnoteRef/>
      </w:r>
      <w:r w:rsidRPr="006C4B35">
        <w:rPr>
          <w:lang w:val="de-DE"/>
        </w:rPr>
        <w:t xml:space="preserve"> Therein, paras. 63 – 65.</w:t>
      </w:r>
    </w:p>
  </w:footnote>
  <w:footnote w:id="22">
    <w:p w14:paraId="6107EF81" w14:textId="51BBA259" w:rsidR="7C2F69A5" w:rsidRPr="006C4B35" w:rsidRDefault="7C2F69A5" w:rsidP="00A602F5">
      <w:pPr>
        <w:pStyle w:val="FootnoteText"/>
        <w:rPr>
          <w:lang w:val="de-DE"/>
        </w:rPr>
      </w:pPr>
      <w:r w:rsidRPr="7C2F69A5">
        <w:rPr>
          <w:rStyle w:val="FootnoteReference"/>
        </w:rPr>
        <w:footnoteRef/>
      </w:r>
      <w:r w:rsidRPr="006C4B35">
        <w:rPr>
          <w:lang w:val="de-DE"/>
        </w:rPr>
        <w:t xml:space="preserve"> Case C-2/21 Rzecnik Praw Obywatelskich, ECLI:EU:C:2022:502</w:t>
      </w:r>
    </w:p>
  </w:footnote>
  <w:footnote w:id="23">
    <w:p w14:paraId="7AB7A299" w14:textId="532C27D7" w:rsidR="7C2F69A5" w:rsidRDefault="7C2F69A5" w:rsidP="7C2F69A5">
      <w:pPr>
        <w:pStyle w:val="FootnoteText"/>
      </w:pPr>
      <w:r w:rsidRPr="7C2F69A5">
        <w:rPr>
          <w:rStyle w:val="FootnoteReference"/>
        </w:rPr>
        <w:footnoteRef/>
      </w:r>
      <w:r w:rsidRPr="006C4B35">
        <w:rPr>
          <w:lang w:val="de-DE"/>
        </w:rPr>
        <w:t xml:space="preserve"> Therein, para. </w:t>
      </w:r>
      <w:r>
        <w:t>51</w:t>
      </w:r>
    </w:p>
  </w:footnote>
  <w:footnote w:id="24">
    <w:p w14:paraId="5B1D6444" w14:textId="265001DB" w:rsidR="7C2F69A5" w:rsidRDefault="7C2F69A5" w:rsidP="7C2F69A5">
      <w:pPr>
        <w:pStyle w:val="FootnoteText"/>
      </w:pPr>
      <w:r w:rsidRPr="7C2F69A5">
        <w:rPr>
          <w:rStyle w:val="FootnoteReference"/>
        </w:rPr>
        <w:footnoteRef/>
      </w:r>
      <w:r>
        <w:t xml:space="preserve"> Therein, para. 53</w:t>
      </w:r>
    </w:p>
  </w:footnote>
  <w:footnote w:id="25">
    <w:p w14:paraId="27685AB9" w14:textId="3F5CD5C3" w:rsidR="7C2F69A5" w:rsidRDefault="7C2F69A5" w:rsidP="7C2F69A5">
      <w:pPr>
        <w:pStyle w:val="FootnoteText"/>
      </w:pPr>
      <w:r w:rsidRPr="7C2F69A5">
        <w:rPr>
          <w:rStyle w:val="FootnoteReference"/>
        </w:rPr>
        <w:footnoteRef/>
      </w:r>
      <w:r>
        <w:t xml:space="preserve"> Recommendation CM/Rec(2010)5 of the Committee of Ministers to member states on measures to combat discrimination on grounds of sexual orientation or gender identity, Appendix, paras. 23 – 26. Available at: </w:t>
      </w:r>
      <w:hyperlink r:id="rId4">
        <w:r w:rsidRPr="00A602F5">
          <w:rPr>
            <w:rStyle w:val="Hyperlink"/>
            <w:rFonts w:asciiTheme="minorHAnsi" w:eastAsia="Times New Roman" w:hAnsiTheme="minorHAnsi" w:cstheme="minorHAnsi"/>
            <w:lang w:val="en-GB"/>
          </w:rPr>
          <w:t>https://search.coe.int/cm/Pages/result_details.aspx?ObjectID=09000016805cf40a</w:t>
        </w:r>
      </w:hyperlink>
      <w:r>
        <w:t xml:space="preserve">  </w:t>
      </w:r>
    </w:p>
  </w:footnote>
  <w:footnote w:id="26">
    <w:p w14:paraId="04CD7547" w14:textId="21DD07F4" w:rsidR="7C2F69A5" w:rsidRPr="00A602F5" w:rsidRDefault="7C2F69A5" w:rsidP="00A602F5">
      <w:pPr>
        <w:pStyle w:val="FootnoteText"/>
        <w:rPr>
          <w:rFonts w:asciiTheme="minorHAnsi" w:hAnsiTheme="minorHAnsi" w:cstheme="minorHAnsi"/>
        </w:rPr>
      </w:pPr>
      <w:r w:rsidRPr="7C2F69A5">
        <w:rPr>
          <w:rStyle w:val="FootnoteReference"/>
        </w:rPr>
        <w:footnoteRef/>
      </w:r>
      <w:r>
        <w:t xml:space="preserve"> Steering Committee for Human Rights (CDDH): Report on the implementation of Recommendation CM/Rec(2010)5 of the Committee of Ministers to member States on measures to combat discrimination on grounds of sexual orientation or gender identity, 2020, para. 70. Available at: </w:t>
      </w:r>
      <w:hyperlink r:id="rId5" w:anchor="_Toc27649606">
        <w:r w:rsidRPr="00A602F5">
          <w:rPr>
            <w:rStyle w:val="Hyperlink"/>
            <w:rFonts w:asciiTheme="minorHAnsi" w:eastAsia="Times New Roman" w:hAnsiTheme="minorHAnsi" w:cstheme="minorHAnsi"/>
            <w:lang w:val="en-GB"/>
          </w:rPr>
          <w:t>https://search.coe.int/cm/Pages/result_details.aspx?ObjectId=09000016809f9ba0#_Toc27649606</w:t>
        </w:r>
      </w:hyperlink>
      <w:r w:rsidRPr="00A602F5">
        <w:rPr>
          <w:rFonts w:asciiTheme="minorHAnsi" w:hAnsiTheme="minorHAnsi" w:cstheme="minorHAnsi"/>
        </w:rPr>
        <w:t xml:space="preserve">  </w:t>
      </w:r>
    </w:p>
  </w:footnote>
  <w:footnote w:id="27">
    <w:p w14:paraId="00EAC7B2" w14:textId="7C0D06D7" w:rsidR="7C2F69A5" w:rsidRDefault="7C2F69A5" w:rsidP="7C2F69A5">
      <w:pPr>
        <w:pStyle w:val="FootnoteText"/>
      </w:pPr>
      <w:r w:rsidRPr="7C2F69A5">
        <w:rPr>
          <w:rStyle w:val="FootnoteReference"/>
        </w:rPr>
        <w:footnoteRef/>
      </w:r>
      <w:r>
        <w:t xml:space="preserve"> Oliari and Others v. Italy, No. 18766/11 and 36030/11, para. 178. Available at: </w:t>
      </w:r>
      <w:hyperlink r:id="rId6" w:anchor="{%22itemid%22:[%22001-156265%22]}">
        <w:r w:rsidRPr="00A602F5">
          <w:rPr>
            <w:rStyle w:val="Hyperlink"/>
            <w:rFonts w:asciiTheme="minorHAnsi" w:eastAsia="Times New Roman" w:hAnsiTheme="minorHAnsi" w:cstheme="minorHAnsi"/>
            <w:lang w:val="en-GB"/>
          </w:rPr>
          <w:t>https://hudoc.echr.coe.int/eng#{%22itemid%22:[%22001-156265%22]}</w:t>
        </w:r>
      </w:hyperlink>
      <w:r>
        <w:t xml:space="preserve">  </w:t>
      </w:r>
    </w:p>
  </w:footnote>
  <w:footnote w:id="28">
    <w:p w14:paraId="653E4BD4" w14:textId="680339D6" w:rsidR="7C2F69A5" w:rsidRDefault="7C2F69A5" w:rsidP="7C2F69A5">
      <w:pPr>
        <w:pStyle w:val="FootnoteText"/>
      </w:pPr>
      <w:r w:rsidRPr="7C2F69A5">
        <w:rPr>
          <w:rStyle w:val="FootnoteReference"/>
        </w:rPr>
        <w:footnoteRef/>
      </w:r>
      <w:r>
        <w:t xml:space="preserve"> The emerging trend was already acknowledged by ECtHR in 2010, however at that time claiming that </w:t>
      </w:r>
      <w:r w:rsidR="00CE5CB5">
        <w:t>“</w:t>
      </w:r>
      <w:r>
        <w:t>the area in question must therefore still be regarded as one of evolving rights with no established consensus, where States must also enjoy a margin of appreciation in the timing of the introduction of legislative changes</w:t>
      </w:r>
      <w:r w:rsidR="0014280D">
        <w:t>”</w:t>
      </w:r>
      <w:r>
        <w:t>. See: Schalk and Kopf v. Austria, No. 30141/04, para. 105.</w:t>
      </w:r>
    </w:p>
  </w:footnote>
  <w:footnote w:id="29">
    <w:p w14:paraId="06E2668D" w14:textId="18EAC8CC" w:rsidR="00E27D82" w:rsidRPr="00816DA9" w:rsidRDefault="00E27D82">
      <w:pPr>
        <w:pStyle w:val="FootnoteText"/>
        <w:rPr>
          <w:rFonts w:asciiTheme="minorHAnsi" w:hAnsiTheme="minorHAnsi" w:cstheme="minorHAnsi"/>
        </w:rPr>
      </w:pPr>
      <w:r w:rsidRPr="00816DA9">
        <w:rPr>
          <w:rStyle w:val="FootnoteReference"/>
          <w:rFonts w:asciiTheme="minorHAnsi" w:hAnsiTheme="minorHAnsi" w:cstheme="minorHAnsi"/>
        </w:rPr>
        <w:footnoteRef/>
      </w:r>
      <w:r w:rsidRPr="00816DA9">
        <w:rPr>
          <w:rFonts w:asciiTheme="minorHAnsi" w:hAnsiTheme="minorHAnsi" w:cstheme="minorHAnsi"/>
        </w:rPr>
        <w:t xml:space="preserve"> </w:t>
      </w:r>
      <w:r w:rsidRPr="00816DA9">
        <w:rPr>
          <w:rFonts w:asciiTheme="minorHAnsi" w:hAnsiTheme="minorHAnsi" w:cstheme="minorHAnsi"/>
          <w:lang w:val="en-GB"/>
        </w:rPr>
        <w:t>“…in the absence of a prevailing community interest being put forward by the Italian Government, against which to balance the applicants’ momentous interests as identified above, and in the light of domestic courts’ conclusions on the matter which remained unheeded, the Court finds that the Italian Government have overstepped their margin of appreciation and failed to fulfil their positive obligation to ensure that the applicants have available a specific legal framework providing for the recognition and protection of their same-sex unions.” See: Therein, para. 185.</w:t>
      </w:r>
    </w:p>
  </w:footnote>
  <w:footnote w:id="30">
    <w:p w14:paraId="567F73E3" w14:textId="74BB78CD" w:rsidR="00CF5BB9" w:rsidRPr="00816DA9" w:rsidRDefault="00CF5BB9">
      <w:pPr>
        <w:pStyle w:val="FootnoteText"/>
        <w:rPr>
          <w:rFonts w:asciiTheme="minorHAnsi" w:hAnsiTheme="minorHAnsi" w:cstheme="minorHAnsi"/>
        </w:rPr>
      </w:pPr>
      <w:r w:rsidRPr="00816DA9">
        <w:rPr>
          <w:rStyle w:val="FootnoteReference"/>
          <w:rFonts w:asciiTheme="minorHAnsi" w:hAnsiTheme="minorHAnsi" w:cstheme="minorHAnsi"/>
        </w:rPr>
        <w:footnoteRef/>
      </w:r>
      <w:r w:rsidRPr="00816DA9">
        <w:rPr>
          <w:rFonts w:asciiTheme="minorHAnsi" w:hAnsiTheme="minorHAnsi" w:cstheme="minorHAnsi"/>
        </w:rPr>
        <w:t xml:space="preserve"> </w:t>
      </w:r>
      <w:r w:rsidRPr="00816DA9">
        <w:rPr>
          <w:rFonts w:asciiTheme="minorHAnsi" w:hAnsiTheme="minorHAnsi" w:cstheme="minorHAnsi"/>
          <w:lang w:val="en-GB"/>
        </w:rPr>
        <w:t xml:space="preserve">Orlandi and Others v. Italy, No. 26431/12, 26742/12, 44057/12 and 60088/12, para. 210. Available at: </w:t>
      </w:r>
      <w:hyperlink r:id="rId7" w:anchor="{%22itemid%22:[%22001-179547%22]}" w:history="1">
        <w:r w:rsidRPr="00816DA9">
          <w:rPr>
            <w:rStyle w:val="Hyperlink"/>
            <w:rFonts w:asciiTheme="minorHAnsi" w:hAnsiTheme="minorHAnsi" w:cstheme="minorHAnsi"/>
            <w:lang w:val="en-GB"/>
          </w:rPr>
          <w:t>https://hudoc.echr.coe.int/eng#{%22itemid%22:[%22001-179547%22]}</w:t>
        </w:r>
      </w:hyperlink>
    </w:p>
  </w:footnote>
  <w:footnote w:id="31">
    <w:p w14:paraId="17DB1D20" w14:textId="1CB85B58" w:rsidR="003E4F24" w:rsidRPr="00816DA9" w:rsidRDefault="003E4F24">
      <w:pPr>
        <w:pStyle w:val="FootnoteText"/>
        <w:rPr>
          <w:rFonts w:asciiTheme="minorHAnsi" w:hAnsiTheme="minorHAnsi" w:cstheme="minorHAnsi"/>
        </w:rPr>
      </w:pPr>
      <w:r w:rsidRPr="00816DA9">
        <w:rPr>
          <w:rStyle w:val="FootnoteReference"/>
          <w:rFonts w:asciiTheme="minorHAnsi" w:hAnsiTheme="minorHAnsi" w:cstheme="minorHAnsi"/>
        </w:rPr>
        <w:footnoteRef/>
      </w:r>
      <w:r w:rsidRPr="00816DA9">
        <w:rPr>
          <w:rFonts w:asciiTheme="minorHAnsi" w:hAnsiTheme="minorHAnsi" w:cstheme="minorHAnsi"/>
        </w:rPr>
        <w:t xml:space="preserve"> </w:t>
      </w:r>
      <w:r w:rsidRPr="00816DA9">
        <w:rPr>
          <w:rFonts w:asciiTheme="minorHAnsi" w:hAnsiTheme="minorHAnsi" w:cstheme="minorHAnsi"/>
          <w:lang w:val="en-GB"/>
        </w:rPr>
        <w:t>Therein, paras. 205 - 211.</w:t>
      </w:r>
    </w:p>
  </w:footnote>
  <w:footnote w:id="32">
    <w:p w14:paraId="4E299C1A" w14:textId="15D31CB8" w:rsidR="006E578F" w:rsidRPr="00816DA9" w:rsidRDefault="006E578F">
      <w:pPr>
        <w:pStyle w:val="FootnoteText"/>
        <w:rPr>
          <w:rFonts w:asciiTheme="minorHAnsi" w:hAnsiTheme="minorHAnsi" w:cstheme="minorHAnsi"/>
        </w:rPr>
      </w:pPr>
      <w:r w:rsidRPr="00816DA9">
        <w:rPr>
          <w:rStyle w:val="FootnoteReference"/>
          <w:rFonts w:asciiTheme="minorHAnsi" w:hAnsiTheme="minorHAnsi" w:cstheme="minorHAnsi"/>
        </w:rPr>
        <w:footnoteRef/>
      </w:r>
      <w:r w:rsidRPr="00816DA9">
        <w:rPr>
          <w:rFonts w:asciiTheme="minorHAnsi" w:hAnsiTheme="minorHAnsi" w:cstheme="minorHAnsi"/>
        </w:rPr>
        <w:t xml:space="preserve"> </w:t>
      </w:r>
      <w:r w:rsidRPr="00816DA9">
        <w:rPr>
          <w:rFonts w:asciiTheme="minorHAnsi" w:hAnsiTheme="minorHAnsi" w:cstheme="minorHAnsi"/>
          <w:lang w:val="en-GB"/>
        </w:rPr>
        <w:t xml:space="preserve">Taddeucci and McCall v. Italy, No. 51362/09, para. 97, available at: </w:t>
      </w:r>
      <w:hyperlink r:id="rId8" w:anchor="{%22languageisocode%22:[%22ENG%22],%22respondent%22:[%22ITA%22],%22article%22:[%228%22,%2214%22],%22documentcollectionid2%22:[%22GRANDCHAMBER%22,%22CHAMBER%22],%22itemid%22:[%22001-164715%22]}" w:history="1">
        <w:r w:rsidRPr="00816DA9">
          <w:rPr>
            <w:rStyle w:val="Hyperlink"/>
            <w:rFonts w:asciiTheme="minorHAnsi" w:hAnsiTheme="minorHAnsi" w:cstheme="minorHAnsi"/>
            <w:lang w:val="en-GB"/>
          </w:rPr>
          <w:t>https://hudoc.echr.coe.int/eng#{%22languageisocode%22:[%22ENG%22],%22respondent%22:[%22ITA%22],%22article%22:[%228%22,%2214%22],%22documentcollectionid2%22:[%22GRANDCHAMBER%22,%22CHAMBER%22],%22itemid%22:[%22001-164715%22]}</w:t>
        </w:r>
      </w:hyperlink>
    </w:p>
  </w:footnote>
  <w:footnote w:id="33">
    <w:p w14:paraId="560110BC" w14:textId="134C338E" w:rsidR="002D182B" w:rsidRPr="006C4B35" w:rsidRDefault="002D182B">
      <w:pPr>
        <w:pStyle w:val="FootnoteText"/>
        <w:rPr>
          <w:rFonts w:asciiTheme="minorHAnsi" w:hAnsiTheme="minorHAnsi" w:cstheme="minorHAnsi"/>
          <w:lang w:val="es-ES"/>
        </w:rPr>
      </w:pPr>
      <w:r w:rsidRPr="00816DA9">
        <w:rPr>
          <w:rStyle w:val="FootnoteReference"/>
          <w:rFonts w:asciiTheme="minorHAnsi" w:hAnsiTheme="minorHAnsi" w:cstheme="minorHAnsi"/>
        </w:rPr>
        <w:footnoteRef/>
      </w:r>
      <w:r w:rsidRPr="00816DA9">
        <w:rPr>
          <w:rFonts w:asciiTheme="minorHAnsi" w:hAnsiTheme="minorHAnsi" w:cstheme="minorHAnsi"/>
          <w:lang w:val="es-ES"/>
        </w:rPr>
        <w:t xml:space="preserve"> </w:t>
      </w:r>
      <w:r w:rsidR="00C26E17" w:rsidRPr="00816DA9">
        <w:rPr>
          <w:rFonts w:asciiTheme="minorHAnsi" w:hAnsiTheme="minorHAnsi" w:cstheme="minorHAnsi"/>
          <w:lang w:val="es-ES"/>
        </w:rPr>
        <w:t>Therein, paras. 83 - 84.</w:t>
      </w:r>
    </w:p>
  </w:footnote>
  <w:footnote w:id="34">
    <w:p w14:paraId="0867CFA9" w14:textId="26C1A6EC" w:rsidR="008F3DA7" w:rsidRPr="006C4B35" w:rsidRDefault="008F3DA7">
      <w:pPr>
        <w:pStyle w:val="FootnoteText"/>
        <w:rPr>
          <w:rFonts w:asciiTheme="minorHAnsi" w:hAnsiTheme="minorHAnsi" w:cstheme="minorHAnsi"/>
          <w:lang w:val="es-ES"/>
        </w:rPr>
      </w:pPr>
      <w:r w:rsidRPr="003E4F24">
        <w:rPr>
          <w:rStyle w:val="FootnoteReference"/>
          <w:rFonts w:asciiTheme="minorHAnsi" w:hAnsiTheme="minorHAnsi" w:cstheme="minorHAnsi"/>
        </w:rPr>
        <w:footnoteRef/>
      </w:r>
      <w:r w:rsidRPr="006C4B35">
        <w:rPr>
          <w:rFonts w:asciiTheme="minorHAnsi" w:hAnsiTheme="minorHAnsi" w:cstheme="minorHAnsi"/>
          <w:lang w:val="es-ES"/>
        </w:rPr>
        <w:t xml:space="preserve"> Therein, para. 98.</w:t>
      </w:r>
    </w:p>
  </w:footnote>
  <w:footnote w:id="35">
    <w:p w14:paraId="36F60016" w14:textId="19FEB518" w:rsidR="00872D93" w:rsidRPr="00816DA9" w:rsidRDefault="00494B01" w:rsidP="00A602F5">
      <w:pPr>
        <w:pStyle w:val="FootnoteText"/>
        <w:rPr>
          <w:rFonts w:asciiTheme="minorHAnsi" w:hAnsiTheme="minorHAnsi" w:cstheme="minorHAnsi"/>
          <w:color w:val="0563C1" w:themeColor="hyperlink"/>
          <w:u w:val="single"/>
          <w:lang w:val="en-GB"/>
        </w:rPr>
      </w:pPr>
      <w:r w:rsidRPr="003E4F24">
        <w:rPr>
          <w:rStyle w:val="FootnoteReference"/>
          <w:rFonts w:asciiTheme="minorHAnsi" w:hAnsiTheme="minorHAnsi" w:cstheme="minorHAnsi"/>
        </w:rPr>
        <w:footnoteRef/>
      </w:r>
      <w:r w:rsidRPr="006C4B35">
        <w:rPr>
          <w:rFonts w:asciiTheme="minorHAnsi" w:hAnsiTheme="minorHAnsi" w:cstheme="minorHAnsi"/>
          <w:lang w:val="es-ES"/>
        </w:rPr>
        <w:t xml:space="preserve"> </w:t>
      </w:r>
      <w:r w:rsidR="00872D93" w:rsidRPr="00816DA9">
        <w:rPr>
          <w:rFonts w:asciiTheme="minorHAnsi" w:hAnsiTheme="minorHAnsi" w:cstheme="minorHAnsi"/>
          <w:lang w:val="es-ES"/>
        </w:rPr>
        <w:t xml:space="preserve">Pajić v. Croatia, No. 68453/13, para. </w:t>
      </w:r>
      <w:r w:rsidR="00872D93" w:rsidRPr="00816DA9">
        <w:rPr>
          <w:rFonts w:asciiTheme="minorHAnsi" w:hAnsiTheme="minorHAnsi" w:cstheme="minorHAnsi"/>
          <w:lang w:val="en-GB"/>
        </w:rPr>
        <w:t xml:space="preserve">85, available at: </w:t>
      </w:r>
      <w:hyperlink r:id="rId9" w:anchor="{%22languageisocode%22:[%22ENG%22],%22respondent%22:[%22HRV%22],%22article%22:[%228%22,%2214%22],%22documentcollectionid2%22:[%22GRANDCHAMBER%22,%22CHAMBER%22],%22itemid%22:[%22001-161061%22]}" w:history="1">
        <w:r w:rsidR="00872D93" w:rsidRPr="00816DA9">
          <w:rPr>
            <w:rStyle w:val="Hyperlink"/>
            <w:rFonts w:asciiTheme="minorHAnsi" w:hAnsiTheme="minorHAnsi" w:cstheme="minorHAnsi"/>
            <w:lang w:val="en-GB"/>
          </w:rPr>
          <w:t>https://hudoc.echr.coe.int/eng#{%22languageisocode%22:[%22ENG%22],%22respondent%22:[%22HRV%22],%22article%22:[%228%22,%2214%22],%22documentcollectionid2%22:[%22GRANDCHAMBER%22,%22CHAMBER%22],%22itemid%22:[%22001-161061%22]}</w:t>
        </w:r>
      </w:hyperlink>
    </w:p>
  </w:footnote>
  <w:footnote w:id="36">
    <w:p w14:paraId="1E702CD6" w14:textId="578DA502" w:rsidR="00BC48BA" w:rsidRDefault="00BC48BA">
      <w:pPr>
        <w:pStyle w:val="FootnoteText"/>
      </w:pPr>
      <w:r w:rsidRPr="00816DA9">
        <w:rPr>
          <w:rStyle w:val="FootnoteReference"/>
        </w:rPr>
        <w:footnoteRef/>
      </w:r>
      <w:r w:rsidRPr="00816DA9">
        <w:rPr>
          <w:lang w:val="pt-BR"/>
        </w:rPr>
        <w:t xml:space="preserve"> </w:t>
      </w:r>
      <w:r w:rsidRPr="00816DA9">
        <w:rPr>
          <w:rFonts w:asciiTheme="minorHAnsi" w:hAnsiTheme="minorHAnsi" w:cstheme="minorHAnsi"/>
          <w:lang w:val="pt-BR"/>
        </w:rPr>
        <w:t>Wagner v. Luxembourg, No. 76240/01, para</w:t>
      </w:r>
      <w:r w:rsidRPr="00224929">
        <w:rPr>
          <w:rFonts w:asciiTheme="minorHAnsi" w:hAnsiTheme="minorHAnsi" w:cstheme="minorHAnsi"/>
          <w:lang w:val="pt-BR"/>
        </w:rPr>
        <w:t xml:space="preserve">. </w:t>
      </w:r>
      <w:r w:rsidRPr="00BC48BA">
        <w:rPr>
          <w:rFonts w:asciiTheme="minorHAnsi" w:hAnsiTheme="minorHAnsi" w:cstheme="minorHAnsi"/>
          <w:lang w:val="en-GB"/>
        </w:rPr>
        <w:t xml:space="preserve">133, available at: </w:t>
      </w:r>
      <w:hyperlink r:id="rId10" w:anchor="{%22itemid%22:[%22001-81328%22]}" w:history="1">
        <w:r w:rsidRPr="00BC48BA">
          <w:rPr>
            <w:rStyle w:val="Hyperlink"/>
            <w:rFonts w:asciiTheme="minorHAnsi" w:hAnsiTheme="minorHAnsi" w:cstheme="minorHAnsi"/>
            <w:lang w:val="en-GB"/>
          </w:rPr>
          <w:t>https://hudoc.echr.coe.int/fre#{%22itemid%22:[%22001-81328%22]}</w:t>
        </w:r>
      </w:hyperlink>
    </w:p>
  </w:footnote>
  <w:footnote w:id="37">
    <w:p w14:paraId="0E2AB45A" w14:textId="0AEA3F82" w:rsidR="005E0BED" w:rsidRPr="00774FEF" w:rsidRDefault="005E0BED">
      <w:pPr>
        <w:pStyle w:val="FootnoteText"/>
      </w:pPr>
      <w:r w:rsidRPr="00774FEF">
        <w:rPr>
          <w:rStyle w:val="FootnoteReference"/>
        </w:rPr>
        <w:footnoteRef/>
      </w:r>
      <w:r w:rsidRPr="00774FEF">
        <w:t xml:space="preserve"> </w:t>
      </w:r>
      <w:r w:rsidR="00A362E8" w:rsidRPr="00774FEF">
        <w:rPr>
          <w:rFonts w:asciiTheme="minorHAnsi" w:hAnsiTheme="minorHAnsi" w:cstheme="minorHAnsi"/>
          <w:lang w:val="en-GB"/>
        </w:rPr>
        <w:t xml:space="preserve">Mennesson v. France, No. 65192/11, para. 96, available at: </w:t>
      </w:r>
      <w:hyperlink r:id="rId11" w:anchor="{%22fulltext%22:[%22mennesson%22],%22documentcollectionid2%22:[%22GRANDCHAMBER%22,%22CHAMBER%22],%22itemid%22:[%22001-145389%22]}" w:history="1">
        <w:r w:rsidR="00A362E8" w:rsidRPr="00774FEF">
          <w:rPr>
            <w:rStyle w:val="Hyperlink"/>
            <w:rFonts w:asciiTheme="minorHAnsi" w:hAnsiTheme="minorHAnsi" w:cstheme="minorHAnsi"/>
            <w:lang w:val="en-GB"/>
          </w:rPr>
          <w:t>https://hudoc.echr.coe.int/eng#{%22fulltext%22:[%22mennesson%22],%22documentcollectionid2%22:[%22GRANDCHAMBER%22,%22CHAMBER%22],%22itemid%22:[%22001-145389%22]}</w:t>
        </w:r>
      </w:hyperlink>
    </w:p>
  </w:footnote>
  <w:footnote w:id="38">
    <w:p w14:paraId="2BDD20CB" w14:textId="0DEB1CFE" w:rsidR="00625E10" w:rsidRPr="00774FEF" w:rsidRDefault="00603964" w:rsidP="00AD5F37">
      <w:pPr>
        <w:pStyle w:val="FootnoteText"/>
        <w:rPr>
          <w:rFonts w:ascii="Times New Roman" w:hAnsi="Times New Roman" w:cs="Times New Roman"/>
          <w:lang w:val="en-GB"/>
        </w:rPr>
      </w:pPr>
      <w:r w:rsidRPr="00774FEF">
        <w:rPr>
          <w:rStyle w:val="FootnoteReference"/>
        </w:rPr>
        <w:footnoteRef/>
      </w:r>
      <w:r w:rsidRPr="00774FEF">
        <w:t xml:space="preserve"> </w:t>
      </w:r>
      <w:r w:rsidR="00625E10" w:rsidRPr="00774FEF">
        <w:rPr>
          <w:rFonts w:asciiTheme="minorHAnsi" w:hAnsiTheme="minorHAnsi" w:cstheme="minorHAnsi"/>
          <w:lang w:val="en-GB"/>
        </w:rPr>
        <w:t xml:space="preserve">D v. France, No. 11288/18, available in French at: </w:t>
      </w:r>
      <w:hyperlink r:id="rId12" w:anchor="{%22languageisocode%22:[%22FRE%22],%22appno%22:[%2211288/18%22],%22documentcollectionid2%22:[%22CHAMBER%22],%22itemid%22:[%22001-203565%22]}" w:history="1">
        <w:r w:rsidR="00625E10" w:rsidRPr="00774FEF">
          <w:rPr>
            <w:rStyle w:val="Hyperlink"/>
            <w:rFonts w:asciiTheme="minorHAnsi" w:hAnsiTheme="minorHAnsi" w:cstheme="minorHAnsi"/>
            <w:lang w:val="en-GB"/>
          </w:rPr>
          <w:t>https://hudoc.echr.coe.int/eng#{%22languageisocode%22:[%22FRE%22],%22appno%22:[%2211288/18%22],%22documentcollectionid2%22:[%22CHAMBER%22],%22itemid%22:[%22001-203565%22]}</w:t>
        </w:r>
      </w:hyperlink>
      <w:r w:rsidR="00625E10" w:rsidRPr="00774FEF">
        <w:rPr>
          <w:rFonts w:ascii="Times New Roman" w:hAnsi="Times New Roman" w:cs="Times New Roman"/>
          <w:lang w:val="en-GB"/>
        </w:rPr>
        <w:t xml:space="preserve"> </w:t>
      </w:r>
    </w:p>
  </w:footnote>
  <w:footnote w:id="39">
    <w:p w14:paraId="5D81370B" w14:textId="2F26C636" w:rsidR="00625E10" w:rsidRPr="004D1A3B" w:rsidRDefault="00625E10">
      <w:pPr>
        <w:pStyle w:val="FootnoteText"/>
        <w:rPr>
          <w:rFonts w:asciiTheme="minorHAnsi" w:hAnsiTheme="minorHAnsi" w:cstheme="minorHAnsi"/>
        </w:rPr>
      </w:pPr>
      <w:r w:rsidRPr="00774FEF">
        <w:rPr>
          <w:rStyle w:val="FootnoteReference"/>
          <w:rFonts w:asciiTheme="minorHAnsi" w:hAnsiTheme="minorHAnsi" w:cstheme="minorHAnsi"/>
        </w:rPr>
        <w:footnoteRef/>
      </w:r>
      <w:r w:rsidRPr="00774FEF">
        <w:rPr>
          <w:rFonts w:asciiTheme="minorHAnsi" w:hAnsiTheme="minorHAnsi" w:cstheme="minorHAnsi"/>
        </w:rPr>
        <w:t xml:space="preserve"> </w:t>
      </w:r>
      <w:r w:rsidR="004D1A3B" w:rsidRPr="00774FEF">
        <w:rPr>
          <w:rFonts w:asciiTheme="minorHAnsi" w:hAnsiTheme="minorHAnsi" w:cstheme="minorHAnsi"/>
          <w:lang w:val="en-GB"/>
        </w:rPr>
        <w:t>See also ECtHR Advisory opinion concerning the recognition in domestic law of a legal parent-child relationship between a child born through a gestational surrogacy arrangement abroad and the intended mother, No. P16-2018-001, available</w:t>
      </w:r>
      <w:r w:rsidR="004D1A3B" w:rsidRPr="004D1A3B">
        <w:rPr>
          <w:rFonts w:asciiTheme="minorHAnsi" w:hAnsiTheme="minorHAnsi" w:cstheme="minorHAnsi"/>
          <w:lang w:val="en-GB"/>
        </w:rPr>
        <w:t xml:space="preserve"> at: </w:t>
      </w:r>
      <w:hyperlink r:id="rId13" w:anchor="{%22itemid%22:[%22003-6380464-8364383%22]}" w:history="1">
        <w:r w:rsidR="004D1A3B" w:rsidRPr="004D1A3B">
          <w:rPr>
            <w:rStyle w:val="Hyperlink"/>
            <w:rFonts w:asciiTheme="minorHAnsi" w:hAnsiTheme="minorHAnsi" w:cstheme="minorHAnsi"/>
            <w:lang w:val="en-GB"/>
          </w:rPr>
          <w:t>https://hudoc.echr.coe.int/eng#{%22itemid%22:[%22003-6380464-8364383%22]}</w:t>
        </w:r>
      </w:hyperlink>
    </w:p>
  </w:footnote>
  <w:footnote w:id="40">
    <w:p w14:paraId="2E2AC2E2" w14:textId="77777777" w:rsidR="000141FB" w:rsidRPr="000141FB" w:rsidRDefault="00EE3E60" w:rsidP="000141FB">
      <w:pPr>
        <w:pStyle w:val="FootnoteText"/>
        <w:rPr>
          <w:rFonts w:asciiTheme="minorHAnsi" w:hAnsiTheme="minorHAnsi" w:cstheme="minorHAnsi"/>
          <w:lang w:val="en-GB"/>
        </w:rPr>
      </w:pPr>
      <w:r w:rsidRPr="000141FB">
        <w:rPr>
          <w:rStyle w:val="FootnoteReference"/>
          <w:rFonts w:asciiTheme="minorHAnsi" w:hAnsiTheme="minorHAnsi" w:cstheme="minorHAnsi"/>
        </w:rPr>
        <w:footnoteRef/>
      </w:r>
      <w:r w:rsidRPr="000141FB">
        <w:rPr>
          <w:rFonts w:asciiTheme="minorHAnsi" w:hAnsiTheme="minorHAnsi" w:cstheme="minorHAnsi"/>
        </w:rPr>
        <w:t xml:space="preserve"> </w:t>
      </w:r>
      <w:r w:rsidR="000141FB" w:rsidRPr="000D2F25">
        <w:rPr>
          <w:rFonts w:asciiTheme="minorHAnsi" w:hAnsiTheme="minorHAnsi" w:cstheme="minorHAnsi"/>
          <w:lang w:val="en-GB"/>
        </w:rPr>
        <w:t xml:space="preserve">A.D.-K. and Others v. Poland, No. 30806/15, communicated on 26 February 2019, available at: </w:t>
      </w:r>
      <w:hyperlink r:id="rId14" w:anchor="{%22fulltext%22:[%2230806/15%22],%22documentcollectionid2%22:[%22GRANDCHAMBER%22,%22CHAMBER%22,%22COMMUNICATEDCASES%22],%22itemid%22:[%22001-192049%22]}" w:history="1">
        <w:r w:rsidR="000141FB" w:rsidRPr="000D2F25">
          <w:rPr>
            <w:rStyle w:val="Hyperlink"/>
            <w:rFonts w:asciiTheme="minorHAnsi" w:hAnsiTheme="minorHAnsi" w:cstheme="minorHAnsi"/>
            <w:lang w:val="en-GB"/>
          </w:rPr>
          <w:t>https://hudoc.echr.coe.int/eng#{%22fulltext%22:[%2230806/15%22],%22documentcollectionid2%22:[%22GRANDCHAMBER%22,%22CHAMBER%22,%22COMMUNICATEDCASES%22],%22itemid%22:[%22001-192049%22]}</w:t>
        </w:r>
      </w:hyperlink>
      <w:r w:rsidR="000141FB" w:rsidRPr="000141FB">
        <w:rPr>
          <w:rFonts w:asciiTheme="minorHAnsi" w:hAnsiTheme="minorHAnsi" w:cstheme="minorHAnsi"/>
          <w:lang w:val="en-GB"/>
        </w:rPr>
        <w:t xml:space="preserve"> </w:t>
      </w:r>
    </w:p>
    <w:p w14:paraId="39C6845C" w14:textId="398329D9" w:rsidR="00EE3E60" w:rsidRPr="000141FB" w:rsidRDefault="00EE3E60">
      <w:pPr>
        <w:pStyle w:val="FootnoteText"/>
        <w:rPr>
          <w:lang w:val="en-GB"/>
        </w:rPr>
      </w:pPr>
    </w:p>
  </w:footnote>
  <w:footnote w:id="41">
    <w:p w14:paraId="3BBFC928" w14:textId="10A87BCD" w:rsidR="00AD58F6" w:rsidRPr="000D2F25" w:rsidRDefault="00AD58F6">
      <w:pPr>
        <w:pStyle w:val="FootnoteText"/>
        <w:rPr>
          <w:rFonts w:asciiTheme="minorHAnsi" w:hAnsiTheme="minorHAnsi" w:cstheme="minorHAnsi"/>
        </w:rPr>
      </w:pPr>
      <w:r w:rsidRPr="007B2AB8">
        <w:rPr>
          <w:rStyle w:val="FootnoteReference"/>
          <w:rFonts w:asciiTheme="minorHAnsi" w:hAnsiTheme="minorHAnsi" w:cstheme="minorHAnsi"/>
        </w:rPr>
        <w:footnoteRef/>
      </w:r>
      <w:r w:rsidRPr="007B2AB8">
        <w:rPr>
          <w:rFonts w:asciiTheme="minorHAnsi" w:hAnsiTheme="minorHAnsi" w:cstheme="minorHAnsi"/>
        </w:rPr>
        <w:t xml:space="preserve"> </w:t>
      </w:r>
      <w:r w:rsidR="007B2AB8" w:rsidRPr="000D2F25">
        <w:rPr>
          <w:rFonts w:asciiTheme="minorHAnsi" w:hAnsiTheme="minorHAnsi" w:cstheme="minorHAnsi"/>
          <w:lang w:val="en-GB"/>
        </w:rPr>
        <w:t>X, Y and Z v. the United Kingdom, No. 21830/93, paras. 33 – 37.</w:t>
      </w:r>
    </w:p>
  </w:footnote>
  <w:footnote w:id="42">
    <w:p w14:paraId="3105C523" w14:textId="34F4D1E2" w:rsidR="003E03CD" w:rsidRPr="000D2F25" w:rsidRDefault="003E03CD">
      <w:pPr>
        <w:pStyle w:val="FootnoteText"/>
        <w:rPr>
          <w:rFonts w:asciiTheme="minorHAnsi" w:hAnsiTheme="minorHAnsi" w:cstheme="minorHAnsi"/>
        </w:rPr>
      </w:pPr>
      <w:r w:rsidRPr="000D2F25">
        <w:rPr>
          <w:rStyle w:val="FootnoteReference"/>
          <w:rFonts w:asciiTheme="minorHAnsi" w:hAnsiTheme="minorHAnsi" w:cstheme="minorHAnsi"/>
        </w:rPr>
        <w:footnoteRef/>
      </w:r>
      <w:r w:rsidRPr="000D2F25">
        <w:rPr>
          <w:rFonts w:asciiTheme="minorHAnsi" w:hAnsiTheme="minorHAnsi" w:cstheme="minorHAnsi"/>
        </w:rPr>
        <w:t xml:space="preserve"> </w:t>
      </w:r>
      <w:r w:rsidR="00C122C4" w:rsidRPr="000D2F25">
        <w:rPr>
          <w:rFonts w:asciiTheme="minorHAnsi" w:hAnsiTheme="minorHAnsi" w:cstheme="minorHAnsi"/>
          <w:lang w:val="en-GB"/>
        </w:rPr>
        <w:t xml:space="preserve">A.M. and Others v. Russia, No. 47220/19, paras. 74 – 80, available at: </w:t>
      </w:r>
      <w:hyperlink r:id="rId15" w:anchor="{%22itemid%22:[%22001-210878%22]}" w:history="1">
        <w:r w:rsidR="00C122C4" w:rsidRPr="000D2F25">
          <w:rPr>
            <w:rStyle w:val="Hyperlink"/>
            <w:rFonts w:asciiTheme="minorHAnsi" w:hAnsiTheme="minorHAnsi" w:cstheme="minorHAnsi"/>
            <w:lang w:val="en-GB"/>
          </w:rPr>
          <w:t>https://hudoc.echr.coe.int/eng#{%22itemid%22:[%22001-210878%22]}</w:t>
        </w:r>
      </w:hyperlink>
    </w:p>
  </w:footnote>
  <w:footnote w:id="43">
    <w:p w14:paraId="1DA6A830" w14:textId="1865D4AF" w:rsidR="0081420C" w:rsidRPr="000D2F25" w:rsidRDefault="0081420C">
      <w:pPr>
        <w:pStyle w:val="FootnoteText"/>
        <w:rPr>
          <w:rFonts w:asciiTheme="minorHAnsi" w:hAnsiTheme="minorHAnsi" w:cstheme="minorHAnsi"/>
        </w:rPr>
      </w:pPr>
      <w:r w:rsidRPr="000D2F25">
        <w:rPr>
          <w:rStyle w:val="FootnoteReference"/>
          <w:rFonts w:asciiTheme="minorHAnsi" w:hAnsiTheme="minorHAnsi" w:cstheme="minorHAnsi"/>
        </w:rPr>
        <w:footnoteRef/>
      </w:r>
      <w:r w:rsidRPr="000D2F25">
        <w:rPr>
          <w:rFonts w:asciiTheme="minorHAnsi" w:hAnsiTheme="minorHAnsi" w:cstheme="minorHAnsi"/>
        </w:rPr>
        <w:t xml:space="preserve"> </w:t>
      </w:r>
      <w:r w:rsidR="004E096D" w:rsidRPr="000D2F25">
        <w:rPr>
          <w:rFonts w:asciiTheme="minorHAnsi" w:hAnsiTheme="minorHAnsi" w:cstheme="minorHAnsi"/>
          <w:lang w:val="en-GB"/>
        </w:rPr>
        <w:t>On the contrary, in P.V. v. Spain ECtH</w:t>
      </w:r>
      <w:r w:rsidR="00C909B0">
        <w:rPr>
          <w:rFonts w:asciiTheme="minorHAnsi" w:hAnsiTheme="minorHAnsi" w:cstheme="minorHAnsi"/>
          <w:lang w:val="en-GB"/>
        </w:rPr>
        <w:t xml:space="preserve">R </w:t>
      </w:r>
      <w:r w:rsidR="004E096D" w:rsidRPr="000D2F25">
        <w:rPr>
          <w:rFonts w:asciiTheme="minorHAnsi" w:hAnsiTheme="minorHAnsi" w:cstheme="minorHAnsi"/>
          <w:lang w:val="en-GB"/>
        </w:rPr>
        <w:t xml:space="preserve">found no violation of Article 14 in conjunction with Article 8 ECHR as in the domestic courts, based on the best interest of the child, choose a more restrictive contact arrangement that would allow a child to become gradually accustomed to his father’s gender reassignment. The contact arrangements had been ordered on a gradual and reviewable basis, in accordance with the recommendations made by experts, and the applicant’s transsexuality had not been the decisive factor of those decisions. See: P.V. v. Spain, No. 35159/09, paras. 34 – 37, available at: </w:t>
      </w:r>
      <w:hyperlink r:id="rId16" w:anchor="{%22itemid%22:[%22001-101943%22]}" w:history="1">
        <w:r w:rsidR="004E096D" w:rsidRPr="000D2F25">
          <w:rPr>
            <w:rStyle w:val="Hyperlink"/>
            <w:rFonts w:asciiTheme="minorHAnsi" w:hAnsiTheme="minorHAnsi" w:cstheme="minorHAnsi"/>
            <w:lang w:val="en-GB"/>
          </w:rPr>
          <w:t>https://hudoc.echr.coe.int/eng#{%22itemid%22:[%22001-101943%22]}</w:t>
        </w:r>
      </w:hyperlink>
    </w:p>
  </w:footnote>
  <w:footnote w:id="44">
    <w:p w14:paraId="5AC9D793" w14:textId="1BAE9E02" w:rsidR="00C81FCA" w:rsidRPr="000D2F25" w:rsidRDefault="00C81FCA">
      <w:pPr>
        <w:pStyle w:val="FootnoteText"/>
        <w:rPr>
          <w:rFonts w:asciiTheme="minorHAnsi" w:hAnsiTheme="minorHAnsi" w:cstheme="minorHAnsi"/>
        </w:rPr>
      </w:pPr>
      <w:r w:rsidRPr="000D2F25">
        <w:rPr>
          <w:rStyle w:val="FootnoteReference"/>
          <w:rFonts w:asciiTheme="minorHAnsi" w:hAnsiTheme="minorHAnsi" w:cstheme="minorHAnsi"/>
        </w:rPr>
        <w:footnoteRef/>
      </w:r>
      <w:r w:rsidRPr="000D2F25">
        <w:rPr>
          <w:rFonts w:asciiTheme="minorHAnsi" w:hAnsiTheme="minorHAnsi" w:cstheme="minorHAnsi"/>
        </w:rPr>
        <w:t xml:space="preserve"> </w:t>
      </w:r>
      <w:r w:rsidR="00D25D83" w:rsidRPr="000D2F25">
        <w:rPr>
          <w:rFonts w:asciiTheme="minorHAnsi" w:hAnsiTheme="minorHAnsi" w:cstheme="minorHAnsi"/>
          <w:lang w:val="en-GB"/>
        </w:rPr>
        <w:t xml:space="preserve">Hämäläinen v. Finland, No. 37359/09, para. 84, available at: </w:t>
      </w:r>
      <w:hyperlink r:id="rId17" w:anchor="{%22itemid%22:[%22001-145768%22]}" w:history="1">
        <w:r w:rsidR="00D25D83" w:rsidRPr="000D2F25">
          <w:rPr>
            <w:rStyle w:val="Hyperlink"/>
            <w:rFonts w:asciiTheme="minorHAnsi" w:hAnsiTheme="minorHAnsi" w:cstheme="minorHAnsi"/>
            <w:lang w:val="en-GB"/>
          </w:rPr>
          <w:t>https://hudoc.echr.coe.int/eng#{%22itemid%22:[%22001-145768%22]}</w:t>
        </w:r>
      </w:hyperlink>
    </w:p>
  </w:footnote>
  <w:footnote w:id="45">
    <w:p w14:paraId="3601EF89" w14:textId="61CD35C7" w:rsidR="00137FEB" w:rsidRPr="00137FEB" w:rsidRDefault="00137FEB">
      <w:pPr>
        <w:pStyle w:val="FootnoteText"/>
        <w:rPr>
          <w:rFonts w:asciiTheme="minorHAnsi" w:hAnsiTheme="minorHAnsi" w:cstheme="minorHAnsi"/>
        </w:rPr>
      </w:pPr>
      <w:r w:rsidRPr="000D2F25">
        <w:rPr>
          <w:rStyle w:val="FootnoteReference"/>
          <w:rFonts w:asciiTheme="minorHAnsi" w:hAnsiTheme="minorHAnsi" w:cstheme="minorHAnsi"/>
        </w:rPr>
        <w:footnoteRef/>
      </w:r>
      <w:r w:rsidRPr="000D2F25">
        <w:rPr>
          <w:rFonts w:asciiTheme="minorHAnsi" w:hAnsiTheme="minorHAnsi" w:cstheme="minorHAnsi"/>
        </w:rPr>
        <w:t xml:space="preserve"> </w:t>
      </w:r>
      <w:r w:rsidRPr="000D2F25">
        <w:rPr>
          <w:rFonts w:asciiTheme="minorHAnsi" w:hAnsiTheme="minorHAnsi" w:cstheme="minorHAnsi"/>
          <w:lang w:val="en-GB"/>
        </w:rPr>
        <w:t>When considering the requirement of divorce upon gender transition in matters of social security, CJEU ruled  that the requirement for transgendered persons to be unmarried in order to qualify for a State pension at the retirement age of their current gender violated EU law as it constituted direct discrimination on the ground of sex. See: Case C-451/16 MB v. Secretary of State for Work and Pensions, E</w:t>
      </w:r>
      <w:r w:rsidRPr="00137FEB">
        <w:rPr>
          <w:rFonts w:asciiTheme="minorHAnsi" w:hAnsiTheme="minorHAnsi" w:cstheme="minorHAnsi"/>
          <w:lang w:val="en-GB"/>
        </w:rPr>
        <w:t>CLI:EU:C:2018:492</w:t>
      </w:r>
    </w:p>
  </w:footnote>
  <w:footnote w:id="46">
    <w:p w14:paraId="1E9F5415" w14:textId="67A17165" w:rsidR="00DA170B" w:rsidRDefault="00DA170B">
      <w:pPr>
        <w:pStyle w:val="FootnoteText"/>
      </w:pPr>
      <w:r>
        <w:rPr>
          <w:rStyle w:val="FootnoteReference"/>
        </w:rPr>
        <w:footnoteRef/>
      </w:r>
      <w:r>
        <w:t xml:space="preserve"> </w:t>
      </w:r>
      <w:r w:rsidR="00F3696D" w:rsidRPr="00F3696D">
        <w:t xml:space="preserve">Information provided by </w:t>
      </w:r>
      <w:r w:rsidR="00F3696D">
        <w:t>E</w:t>
      </w:r>
      <w:r w:rsidR="00F3696D" w:rsidRPr="00F3696D">
        <w:t xml:space="preserve">quality </w:t>
      </w:r>
      <w:r w:rsidR="00F3696D">
        <w:t>B</w:t>
      </w:r>
      <w:r w:rsidR="00F3696D" w:rsidRPr="00F3696D">
        <w:t>odies responding to the survey.</w:t>
      </w:r>
    </w:p>
  </w:footnote>
  <w:footnote w:id="47">
    <w:p w14:paraId="677EBDD9" w14:textId="5A925FDE" w:rsidR="0043786A" w:rsidRPr="00ED65DA" w:rsidRDefault="0043786A">
      <w:pPr>
        <w:pStyle w:val="FootnoteText"/>
        <w:rPr>
          <w:rFonts w:asciiTheme="minorHAnsi" w:hAnsiTheme="minorHAnsi" w:cstheme="minorHAnsi"/>
        </w:rPr>
      </w:pPr>
      <w:r w:rsidRPr="00ED65DA">
        <w:rPr>
          <w:rStyle w:val="FootnoteReference"/>
          <w:rFonts w:asciiTheme="minorHAnsi" w:hAnsiTheme="minorHAnsi" w:cstheme="minorHAnsi"/>
        </w:rPr>
        <w:footnoteRef/>
      </w:r>
      <w:r w:rsidRPr="00ED65DA">
        <w:rPr>
          <w:rFonts w:asciiTheme="minorHAnsi" w:hAnsiTheme="minorHAnsi" w:cstheme="minorHAnsi"/>
        </w:rPr>
        <w:t xml:space="preserve"> </w:t>
      </w:r>
      <w:r w:rsidR="00ED65DA" w:rsidRPr="00ED65DA">
        <w:rPr>
          <w:rFonts w:asciiTheme="minorHAnsi" w:hAnsiTheme="minorHAnsi" w:cstheme="minorHAnsi"/>
          <w:lang w:val="en-GB"/>
        </w:rPr>
        <w:t xml:space="preserve">ILGA-Europe: Rainbow Index- About, available at: </w:t>
      </w:r>
      <w:hyperlink r:id="rId18" w:history="1">
        <w:r w:rsidR="00ED65DA" w:rsidRPr="00ED65DA">
          <w:rPr>
            <w:rStyle w:val="Hyperlink"/>
            <w:rFonts w:asciiTheme="minorHAnsi" w:hAnsiTheme="minorHAnsi" w:cstheme="minorHAnsi"/>
            <w:lang w:val="en-GB"/>
          </w:rPr>
          <w:t>http://rainbow-europe.org/about</w:t>
        </w:r>
      </w:hyperlink>
    </w:p>
  </w:footnote>
  <w:footnote w:id="48">
    <w:p w14:paraId="6FFE82F6" w14:textId="59FDC349" w:rsidR="00D8795C" w:rsidRPr="00E10DA4" w:rsidRDefault="00D8795C">
      <w:pPr>
        <w:pStyle w:val="FootnoteText"/>
        <w:rPr>
          <w:rFonts w:asciiTheme="minorHAnsi" w:hAnsiTheme="minorHAnsi" w:cstheme="minorHAnsi"/>
        </w:rPr>
      </w:pPr>
      <w:r w:rsidRPr="00E10DA4">
        <w:rPr>
          <w:rStyle w:val="FootnoteReference"/>
          <w:rFonts w:asciiTheme="minorHAnsi" w:hAnsiTheme="minorHAnsi" w:cstheme="minorHAnsi"/>
        </w:rPr>
        <w:footnoteRef/>
      </w:r>
      <w:r w:rsidRPr="00E10DA4">
        <w:rPr>
          <w:rFonts w:asciiTheme="minorHAnsi" w:hAnsiTheme="minorHAnsi" w:cstheme="minorHAnsi"/>
        </w:rPr>
        <w:t xml:space="preserve"> </w:t>
      </w:r>
      <w:r w:rsidR="00E10DA4" w:rsidRPr="00E10DA4">
        <w:rPr>
          <w:rFonts w:asciiTheme="minorHAnsi" w:hAnsiTheme="minorHAnsi" w:cstheme="minorHAnsi"/>
          <w:lang w:val="en-GB"/>
        </w:rPr>
        <w:t xml:space="preserve">ILGA-Europe: Rainbow Index- About, available at: </w:t>
      </w:r>
      <w:hyperlink r:id="rId19" w:history="1">
        <w:r w:rsidR="00E10DA4" w:rsidRPr="00E10DA4">
          <w:rPr>
            <w:rStyle w:val="Hyperlink"/>
            <w:rFonts w:asciiTheme="minorHAnsi" w:hAnsiTheme="minorHAnsi" w:cstheme="minorHAnsi"/>
            <w:lang w:val="en-GB"/>
          </w:rPr>
          <w:t>http://rainbow-europe.org/about</w:t>
        </w:r>
      </w:hyperlink>
    </w:p>
  </w:footnote>
  <w:footnote w:id="49">
    <w:p w14:paraId="61E3A442" w14:textId="6017B3C5" w:rsidR="00AD09F4" w:rsidRDefault="00AD09F4">
      <w:pPr>
        <w:pStyle w:val="FootnoteText"/>
      </w:pPr>
      <w:r>
        <w:rPr>
          <w:rStyle w:val="FootnoteReference"/>
        </w:rPr>
        <w:footnoteRef/>
      </w:r>
      <w:r>
        <w:t xml:space="preserve"> </w:t>
      </w:r>
      <w:r w:rsidRPr="00AD09F4">
        <w:rPr>
          <w:rFonts w:asciiTheme="minorHAnsi" w:hAnsiTheme="minorHAnsi" w:cstheme="minorHAnsi"/>
          <w:lang w:val="en-GB"/>
        </w:rPr>
        <w:t>Together with Azerbaijan, Turkey and Serbia from non-EU countries.</w:t>
      </w:r>
    </w:p>
  </w:footnote>
  <w:footnote w:id="50">
    <w:p w14:paraId="10EDAD85" w14:textId="3A83C8DF" w:rsidR="00A86E4D" w:rsidRPr="00700B7B" w:rsidRDefault="00A86E4D">
      <w:pPr>
        <w:pStyle w:val="FootnoteText"/>
        <w:rPr>
          <w:rFonts w:asciiTheme="minorHAnsi" w:hAnsiTheme="minorHAnsi" w:cstheme="minorHAnsi"/>
        </w:rPr>
      </w:pPr>
      <w:r w:rsidRPr="00700B7B">
        <w:rPr>
          <w:rStyle w:val="FootnoteReference"/>
          <w:rFonts w:asciiTheme="minorHAnsi" w:hAnsiTheme="minorHAnsi" w:cstheme="minorHAnsi"/>
        </w:rPr>
        <w:footnoteRef/>
      </w:r>
      <w:r w:rsidRPr="00700B7B">
        <w:rPr>
          <w:rFonts w:asciiTheme="minorHAnsi" w:hAnsiTheme="minorHAnsi" w:cstheme="minorHAnsi"/>
        </w:rPr>
        <w:t xml:space="preserve"> </w:t>
      </w:r>
      <w:r w:rsidR="00700B7B" w:rsidRPr="00700B7B">
        <w:rPr>
          <w:rFonts w:asciiTheme="minorHAnsi" w:hAnsiTheme="minorHAnsi" w:cstheme="minorHAnsi"/>
          <w:lang w:val="en-GB"/>
        </w:rPr>
        <w:t xml:space="preserve">ILGA-Europe: 2022 Rainbow Index – Country ranking - Family, available at: </w:t>
      </w:r>
      <w:hyperlink r:id="rId20" w:history="1">
        <w:r w:rsidR="00700B7B" w:rsidRPr="00700B7B">
          <w:rPr>
            <w:rStyle w:val="Hyperlink"/>
            <w:rFonts w:asciiTheme="minorHAnsi" w:hAnsiTheme="minorHAnsi" w:cstheme="minorHAnsi"/>
            <w:lang w:val="en-GB"/>
          </w:rPr>
          <w:t>http://rainbow-europe.org/country-ranking</w:t>
        </w:r>
      </w:hyperlink>
    </w:p>
  </w:footnote>
  <w:footnote w:id="51">
    <w:p w14:paraId="5D49411A" w14:textId="1D324B8A" w:rsidR="00971FE4" w:rsidRPr="00971FE4" w:rsidRDefault="00971FE4">
      <w:pPr>
        <w:pStyle w:val="FootnoteText"/>
        <w:rPr>
          <w:rFonts w:asciiTheme="minorHAnsi" w:hAnsiTheme="minorHAnsi" w:cstheme="minorHAnsi"/>
        </w:rPr>
      </w:pPr>
      <w:r w:rsidRPr="00971FE4">
        <w:rPr>
          <w:rStyle w:val="FootnoteReference"/>
          <w:rFonts w:asciiTheme="minorHAnsi" w:hAnsiTheme="minorHAnsi" w:cstheme="minorHAnsi"/>
        </w:rPr>
        <w:footnoteRef/>
      </w:r>
      <w:r w:rsidRPr="00971FE4">
        <w:rPr>
          <w:rFonts w:asciiTheme="minorHAnsi" w:hAnsiTheme="minorHAnsi" w:cstheme="minorHAnsi"/>
        </w:rPr>
        <w:t xml:space="preserve"> </w:t>
      </w:r>
      <w:r w:rsidRPr="00971FE4">
        <w:rPr>
          <w:rFonts w:asciiTheme="minorHAnsi" w:hAnsiTheme="minorHAnsi" w:cstheme="minorHAnsi"/>
          <w:lang w:val="en-GB"/>
        </w:rPr>
        <w:t xml:space="preserve">ILGA-Europe: Annual review of the human rights situation of lesbian, gay, bisexual, trans and intersex people in Europe and Central Asia 2022, p. 13, available at: </w:t>
      </w:r>
      <w:hyperlink r:id="rId21" w:history="1">
        <w:r w:rsidRPr="00971FE4">
          <w:rPr>
            <w:rStyle w:val="Hyperlink"/>
            <w:rFonts w:asciiTheme="minorHAnsi" w:hAnsiTheme="minorHAnsi" w:cstheme="minorHAnsi"/>
            <w:lang w:val="en-GB"/>
          </w:rPr>
          <w:t>http://rainbow-europe.org/annual-review</w:t>
        </w:r>
      </w:hyperlink>
    </w:p>
  </w:footnote>
  <w:footnote w:id="52">
    <w:p w14:paraId="3FFF5B75" w14:textId="4B9F46CC" w:rsidR="00E376B1" w:rsidRPr="002575E4" w:rsidRDefault="00E376B1">
      <w:pPr>
        <w:pStyle w:val="FootnoteText"/>
        <w:rPr>
          <w:rFonts w:asciiTheme="minorHAnsi" w:hAnsiTheme="minorHAnsi" w:cstheme="minorHAnsi"/>
        </w:rPr>
      </w:pPr>
      <w:r w:rsidRPr="002575E4">
        <w:rPr>
          <w:rStyle w:val="FootnoteReference"/>
          <w:rFonts w:asciiTheme="minorHAnsi" w:hAnsiTheme="minorHAnsi" w:cstheme="minorHAnsi"/>
        </w:rPr>
        <w:footnoteRef/>
      </w:r>
      <w:r w:rsidRPr="002575E4">
        <w:rPr>
          <w:rFonts w:asciiTheme="minorHAnsi" w:hAnsiTheme="minorHAnsi" w:cstheme="minorHAnsi"/>
          <w:lang w:val="pt-BR"/>
        </w:rPr>
        <w:t xml:space="preserve"> A.M. v. Russia, No. 47220/19, paras. </w:t>
      </w:r>
      <w:r w:rsidRPr="002575E4">
        <w:rPr>
          <w:rFonts w:asciiTheme="minorHAnsi" w:hAnsiTheme="minorHAnsi" w:cstheme="minorHAnsi"/>
          <w:lang w:val="en-GB"/>
        </w:rPr>
        <w:t xml:space="preserve">79-80, available at: </w:t>
      </w:r>
      <w:hyperlink r:id="rId22" w:anchor="{%22itemid%22:[%22001-210878%22]}" w:history="1">
        <w:r w:rsidRPr="002575E4">
          <w:rPr>
            <w:rStyle w:val="Hyperlink"/>
            <w:rFonts w:asciiTheme="minorHAnsi" w:hAnsiTheme="minorHAnsi" w:cstheme="minorHAnsi"/>
            <w:lang w:val="en-GB"/>
          </w:rPr>
          <w:t>https://hudoc.echr.coe.int/eng#{%22itemid%22:[%22001-210878%22]}</w:t>
        </w:r>
      </w:hyperlink>
    </w:p>
  </w:footnote>
  <w:footnote w:id="53">
    <w:p w14:paraId="6A644CAA" w14:textId="4819BBCD" w:rsidR="0062385A" w:rsidRPr="002575E4" w:rsidRDefault="0062385A">
      <w:pPr>
        <w:pStyle w:val="FootnoteText"/>
        <w:rPr>
          <w:rFonts w:asciiTheme="minorHAnsi" w:hAnsiTheme="minorHAnsi" w:cstheme="minorHAnsi"/>
        </w:rPr>
      </w:pPr>
      <w:r w:rsidRPr="002575E4">
        <w:rPr>
          <w:rStyle w:val="FootnoteReference"/>
          <w:rFonts w:asciiTheme="minorHAnsi" w:hAnsiTheme="minorHAnsi" w:cstheme="minorHAnsi"/>
        </w:rPr>
        <w:footnoteRef/>
      </w:r>
      <w:r w:rsidRPr="002575E4">
        <w:rPr>
          <w:rFonts w:asciiTheme="minorHAnsi" w:hAnsiTheme="minorHAnsi" w:cstheme="minorHAnsi"/>
        </w:rPr>
        <w:t xml:space="preserve"> </w:t>
      </w:r>
      <w:r w:rsidR="00562175" w:rsidRPr="002575E4">
        <w:rPr>
          <w:rFonts w:asciiTheme="minorHAnsi" w:hAnsiTheme="minorHAnsi" w:cstheme="minorHAnsi"/>
          <w:lang w:val="en-GB"/>
        </w:rPr>
        <w:t xml:space="preserve">Fedotova and Others v. Russia, Nos. 40792/10, 30538/14 and 43439/14, , paras. 178, 189 and 190, available at: </w:t>
      </w:r>
      <w:hyperlink r:id="rId23" w:anchor="{%22fulltext%22:[%22%22CASE%20OF%20FEDOTOVA%20AND%20OTHERS%20v.%20RUSSIA%22%22],%22documentcollectionid2%22:[%22GRANDCHAMBER%22,%22CHAMBER%22],%22itemid%22:[%22001-222750%22]}" w:history="1">
        <w:r w:rsidR="00562175" w:rsidRPr="002575E4">
          <w:rPr>
            <w:rStyle w:val="Hyperlink"/>
            <w:rFonts w:asciiTheme="minorHAnsi" w:hAnsiTheme="minorHAnsi" w:cstheme="minorHAnsi"/>
            <w:lang w:val="en-GB"/>
          </w:rPr>
          <w:t>https://hudoc.echr.coe.int/eng#{%22fulltext%22:[%22\%22CASE%20OF%20FEDOTOVA%20AND%20OTHERS%20v.%20RUSSIA\%22%22],%22documentcollectionid2%22:[%22GRANDCHAMBER%22,%22CHAMBER%22],%22itemid%22:[%22001-222750%22]}</w:t>
        </w:r>
      </w:hyperlink>
      <w:r w:rsidR="004D3DF0" w:rsidRPr="002575E4">
        <w:rPr>
          <w:rFonts w:asciiTheme="minorHAnsi" w:hAnsiTheme="minorHAnsi" w:cstheme="minorHAnsi"/>
          <w:lang w:val="en-GB"/>
        </w:rPr>
        <w:t xml:space="preserve">. </w:t>
      </w:r>
      <w:r w:rsidR="00562175" w:rsidRPr="002575E4">
        <w:rPr>
          <w:rFonts w:asciiTheme="minorHAnsi" w:hAnsiTheme="minorHAnsi" w:cstheme="minorHAnsi"/>
          <w:lang w:val="en-GB"/>
        </w:rPr>
        <w:t>Please note that the case was still pending Grand Chamber decision at the time when 2022 Rainbow Index was completed.</w:t>
      </w:r>
    </w:p>
  </w:footnote>
  <w:footnote w:id="54">
    <w:p w14:paraId="031DEC70" w14:textId="27640762" w:rsidR="000778F6" w:rsidRPr="002575E4" w:rsidRDefault="000778F6">
      <w:pPr>
        <w:pStyle w:val="FootnoteText"/>
      </w:pPr>
      <w:r w:rsidRPr="002575E4">
        <w:rPr>
          <w:rStyle w:val="FootnoteReference"/>
        </w:rPr>
        <w:footnoteRef/>
      </w:r>
      <w:r w:rsidRPr="002575E4">
        <w:rPr>
          <w:lang w:val="es-ES"/>
        </w:rPr>
        <w:t xml:space="preserve"> </w:t>
      </w:r>
      <w:r w:rsidRPr="002575E4">
        <w:rPr>
          <w:rFonts w:asciiTheme="minorHAnsi" w:hAnsiTheme="minorHAnsi" w:cstheme="minorHAnsi"/>
          <w:lang w:val="es-ES"/>
        </w:rPr>
        <w:t xml:space="preserve">X v. Poland, No. 20741/10, para. </w:t>
      </w:r>
      <w:r w:rsidRPr="002575E4">
        <w:rPr>
          <w:rFonts w:asciiTheme="minorHAnsi" w:hAnsiTheme="minorHAnsi" w:cstheme="minorHAnsi"/>
          <w:lang w:val="en-GB"/>
        </w:rPr>
        <w:t xml:space="preserve">92, available at: </w:t>
      </w:r>
      <w:hyperlink r:id="rId24" w:anchor="{%22itemid%22:[%22001-211799%22]}" w:history="1">
        <w:r w:rsidRPr="002575E4">
          <w:rPr>
            <w:rStyle w:val="Hyperlink"/>
            <w:rFonts w:asciiTheme="minorHAnsi" w:hAnsiTheme="minorHAnsi" w:cstheme="minorHAnsi"/>
            <w:lang w:val="en-GB"/>
          </w:rPr>
          <w:t>https://hudoc.echr.coe.int/eng#{%22itemid%22:[%22001-211799%22]}</w:t>
        </w:r>
      </w:hyperlink>
    </w:p>
  </w:footnote>
  <w:footnote w:id="55">
    <w:p w14:paraId="4C750A45" w14:textId="6C519A10" w:rsidR="005F2978" w:rsidRPr="00C535F4" w:rsidRDefault="005F2978">
      <w:pPr>
        <w:pStyle w:val="FootnoteText"/>
        <w:rPr>
          <w:rFonts w:asciiTheme="minorHAnsi" w:hAnsiTheme="minorHAnsi" w:cstheme="minorHAnsi"/>
        </w:rPr>
      </w:pPr>
      <w:r w:rsidRPr="002575E4">
        <w:rPr>
          <w:rStyle w:val="FootnoteReference"/>
          <w:rFonts w:asciiTheme="minorHAnsi" w:hAnsiTheme="minorHAnsi" w:cstheme="minorHAnsi"/>
        </w:rPr>
        <w:footnoteRef/>
      </w:r>
      <w:r w:rsidRPr="002575E4">
        <w:rPr>
          <w:rFonts w:asciiTheme="minorHAnsi" w:hAnsiTheme="minorHAnsi" w:cstheme="minorHAnsi"/>
        </w:rPr>
        <w:t xml:space="preserve"> </w:t>
      </w:r>
      <w:r w:rsidR="00C535F4" w:rsidRPr="002575E4">
        <w:rPr>
          <w:rFonts w:asciiTheme="minorHAnsi" w:hAnsiTheme="minorHAnsi" w:cstheme="minorHAnsi"/>
          <w:lang w:val="en-GB"/>
        </w:rPr>
        <w:t xml:space="preserve">ILGA-Europe: Annual review of the human rights situation of lesbian, gay, bisexual, trans and intersex people in Europe and Central Asia 2022, p. 22, available at: </w:t>
      </w:r>
      <w:hyperlink r:id="rId25" w:history="1">
        <w:r w:rsidR="00C535F4" w:rsidRPr="002575E4">
          <w:rPr>
            <w:rStyle w:val="Hyperlink"/>
            <w:rFonts w:asciiTheme="minorHAnsi" w:hAnsiTheme="minorHAnsi" w:cstheme="minorHAnsi"/>
            <w:lang w:val="en-GB"/>
          </w:rPr>
          <w:t>http://rainbow-europe.org/annual-review</w:t>
        </w:r>
      </w:hyperlink>
    </w:p>
  </w:footnote>
  <w:footnote w:id="56">
    <w:p w14:paraId="6ECE3B84" w14:textId="5FA206C7" w:rsidR="00A90963" w:rsidRDefault="00A90963" w:rsidP="0045744B">
      <w:pPr>
        <w:pStyle w:val="FootnoteText"/>
      </w:pPr>
      <w:r w:rsidRPr="00A90963">
        <w:rPr>
          <w:rStyle w:val="FootnoteReference"/>
        </w:rPr>
        <w:footnoteRef/>
      </w:r>
      <w:r>
        <w:t xml:space="preserve"> </w:t>
      </w:r>
      <w:hyperlink r:id="rId26" w:history="1">
        <w:r w:rsidRPr="00A90963">
          <w:rPr>
            <w:rStyle w:val="Hyperlink"/>
          </w:rPr>
          <w:t>Obstacles to the Free Movement of Rainbow Families in the EU (europa.eu)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7BE2A19" w14:paraId="56EEE70B" w14:textId="77777777" w:rsidTr="00020302">
      <w:trPr>
        <w:trHeight w:val="300"/>
      </w:trPr>
      <w:tc>
        <w:tcPr>
          <w:tcW w:w="3005" w:type="dxa"/>
        </w:tcPr>
        <w:p w14:paraId="46281A40" w14:textId="79298FD3" w:rsidR="77BE2A19" w:rsidRDefault="77BE2A19" w:rsidP="00C864DA">
          <w:pPr>
            <w:pStyle w:val="Header"/>
            <w:ind w:left="-115"/>
          </w:pPr>
        </w:p>
      </w:tc>
      <w:tc>
        <w:tcPr>
          <w:tcW w:w="3005" w:type="dxa"/>
        </w:tcPr>
        <w:p w14:paraId="69CAEF78" w14:textId="4857A01B" w:rsidR="77BE2A19" w:rsidRDefault="77BE2A19" w:rsidP="00020302">
          <w:pPr>
            <w:pStyle w:val="Header"/>
            <w:jc w:val="center"/>
          </w:pPr>
        </w:p>
      </w:tc>
      <w:tc>
        <w:tcPr>
          <w:tcW w:w="3005" w:type="dxa"/>
        </w:tcPr>
        <w:p w14:paraId="703602B7" w14:textId="3AB36F53" w:rsidR="77BE2A19" w:rsidRDefault="77BE2A19" w:rsidP="00020302">
          <w:pPr>
            <w:pStyle w:val="Header"/>
            <w:ind w:right="-115"/>
            <w:jc w:val="right"/>
          </w:pPr>
        </w:p>
      </w:tc>
    </w:tr>
  </w:tbl>
  <w:p w14:paraId="0C0F99B7" w14:textId="3ED89ABF" w:rsidR="77BE2A19" w:rsidRDefault="77BE2A19" w:rsidP="000203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1" type="#_x0000_t75" style="width:1056.85pt;height:272.55pt" o:bullet="t">
        <v:imagedata r:id="rId1" o:title="blue wave"/>
      </v:shape>
    </w:pict>
  </w:numPicBullet>
  <w:abstractNum w:abstractNumId="0" w15:restartNumberingAfterBreak="0">
    <w:nsid w:val="04B70095"/>
    <w:multiLevelType w:val="multilevel"/>
    <w:tmpl w:val="2446EA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2020D1"/>
    <w:multiLevelType w:val="multilevel"/>
    <w:tmpl w:val="4D58B0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5F19A9"/>
    <w:multiLevelType w:val="hybridMultilevel"/>
    <w:tmpl w:val="2D2C577A"/>
    <w:lvl w:ilvl="0" w:tplc="79A88B6A">
      <w:start w:val="1"/>
      <w:numFmt w:val="bullet"/>
      <w:lvlText w:val=""/>
      <w:lvlJc w:val="left"/>
      <w:pPr>
        <w:ind w:left="720" w:hanging="360"/>
      </w:pPr>
      <w:rPr>
        <w:rFonts w:ascii="Symbol" w:hAnsi="Symbol"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6CF75C5"/>
    <w:multiLevelType w:val="multilevel"/>
    <w:tmpl w:val="93D85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AD7561"/>
    <w:multiLevelType w:val="hybridMultilevel"/>
    <w:tmpl w:val="BE86A1F4"/>
    <w:lvl w:ilvl="0" w:tplc="4A1EB784">
      <w:start w:val="1"/>
      <w:numFmt w:val="bullet"/>
      <w:lvlText w:val=""/>
      <w:lvlJc w:val="left"/>
      <w:pPr>
        <w:ind w:left="720" w:hanging="360"/>
      </w:pPr>
      <w:rPr>
        <w:rFonts w:ascii="Symbol" w:hAnsi="Symbol" w:hint="default"/>
        <w:color w:val="22489E"/>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CE135A3"/>
    <w:multiLevelType w:val="hybridMultilevel"/>
    <w:tmpl w:val="0C2E7D66"/>
    <w:lvl w:ilvl="0" w:tplc="4F48155E">
      <w:start w:val="1"/>
      <w:numFmt w:val="bullet"/>
      <w:lvlText w:val=""/>
      <w:lvlPicBulletId w:val="0"/>
      <w:lvlJc w:val="left"/>
      <w:pPr>
        <w:ind w:left="1117" w:hanging="360"/>
      </w:pPr>
      <w:rPr>
        <w:rFonts w:ascii="Symbol" w:hAnsi="Symbol" w:hint="default"/>
        <w:b/>
        <w:bCs/>
        <w:color w:val="auto"/>
        <w:sz w:val="14"/>
        <w:szCs w:val="14"/>
      </w:rPr>
    </w:lvl>
    <w:lvl w:ilvl="1" w:tplc="FFFFFFFF" w:tentative="1">
      <w:start w:val="1"/>
      <w:numFmt w:val="bullet"/>
      <w:lvlText w:val="o"/>
      <w:lvlJc w:val="left"/>
      <w:pPr>
        <w:ind w:left="1837" w:hanging="360"/>
      </w:pPr>
      <w:rPr>
        <w:rFonts w:ascii="Courier New" w:hAnsi="Courier New" w:cs="Courier New" w:hint="default"/>
      </w:rPr>
    </w:lvl>
    <w:lvl w:ilvl="2" w:tplc="FFFFFFFF" w:tentative="1">
      <w:start w:val="1"/>
      <w:numFmt w:val="bullet"/>
      <w:lvlText w:val=""/>
      <w:lvlJc w:val="left"/>
      <w:pPr>
        <w:ind w:left="2557" w:hanging="360"/>
      </w:pPr>
      <w:rPr>
        <w:rFonts w:ascii="Wingdings" w:hAnsi="Wingdings" w:hint="default"/>
      </w:rPr>
    </w:lvl>
    <w:lvl w:ilvl="3" w:tplc="FFFFFFFF" w:tentative="1">
      <w:start w:val="1"/>
      <w:numFmt w:val="bullet"/>
      <w:lvlText w:val=""/>
      <w:lvlJc w:val="left"/>
      <w:pPr>
        <w:ind w:left="3277" w:hanging="360"/>
      </w:pPr>
      <w:rPr>
        <w:rFonts w:ascii="Symbol" w:hAnsi="Symbol" w:hint="default"/>
      </w:rPr>
    </w:lvl>
    <w:lvl w:ilvl="4" w:tplc="FFFFFFFF" w:tentative="1">
      <w:start w:val="1"/>
      <w:numFmt w:val="bullet"/>
      <w:lvlText w:val="o"/>
      <w:lvlJc w:val="left"/>
      <w:pPr>
        <w:ind w:left="3997" w:hanging="360"/>
      </w:pPr>
      <w:rPr>
        <w:rFonts w:ascii="Courier New" w:hAnsi="Courier New" w:cs="Courier New" w:hint="default"/>
      </w:rPr>
    </w:lvl>
    <w:lvl w:ilvl="5" w:tplc="FFFFFFFF" w:tentative="1">
      <w:start w:val="1"/>
      <w:numFmt w:val="bullet"/>
      <w:lvlText w:val=""/>
      <w:lvlJc w:val="left"/>
      <w:pPr>
        <w:ind w:left="4717" w:hanging="360"/>
      </w:pPr>
      <w:rPr>
        <w:rFonts w:ascii="Wingdings" w:hAnsi="Wingdings" w:hint="default"/>
      </w:rPr>
    </w:lvl>
    <w:lvl w:ilvl="6" w:tplc="FFFFFFFF" w:tentative="1">
      <w:start w:val="1"/>
      <w:numFmt w:val="bullet"/>
      <w:lvlText w:val=""/>
      <w:lvlJc w:val="left"/>
      <w:pPr>
        <w:ind w:left="5437" w:hanging="360"/>
      </w:pPr>
      <w:rPr>
        <w:rFonts w:ascii="Symbol" w:hAnsi="Symbol" w:hint="default"/>
      </w:rPr>
    </w:lvl>
    <w:lvl w:ilvl="7" w:tplc="FFFFFFFF" w:tentative="1">
      <w:start w:val="1"/>
      <w:numFmt w:val="bullet"/>
      <w:lvlText w:val="o"/>
      <w:lvlJc w:val="left"/>
      <w:pPr>
        <w:ind w:left="6157" w:hanging="360"/>
      </w:pPr>
      <w:rPr>
        <w:rFonts w:ascii="Courier New" w:hAnsi="Courier New" w:cs="Courier New" w:hint="default"/>
      </w:rPr>
    </w:lvl>
    <w:lvl w:ilvl="8" w:tplc="FFFFFFFF" w:tentative="1">
      <w:start w:val="1"/>
      <w:numFmt w:val="bullet"/>
      <w:lvlText w:val=""/>
      <w:lvlJc w:val="left"/>
      <w:pPr>
        <w:ind w:left="6877" w:hanging="360"/>
      </w:pPr>
      <w:rPr>
        <w:rFonts w:ascii="Wingdings" w:hAnsi="Wingdings" w:hint="default"/>
      </w:rPr>
    </w:lvl>
  </w:abstractNum>
  <w:abstractNum w:abstractNumId="6" w15:restartNumberingAfterBreak="0">
    <w:nsid w:val="177F1089"/>
    <w:multiLevelType w:val="multilevel"/>
    <w:tmpl w:val="2D4039AE"/>
    <w:lvl w:ilvl="0">
      <w:start w:val="5"/>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7" w15:restartNumberingAfterBreak="0">
    <w:nsid w:val="19325BA4"/>
    <w:multiLevelType w:val="multilevel"/>
    <w:tmpl w:val="BDCCAC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2C4A3F"/>
    <w:multiLevelType w:val="multilevel"/>
    <w:tmpl w:val="3086ED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B04BD8"/>
    <w:multiLevelType w:val="multilevel"/>
    <w:tmpl w:val="E11ED0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0015FC"/>
    <w:multiLevelType w:val="multilevel"/>
    <w:tmpl w:val="1D22E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4947D04"/>
    <w:multiLevelType w:val="hybridMultilevel"/>
    <w:tmpl w:val="3A6A67C8"/>
    <w:lvl w:ilvl="0" w:tplc="75DAB638">
      <w:numFmt w:val="bullet"/>
      <w:lvlText w:val="-"/>
      <w:lvlJc w:val="left"/>
      <w:pPr>
        <w:ind w:left="720" w:hanging="360"/>
      </w:pPr>
      <w:rPr>
        <w:rFonts w:ascii="Calibri" w:eastAsia="Segoe U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33684EF0"/>
    <w:multiLevelType w:val="multilevel"/>
    <w:tmpl w:val="48D47A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D21C22"/>
    <w:multiLevelType w:val="multilevel"/>
    <w:tmpl w:val="F1305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66F7485"/>
    <w:multiLevelType w:val="hybridMultilevel"/>
    <w:tmpl w:val="86A29580"/>
    <w:lvl w:ilvl="0" w:tplc="EC088E3E">
      <w:start w:val="1"/>
      <w:numFmt w:val="bullet"/>
      <w:lvlText w:val=""/>
      <w:lvlPicBulletId w:val="0"/>
      <w:lvlJc w:val="left"/>
      <w:pPr>
        <w:ind w:left="720" w:hanging="360"/>
      </w:pPr>
      <w:rPr>
        <w:rFonts w:ascii="Symbol" w:hAnsi="Symbol" w:hint="default"/>
        <w:b/>
        <w:bCs/>
        <w:color w:val="auto"/>
        <w:sz w:val="16"/>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B02002A"/>
    <w:multiLevelType w:val="multilevel"/>
    <w:tmpl w:val="D73A7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39F7A51"/>
    <w:multiLevelType w:val="hybridMultilevel"/>
    <w:tmpl w:val="0EECE622"/>
    <w:lvl w:ilvl="0" w:tplc="5740CE40">
      <w:start w:val="1"/>
      <w:numFmt w:val="upperRoman"/>
      <w:lvlText w:val="%1."/>
      <w:lvlJc w:val="left"/>
      <w:pPr>
        <w:ind w:left="7382"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49DA6607"/>
    <w:multiLevelType w:val="multilevel"/>
    <w:tmpl w:val="D924E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BD03128"/>
    <w:multiLevelType w:val="hybridMultilevel"/>
    <w:tmpl w:val="10FE498E"/>
    <w:lvl w:ilvl="0" w:tplc="61628566">
      <w:start w:val="1"/>
      <w:numFmt w:val="bullet"/>
      <w:lvlText w:val=""/>
      <w:lvlJc w:val="left"/>
      <w:pPr>
        <w:ind w:left="1080" w:hanging="360"/>
      </w:pPr>
      <w:rPr>
        <w:rFonts w:ascii="Symbol" w:hAnsi="Symbol" w:hint="default"/>
        <w:b/>
        <w:bCs/>
        <w:color w:val="000068"/>
        <w:sz w:val="22"/>
        <w:szCs w:val="22"/>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9" w15:restartNumberingAfterBreak="0">
    <w:nsid w:val="4C330BC8"/>
    <w:multiLevelType w:val="multilevel"/>
    <w:tmpl w:val="6A8AA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6390030"/>
    <w:multiLevelType w:val="multilevel"/>
    <w:tmpl w:val="DF788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9B829AC"/>
    <w:multiLevelType w:val="multilevel"/>
    <w:tmpl w:val="D0AE30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ABF14D6"/>
    <w:multiLevelType w:val="hybridMultilevel"/>
    <w:tmpl w:val="8CDAED68"/>
    <w:lvl w:ilvl="0" w:tplc="6576BF7C">
      <w:start w:val="1"/>
      <w:numFmt w:val="bullet"/>
      <w:lvlText w:val=""/>
      <w:lvlPicBulletId w:val="0"/>
      <w:lvlJc w:val="left"/>
      <w:pPr>
        <w:ind w:left="1080" w:hanging="360"/>
      </w:pPr>
      <w:rPr>
        <w:rFonts w:ascii="Symbol" w:hAnsi="Symbol" w:hint="default"/>
        <w:b/>
        <w:bCs/>
        <w:color w:val="auto"/>
        <w:sz w:val="14"/>
        <w:szCs w:val="1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67962D29"/>
    <w:multiLevelType w:val="multilevel"/>
    <w:tmpl w:val="99164E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8CB0614"/>
    <w:multiLevelType w:val="multilevel"/>
    <w:tmpl w:val="B5D4F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D6D3A94"/>
    <w:multiLevelType w:val="multilevel"/>
    <w:tmpl w:val="109806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A794A12"/>
    <w:multiLevelType w:val="multilevel"/>
    <w:tmpl w:val="96C23E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A821C72"/>
    <w:multiLevelType w:val="hybridMultilevel"/>
    <w:tmpl w:val="CA4E8FBE"/>
    <w:lvl w:ilvl="0" w:tplc="61628566">
      <w:start w:val="1"/>
      <w:numFmt w:val="bullet"/>
      <w:lvlText w:val=""/>
      <w:lvlJc w:val="left"/>
      <w:pPr>
        <w:ind w:left="1117" w:hanging="360"/>
      </w:pPr>
      <w:rPr>
        <w:rFonts w:ascii="Symbol" w:hAnsi="Symbol" w:hint="default"/>
        <w:b/>
        <w:bCs/>
        <w:color w:val="000068"/>
        <w:sz w:val="22"/>
        <w:szCs w:val="22"/>
      </w:rPr>
    </w:lvl>
    <w:lvl w:ilvl="1" w:tplc="20000003" w:tentative="1">
      <w:start w:val="1"/>
      <w:numFmt w:val="bullet"/>
      <w:lvlText w:val="o"/>
      <w:lvlJc w:val="left"/>
      <w:pPr>
        <w:ind w:left="1837" w:hanging="360"/>
      </w:pPr>
      <w:rPr>
        <w:rFonts w:ascii="Courier New" w:hAnsi="Courier New" w:cs="Courier New" w:hint="default"/>
      </w:rPr>
    </w:lvl>
    <w:lvl w:ilvl="2" w:tplc="20000005" w:tentative="1">
      <w:start w:val="1"/>
      <w:numFmt w:val="bullet"/>
      <w:lvlText w:val=""/>
      <w:lvlJc w:val="left"/>
      <w:pPr>
        <w:ind w:left="2557" w:hanging="360"/>
      </w:pPr>
      <w:rPr>
        <w:rFonts w:ascii="Wingdings" w:hAnsi="Wingdings" w:hint="default"/>
      </w:rPr>
    </w:lvl>
    <w:lvl w:ilvl="3" w:tplc="20000001" w:tentative="1">
      <w:start w:val="1"/>
      <w:numFmt w:val="bullet"/>
      <w:lvlText w:val=""/>
      <w:lvlJc w:val="left"/>
      <w:pPr>
        <w:ind w:left="3277" w:hanging="360"/>
      </w:pPr>
      <w:rPr>
        <w:rFonts w:ascii="Symbol" w:hAnsi="Symbol" w:hint="default"/>
      </w:rPr>
    </w:lvl>
    <w:lvl w:ilvl="4" w:tplc="20000003" w:tentative="1">
      <w:start w:val="1"/>
      <w:numFmt w:val="bullet"/>
      <w:lvlText w:val="o"/>
      <w:lvlJc w:val="left"/>
      <w:pPr>
        <w:ind w:left="3997" w:hanging="360"/>
      </w:pPr>
      <w:rPr>
        <w:rFonts w:ascii="Courier New" w:hAnsi="Courier New" w:cs="Courier New" w:hint="default"/>
      </w:rPr>
    </w:lvl>
    <w:lvl w:ilvl="5" w:tplc="20000005" w:tentative="1">
      <w:start w:val="1"/>
      <w:numFmt w:val="bullet"/>
      <w:lvlText w:val=""/>
      <w:lvlJc w:val="left"/>
      <w:pPr>
        <w:ind w:left="4717" w:hanging="360"/>
      </w:pPr>
      <w:rPr>
        <w:rFonts w:ascii="Wingdings" w:hAnsi="Wingdings" w:hint="default"/>
      </w:rPr>
    </w:lvl>
    <w:lvl w:ilvl="6" w:tplc="20000001" w:tentative="1">
      <w:start w:val="1"/>
      <w:numFmt w:val="bullet"/>
      <w:lvlText w:val=""/>
      <w:lvlJc w:val="left"/>
      <w:pPr>
        <w:ind w:left="5437" w:hanging="360"/>
      </w:pPr>
      <w:rPr>
        <w:rFonts w:ascii="Symbol" w:hAnsi="Symbol" w:hint="default"/>
      </w:rPr>
    </w:lvl>
    <w:lvl w:ilvl="7" w:tplc="20000003" w:tentative="1">
      <w:start w:val="1"/>
      <w:numFmt w:val="bullet"/>
      <w:lvlText w:val="o"/>
      <w:lvlJc w:val="left"/>
      <w:pPr>
        <w:ind w:left="6157" w:hanging="360"/>
      </w:pPr>
      <w:rPr>
        <w:rFonts w:ascii="Courier New" w:hAnsi="Courier New" w:cs="Courier New" w:hint="default"/>
      </w:rPr>
    </w:lvl>
    <w:lvl w:ilvl="8" w:tplc="20000005" w:tentative="1">
      <w:start w:val="1"/>
      <w:numFmt w:val="bullet"/>
      <w:lvlText w:val=""/>
      <w:lvlJc w:val="left"/>
      <w:pPr>
        <w:ind w:left="6877" w:hanging="360"/>
      </w:pPr>
      <w:rPr>
        <w:rFonts w:ascii="Wingdings" w:hAnsi="Wingdings" w:hint="default"/>
      </w:rPr>
    </w:lvl>
  </w:abstractNum>
  <w:num w:numId="1" w16cid:durableId="159349127">
    <w:abstractNumId w:val="10"/>
  </w:num>
  <w:num w:numId="2" w16cid:durableId="1910067303">
    <w:abstractNumId w:val="20"/>
  </w:num>
  <w:num w:numId="3" w16cid:durableId="952596022">
    <w:abstractNumId w:val="23"/>
  </w:num>
  <w:num w:numId="4" w16cid:durableId="1191256861">
    <w:abstractNumId w:val="9"/>
  </w:num>
  <w:num w:numId="5" w16cid:durableId="1195190648">
    <w:abstractNumId w:val="21"/>
  </w:num>
  <w:num w:numId="6" w16cid:durableId="509875645">
    <w:abstractNumId w:val="17"/>
  </w:num>
  <w:num w:numId="7" w16cid:durableId="512955797">
    <w:abstractNumId w:val="0"/>
  </w:num>
  <w:num w:numId="8" w16cid:durableId="998731517">
    <w:abstractNumId w:val="8"/>
  </w:num>
  <w:num w:numId="9" w16cid:durableId="869728427">
    <w:abstractNumId w:val="25"/>
  </w:num>
  <w:num w:numId="10" w16cid:durableId="1338536144">
    <w:abstractNumId w:val="12"/>
  </w:num>
  <w:num w:numId="11" w16cid:durableId="480974052">
    <w:abstractNumId w:val="3"/>
  </w:num>
  <w:num w:numId="12" w16cid:durableId="912087851">
    <w:abstractNumId w:val="13"/>
  </w:num>
  <w:num w:numId="13" w16cid:durableId="1164854809">
    <w:abstractNumId w:val="15"/>
  </w:num>
  <w:num w:numId="14" w16cid:durableId="921377007">
    <w:abstractNumId w:val="19"/>
  </w:num>
  <w:num w:numId="15" w16cid:durableId="895432297">
    <w:abstractNumId w:val="1"/>
  </w:num>
  <w:num w:numId="16" w16cid:durableId="727340850">
    <w:abstractNumId w:val="26"/>
  </w:num>
  <w:num w:numId="17" w16cid:durableId="1891964283">
    <w:abstractNumId w:val="7"/>
  </w:num>
  <w:num w:numId="18" w16cid:durableId="1045326527">
    <w:abstractNumId w:val="6"/>
  </w:num>
  <w:num w:numId="19" w16cid:durableId="1837189625">
    <w:abstractNumId w:val="24"/>
  </w:num>
  <w:num w:numId="20" w16cid:durableId="1119495958">
    <w:abstractNumId w:val="16"/>
  </w:num>
  <w:num w:numId="21" w16cid:durableId="290672182">
    <w:abstractNumId w:val="11"/>
  </w:num>
  <w:num w:numId="22" w16cid:durableId="494034296">
    <w:abstractNumId w:val="4"/>
  </w:num>
  <w:num w:numId="23" w16cid:durableId="789202963">
    <w:abstractNumId w:val="18"/>
  </w:num>
  <w:num w:numId="24" w16cid:durableId="416751754">
    <w:abstractNumId w:val="27"/>
  </w:num>
  <w:num w:numId="25" w16cid:durableId="1807504049">
    <w:abstractNumId w:val="2"/>
  </w:num>
  <w:num w:numId="26" w16cid:durableId="470447026">
    <w:abstractNumId w:val="22"/>
  </w:num>
  <w:num w:numId="27" w16cid:durableId="1912233133">
    <w:abstractNumId w:val="5"/>
  </w:num>
  <w:num w:numId="28" w16cid:durableId="15116068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4AADE91F-1817-4A65-AC2A-2D922A084A27}"/>
  </w:docVars>
  <w:rsids>
    <w:rsidRoot w:val="00CE3E96"/>
    <w:rsid w:val="00004E7F"/>
    <w:rsid w:val="000130DF"/>
    <w:rsid w:val="000141FB"/>
    <w:rsid w:val="00020302"/>
    <w:rsid w:val="000230ED"/>
    <w:rsid w:val="000254B7"/>
    <w:rsid w:val="00031A25"/>
    <w:rsid w:val="000349FE"/>
    <w:rsid w:val="00035209"/>
    <w:rsid w:val="0003767E"/>
    <w:rsid w:val="00051A1C"/>
    <w:rsid w:val="00051BB5"/>
    <w:rsid w:val="00052F84"/>
    <w:rsid w:val="000572BD"/>
    <w:rsid w:val="00063E4D"/>
    <w:rsid w:val="00070F82"/>
    <w:rsid w:val="0007209B"/>
    <w:rsid w:val="00072EC7"/>
    <w:rsid w:val="000754E0"/>
    <w:rsid w:val="00075E6A"/>
    <w:rsid w:val="00077647"/>
    <w:rsid w:val="000778F6"/>
    <w:rsid w:val="00077DFA"/>
    <w:rsid w:val="00080B79"/>
    <w:rsid w:val="00087838"/>
    <w:rsid w:val="00093565"/>
    <w:rsid w:val="000949D5"/>
    <w:rsid w:val="00094D31"/>
    <w:rsid w:val="000A343F"/>
    <w:rsid w:val="000A434F"/>
    <w:rsid w:val="000A56D3"/>
    <w:rsid w:val="000B0B46"/>
    <w:rsid w:val="000B64A2"/>
    <w:rsid w:val="000B7560"/>
    <w:rsid w:val="000C50C2"/>
    <w:rsid w:val="000C5D1E"/>
    <w:rsid w:val="000D1A20"/>
    <w:rsid w:val="000D1B92"/>
    <w:rsid w:val="000D2F25"/>
    <w:rsid w:val="000D5D13"/>
    <w:rsid w:val="000E386A"/>
    <w:rsid w:val="000E3BD4"/>
    <w:rsid w:val="000E4D98"/>
    <w:rsid w:val="000E740B"/>
    <w:rsid w:val="000F0F63"/>
    <w:rsid w:val="000F16EF"/>
    <w:rsid w:val="000F50D1"/>
    <w:rsid w:val="0010419C"/>
    <w:rsid w:val="001051D3"/>
    <w:rsid w:val="00105CA0"/>
    <w:rsid w:val="001067B3"/>
    <w:rsid w:val="00107513"/>
    <w:rsid w:val="00124628"/>
    <w:rsid w:val="001247D6"/>
    <w:rsid w:val="00126870"/>
    <w:rsid w:val="00127EEA"/>
    <w:rsid w:val="00132993"/>
    <w:rsid w:val="00132E23"/>
    <w:rsid w:val="00136F2E"/>
    <w:rsid w:val="00137FEB"/>
    <w:rsid w:val="00141D6D"/>
    <w:rsid w:val="00142200"/>
    <w:rsid w:val="0014280D"/>
    <w:rsid w:val="00143472"/>
    <w:rsid w:val="00144401"/>
    <w:rsid w:val="001473FD"/>
    <w:rsid w:val="00150A29"/>
    <w:rsid w:val="001551C6"/>
    <w:rsid w:val="001566AE"/>
    <w:rsid w:val="00156B8B"/>
    <w:rsid w:val="00156C71"/>
    <w:rsid w:val="00156CDF"/>
    <w:rsid w:val="001571C4"/>
    <w:rsid w:val="00164309"/>
    <w:rsid w:val="00166A5C"/>
    <w:rsid w:val="00167980"/>
    <w:rsid w:val="00172844"/>
    <w:rsid w:val="00175841"/>
    <w:rsid w:val="001815D4"/>
    <w:rsid w:val="00186AF1"/>
    <w:rsid w:val="0019106D"/>
    <w:rsid w:val="001911D9"/>
    <w:rsid w:val="0019216B"/>
    <w:rsid w:val="00195E8B"/>
    <w:rsid w:val="001968D7"/>
    <w:rsid w:val="00197E1B"/>
    <w:rsid w:val="001A32A5"/>
    <w:rsid w:val="001A4FFB"/>
    <w:rsid w:val="001B5206"/>
    <w:rsid w:val="001B55F5"/>
    <w:rsid w:val="001B62B5"/>
    <w:rsid w:val="001C04C0"/>
    <w:rsid w:val="001C434F"/>
    <w:rsid w:val="001D290F"/>
    <w:rsid w:val="001D4D38"/>
    <w:rsid w:val="001D5739"/>
    <w:rsid w:val="001D7253"/>
    <w:rsid w:val="001E0CF5"/>
    <w:rsid w:val="001E1B67"/>
    <w:rsid w:val="001F0D75"/>
    <w:rsid w:val="001F254F"/>
    <w:rsid w:val="001F3E9D"/>
    <w:rsid w:val="002009BA"/>
    <w:rsid w:val="0020342C"/>
    <w:rsid w:val="00210C55"/>
    <w:rsid w:val="0021498E"/>
    <w:rsid w:val="00215842"/>
    <w:rsid w:val="002167C5"/>
    <w:rsid w:val="00221FFF"/>
    <w:rsid w:val="00224929"/>
    <w:rsid w:val="00224CB7"/>
    <w:rsid w:val="0022771C"/>
    <w:rsid w:val="0023006F"/>
    <w:rsid w:val="002302E2"/>
    <w:rsid w:val="002327A0"/>
    <w:rsid w:val="00233DF5"/>
    <w:rsid w:val="00256DC2"/>
    <w:rsid w:val="002575E4"/>
    <w:rsid w:val="0026002C"/>
    <w:rsid w:val="00260576"/>
    <w:rsid w:val="0026488B"/>
    <w:rsid w:val="002673B5"/>
    <w:rsid w:val="0026784B"/>
    <w:rsid w:val="00273E9D"/>
    <w:rsid w:val="0028050B"/>
    <w:rsid w:val="002825CC"/>
    <w:rsid w:val="002843EE"/>
    <w:rsid w:val="00284936"/>
    <w:rsid w:val="002851D6"/>
    <w:rsid w:val="002870B6"/>
    <w:rsid w:val="00293E54"/>
    <w:rsid w:val="002974A0"/>
    <w:rsid w:val="002A13B5"/>
    <w:rsid w:val="002A2BE0"/>
    <w:rsid w:val="002A3713"/>
    <w:rsid w:val="002A3976"/>
    <w:rsid w:val="002A39B9"/>
    <w:rsid w:val="002A4B73"/>
    <w:rsid w:val="002A5643"/>
    <w:rsid w:val="002A58E4"/>
    <w:rsid w:val="002A628D"/>
    <w:rsid w:val="002A6615"/>
    <w:rsid w:val="002A7C34"/>
    <w:rsid w:val="002B0B96"/>
    <w:rsid w:val="002B512D"/>
    <w:rsid w:val="002B7379"/>
    <w:rsid w:val="002C3608"/>
    <w:rsid w:val="002D182B"/>
    <w:rsid w:val="002E14DA"/>
    <w:rsid w:val="002E5DC1"/>
    <w:rsid w:val="002E6607"/>
    <w:rsid w:val="002F1754"/>
    <w:rsid w:val="003016F5"/>
    <w:rsid w:val="00305BAB"/>
    <w:rsid w:val="00311593"/>
    <w:rsid w:val="00313163"/>
    <w:rsid w:val="00317319"/>
    <w:rsid w:val="0032254E"/>
    <w:rsid w:val="003234EC"/>
    <w:rsid w:val="00325E62"/>
    <w:rsid w:val="0032629B"/>
    <w:rsid w:val="0033030E"/>
    <w:rsid w:val="00334917"/>
    <w:rsid w:val="00340FA0"/>
    <w:rsid w:val="0034347B"/>
    <w:rsid w:val="0034614C"/>
    <w:rsid w:val="00351577"/>
    <w:rsid w:val="003572AF"/>
    <w:rsid w:val="0036037F"/>
    <w:rsid w:val="00360BF3"/>
    <w:rsid w:val="00362542"/>
    <w:rsid w:val="0036722D"/>
    <w:rsid w:val="00367DDB"/>
    <w:rsid w:val="00375035"/>
    <w:rsid w:val="00377CD2"/>
    <w:rsid w:val="00377F06"/>
    <w:rsid w:val="00380ECF"/>
    <w:rsid w:val="00381D06"/>
    <w:rsid w:val="003850AE"/>
    <w:rsid w:val="003850EC"/>
    <w:rsid w:val="0038634E"/>
    <w:rsid w:val="00387C83"/>
    <w:rsid w:val="003927DD"/>
    <w:rsid w:val="00393F8E"/>
    <w:rsid w:val="00395C43"/>
    <w:rsid w:val="00395D84"/>
    <w:rsid w:val="003970A4"/>
    <w:rsid w:val="003975A0"/>
    <w:rsid w:val="003A37B4"/>
    <w:rsid w:val="003A3F47"/>
    <w:rsid w:val="003A60DC"/>
    <w:rsid w:val="003B032C"/>
    <w:rsid w:val="003C1A4D"/>
    <w:rsid w:val="003C293C"/>
    <w:rsid w:val="003C2F6B"/>
    <w:rsid w:val="003C3E23"/>
    <w:rsid w:val="003C49FA"/>
    <w:rsid w:val="003C6FD7"/>
    <w:rsid w:val="003D3A83"/>
    <w:rsid w:val="003E03CD"/>
    <w:rsid w:val="003E1070"/>
    <w:rsid w:val="003E3DBF"/>
    <w:rsid w:val="003E4F24"/>
    <w:rsid w:val="003F2715"/>
    <w:rsid w:val="003F6B71"/>
    <w:rsid w:val="00401529"/>
    <w:rsid w:val="00403D4C"/>
    <w:rsid w:val="00403DD9"/>
    <w:rsid w:val="00404506"/>
    <w:rsid w:val="00405477"/>
    <w:rsid w:val="00406F4F"/>
    <w:rsid w:val="004117CD"/>
    <w:rsid w:val="00414FF3"/>
    <w:rsid w:val="00416CB0"/>
    <w:rsid w:val="004238C4"/>
    <w:rsid w:val="00426E7F"/>
    <w:rsid w:val="004309A4"/>
    <w:rsid w:val="0043513E"/>
    <w:rsid w:val="0043786A"/>
    <w:rsid w:val="00437E16"/>
    <w:rsid w:val="0044001E"/>
    <w:rsid w:val="00445154"/>
    <w:rsid w:val="0045403D"/>
    <w:rsid w:val="0045744B"/>
    <w:rsid w:val="004607AA"/>
    <w:rsid w:val="00467B0E"/>
    <w:rsid w:val="00470743"/>
    <w:rsid w:val="00481543"/>
    <w:rsid w:val="00482DA7"/>
    <w:rsid w:val="00490332"/>
    <w:rsid w:val="00493520"/>
    <w:rsid w:val="004942C5"/>
    <w:rsid w:val="004942E5"/>
    <w:rsid w:val="004946DF"/>
    <w:rsid w:val="00494B01"/>
    <w:rsid w:val="00496AE4"/>
    <w:rsid w:val="00497DC9"/>
    <w:rsid w:val="004A05F8"/>
    <w:rsid w:val="004A0D14"/>
    <w:rsid w:val="004A1CDA"/>
    <w:rsid w:val="004A2015"/>
    <w:rsid w:val="004A3BAB"/>
    <w:rsid w:val="004A491E"/>
    <w:rsid w:val="004B2549"/>
    <w:rsid w:val="004B28BE"/>
    <w:rsid w:val="004B3FD7"/>
    <w:rsid w:val="004B5CE5"/>
    <w:rsid w:val="004B69CB"/>
    <w:rsid w:val="004C50C2"/>
    <w:rsid w:val="004C771E"/>
    <w:rsid w:val="004D1A3B"/>
    <w:rsid w:val="004D2BA6"/>
    <w:rsid w:val="004D3A7B"/>
    <w:rsid w:val="004D3DF0"/>
    <w:rsid w:val="004D7FCD"/>
    <w:rsid w:val="004E033A"/>
    <w:rsid w:val="004E096D"/>
    <w:rsid w:val="004E0C53"/>
    <w:rsid w:val="004E1B25"/>
    <w:rsid w:val="004E3EEF"/>
    <w:rsid w:val="004E71E1"/>
    <w:rsid w:val="004E76FA"/>
    <w:rsid w:val="004E7CF3"/>
    <w:rsid w:val="004F0742"/>
    <w:rsid w:val="004F0928"/>
    <w:rsid w:val="004F5746"/>
    <w:rsid w:val="00501328"/>
    <w:rsid w:val="005052C2"/>
    <w:rsid w:val="00510E4D"/>
    <w:rsid w:val="00514ED8"/>
    <w:rsid w:val="005207C8"/>
    <w:rsid w:val="005214A9"/>
    <w:rsid w:val="00521CC7"/>
    <w:rsid w:val="0052227A"/>
    <w:rsid w:val="0052328E"/>
    <w:rsid w:val="00525617"/>
    <w:rsid w:val="0052721C"/>
    <w:rsid w:val="00536976"/>
    <w:rsid w:val="00543434"/>
    <w:rsid w:val="00544C10"/>
    <w:rsid w:val="0055266F"/>
    <w:rsid w:val="00553BD4"/>
    <w:rsid w:val="00553BDC"/>
    <w:rsid w:val="0055474B"/>
    <w:rsid w:val="0056037E"/>
    <w:rsid w:val="00561E2D"/>
    <w:rsid w:val="00562175"/>
    <w:rsid w:val="00567C78"/>
    <w:rsid w:val="00574280"/>
    <w:rsid w:val="005764B0"/>
    <w:rsid w:val="00580C3A"/>
    <w:rsid w:val="00584437"/>
    <w:rsid w:val="00585AA5"/>
    <w:rsid w:val="005865C8"/>
    <w:rsid w:val="0059606A"/>
    <w:rsid w:val="005A29BB"/>
    <w:rsid w:val="005B10EE"/>
    <w:rsid w:val="005B1CF5"/>
    <w:rsid w:val="005B79CC"/>
    <w:rsid w:val="005C0653"/>
    <w:rsid w:val="005C1F9F"/>
    <w:rsid w:val="005C473F"/>
    <w:rsid w:val="005D2770"/>
    <w:rsid w:val="005D6DD2"/>
    <w:rsid w:val="005E0118"/>
    <w:rsid w:val="005E0BED"/>
    <w:rsid w:val="005E13A7"/>
    <w:rsid w:val="005E38F4"/>
    <w:rsid w:val="005E3FE8"/>
    <w:rsid w:val="005E4717"/>
    <w:rsid w:val="005E61DB"/>
    <w:rsid w:val="005E6410"/>
    <w:rsid w:val="005E7CA2"/>
    <w:rsid w:val="005F2978"/>
    <w:rsid w:val="005F3724"/>
    <w:rsid w:val="005F63B8"/>
    <w:rsid w:val="005F6B6D"/>
    <w:rsid w:val="0060135E"/>
    <w:rsid w:val="0060386D"/>
    <w:rsid w:val="00603964"/>
    <w:rsid w:val="0060438C"/>
    <w:rsid w:val="006055A3"/>
    <w:rsid w:val="00607253"/>
    <w:rsid w:val="0061227A"/>
    <w:rsid w:val="006129A0"/>
    <w:rsid w:val="00613B17"/>
    <w:rsid w:val="00616A5F"/>
    <w:rsid w:val="00617E6A"/>
    <w:rsid w:val="00620A1E"/>
    <w:rsid w:val="006230C3"/>
    <w:rsid w:val="0062385A"/>
    <w:rsid w:val="00624A4A"/>
    <w:rsid w:val="00624DA2"/>
    <w:rsid w:val="00625E10"/>
    <w:rsid w:val="006262F2"/>
    <w:rsid w:val="00630713"/>
    <w:rsid w:val="0063196F"/>
    <w:rsid w:val="00632905"/>
    <w:rsid w:val="00633BA8"/>
    <w:rsid w:val="00634C2F"/>
    <w:rsid w:val="00636B6E"/>
    <w:rsid w:val="00642A7F"/>
    <w:rsid w:val="00646F36"/>
    <w:rsid w:val="00650914"/>
    <w:rsid w:val="00650FF0"/>
    <w:rsid w:val="00656C41"/>
    <w:rsid w:val="0066253A"/>
    <w:rsid w:val="006639C3"/>
    <w:rsid w:val="00671C0C"/>
    <w:rsid w:val="00672187"/>
    <w:rsid w:val="0067471D"/>
    <w:rsid w:val="006773AE"/>
    <w:rsid w:val="00677B4C"/>
    <w:rsid w:val="006912EE"/>
    <w:rsid w:val="00694F9B"/>
    <w:rsid w:val="006A11CE"/>
    <w:rsid w:val="006A18C3"/>
    <w:rsid w:val="006A1970"/>
    <w:rsid w:val="006A6F59"/>
    <w:rsid w:val="006B1A09"/>
    <w:rsid w:val="006B59E5"/>
    <w:rsid w:val="006B5D05"/>
    <w:rsid w:val="006C0347"/>
    <w:rsid w:val="006C1178"/>
    <w:rsid w:val="006C33F5"/>
    <w:rsid w:val="006C4B35"/>
    <w:rsid w:val="006C77A6"/>
    <w:rsid w:val="006D2005"/>
    <w:rsid w:val="006D23C9"/>
    <w:rsid w:val="006E578F"/>
    <w:rsid w:val="006E6E44"/>
    <w:rsid w:val="006E6F12"/>
    <w:rsid w:val="006F6FAF"/>
    <w:rsid w:val="00700B7B"/>
    <w:rsid w:val="00706CAB"/>
    <w:rsid w:val="00707B41"/>
    <w:rsid w:val="0071073C"/>
    <w:rsid w:val="007109E0"/>
    <w:rsid w:val="00712D44"/>
    <w:rsid w:val="007146D3"/>
    <w:rsid w:val="007268DC"/>
    <w:rsid w:val="007273BD"/>
    <w:rsid w:val="00727715"/>
    <w:rsid w:val="00734C58"/>
    <w:rsid w:val="00735C49"/>
    <w:rsid w:val="00743BF9"/>
    <w:rsid w:val="00745289"/>
    <w:rsid w:val="00750D61"/>
    <w:rsid w:val="00751779"/>
    <w:rsid w:val="00752006"/>
    <w:rsid w:val="007527B6"/>
    <w:rsid w:val="00753687"/>
    <w:rsid w:val="00756E29"/>
    <w:rsid w:val="00760405"/>
    <w:rsid w:val="00762C3A"/>
    <w:rsid w:val="00767541"/>
    <w:rsid w:val="00773A31"/>
    <w:rsid w:val="00774FEF"/>
    <w:rsid w:val="007843BC"/>
    <w:rsid w:val="0078510A"/>
    <w:rsid w:val="00790BB6"/>
    <w:rsid w:val="00790F9B"/>
    <w:rsid w:val="00791C6B"/>
    <w:rsid w:val="00795468"/>
    <w:rsid w:val="007966BD"/>
    <w:rsid w:val="00798DA7"/>
    <w:rsid w:val="007A3287"/>
    <w:rsid w:val="007A3CE4"/>
    <w:rsid w:val="007B0403"/>
    <w:rsid w:val="007B2AB8"/>
    <w:rsid w:val="007B51CF"/>
    <w:rsid w:val="007B5EA1"/>
    <w:rsid w:val="007C191F"/>
    <w:rsid w:val="007C1FBE"/>
    <w:rsid w:val="007D7282"/>
    <w:rsid w:val="007E30B4"/>
    <w:rsid w:val="007F3315"/>
    <w:rsid w:val="007F3415"/>
    <w:rsid w:val="007F35D5"/>
    <w:rsid w:val="007F7C45"/>
    <w:rsid w:val="008042A6"/>
    <w:rsid w:val="0081121D"/>
    <w:rsid w:val="00813443"/>
    <w:rsid w:val="00813648"/>
    <w:rsid w:val="0081420C"/>
    <w:rsid w:val="00816DA9"/>
    <w:rsid w:val="00822992"/>
    <w:rsid w:val="00833BAE"/>
    <w:rsid w:val="008344AE"/>
    <w:rsid w:val="00841131"/>
    <w:rsid w:val="008453EC"/>
    <w:rsid w:val="008471F5"/>
    <w:rsid w:val="00847E9B"/>
    <w:rsid w:val="00852DD9"/>
    <w:rsid w:val="00855556"/>
    <w:rsid w:val="00855F07"/>
    <w:rsid w:val="0085683C"/>
    <w:rsid w:val="008579A8"/>
    <w:rsid w:val="00866FAD"/>
    <w:rsid w:val="0087077D"/>
    <w:rsid w:val="00872D93"/>
    <w:rsid w:val="00872FBC"/>
    <w:rsid w:val="008748F2"/>
    <w:rsid w:val="00880263"/>
    <w:rsid w:val="00880F25"/>
    <w:rsid w:val="00881783"/>
    <w:rsid w:val="00881A68"/>
    <w:rsid w:val="0088655B"/>
    <w:rsid w:val="00886F48"/>
    <w:rsid w:val="00887832"/>
    <w:rsid w:val="00891895"/>
    <w:rsid w:val="0089385F"/>
    <w:rsid w:val="008A6243"/>
    <w:rsid w:val="008B6D6A"/>
    <w:rsid w:val="008C1A7F"/>
    <w:rsid w:val="008D1482"/>
    <w:rsid w:val="008D6121"/>
    <w:rsid w:val="008D64E6"/>
    <w:rsid w:val="008E0A44"/>
    <w:rsid w:val="008E1BE4"/>
    <w:rsid w:val="008E2112"/>
    <w:rsid w:val="008E7D49"/>
    <w:rsid w:val="008F17C5"/>
    <w:rsid w:val="008F3DA7"/>
    <w:rsid w:val="008F50BD"/>
    <w:rsid w:val="008F51C6"/>
    <w:rsid w:val="008F708C"/>
    <w:rsid w:val="00903C30"/>
    <w:rsid w:val="00903DA8"/>
    <w:rsid w:val="00904571"/>
    <w:rsid w:val="00907CBC"/>
    <w:rsid w:val="00910529"/>
    <w:rsid w:val="0091313F"/>
    <w:rsid w:val="0091374D"/>
    <w:rsid w:val="00915A06"/>
    <w:rsid w:val="00923724"/>
    <w:rsid w:val="0093014B"/>
    <w:rsid w:val="0093121E"/>
    <w:rsid w:val="00932771"/>
    <w:rsid w:val="0093326C"/>
    <w:rsid w:val="009358E0"/>
    <w:rsid w:val="00937DE0"/>
    <w:rsid w:val="00941DC2"/>
    <w:rsid w:val="00945249"/>
    <w:rsid w:val="009543CE"/>
    <w:rsid w:val="00956C94"/>
    <w:rsid w:val="009654EB"/>
    <w:rsid w:val="00971FE4"/>
    <w:rsid w:val="00975633"/>
    <w:rsid w:val="00976E1B"/>
    <w:rsid w:val="0097708A"/>
    <w:rsid w:val="009772C1"/>
    <w:rsid w:val="009802AB"/>
    <w:rsid w:val="009839EB"/>
    <w:rsid w:val="009914DA"/>
    <w:rsid w:val="009928AC"/>
    <w:rsid w:val="009950C2"/>
    <w:rsid w:val="009A2870"/>
    <w:rsid w:val="009A2F98"/>
    <w:rsid w:val="009A6503"/>
    <w:rsid w:val="009B1184"/>
    <w:rsid w:val="009B1FFC"/>
    <w:rsid w:val="009C13F4"/>
    <w:rsid w:val="009C1618"/>
    <w:rsid w:val="009C2941"/>
    <w:rsid w:val="009C34A2"/>
    <w:rsid w:val="009C5368"/>
    <w:rsid w:val="009C5A38"/>
    <w:rsid w:val="009D6311"/>
    <w:rsid w:val="009E034A"/>
    <w:rsid w:val="009E3487"/>
    <w:rsid w:val="009F0971"/>
    <w:rsid w:val="009F0B00"/>
    <w:rsid w:val="009F3F8B"/>
    <w:rsid w:val="009F57A9"/>
    <w:rsid w:val="009F5AC2"/>
    <w:rsid w:val="00A10383"/>
    <w:rsid w:val="00A1635F"/>
    <w:rsid w:val="00A20999"/>
    <w:rsid w:val="00A213A3"/>
    <w:rsid w:val="00A21873"/>
    <w:rsid w:val="00A21A1E"/>
    <w:rsid w:val="00A266C9"/>
    <w:rsid w:val="00A301DE"/>
    <w:rsid w:val="00A360E7"/>
    <w:rsid w:val="00A36282"/>
    <w:rsid w:val="00A362E8"/>
    <w:rsid w:val="00A4106E"/>
    <w:rsid w:val="00A44383"/>
    <w:rsid w:val="00A44FA0"/>
    <w:rsid w:val="00A47BB1"/>
    <w:rsid w:val="00A47DD5"/>
    <w:rsid w:val="00A50A1A"/>
    <w:rsid w:val="00A51EF9"/>
    <w:rsid w:val="00A602F5"/>
    <w:rsid w:val="00A62DAB"/>
    <w:rsid w:val="00A66A37"/>
    <w:rsid w:val="00A71589"/>
    <w:rsid w:val="00A72CD1"/>
    <w:rsid w:val="00A7722F"/>
    <w:rsid w:val="00A83D47"/>
    <w:rsid w:val="00A84B5C"/>
    <w:rsid w:val="00A85C1D"/>
    <w:rsid w:val="00A86E4D"/>
    <w:rsid w:val="00A90963"/>
    <w:rsid w:val="00A93897"/>
    <w:rsid w:val="00A97F4E"/>
    <w:rsid w:val="00AA2221"/>
    <w:rsid w:val="00AA23B9"/>
    <w:rsid w:val="00AA25B2"/>
    <w:rsid w:val="00AA59CC"/>
    <w:rsid w:val="00AA5C76"/>
    <w:rsid w:val="00AA738C"/>
    <w:rsid w:val="00AB5C7D"/>
    <w:rsid w:val="00AC04FC"/>
    <w:rsid w:val="00AC0814"/>
    <w:rsid w:val="00AC6C97"/>
    <w:rsid w:val="00AD09F4"/>
    <w:rsid w:val="00AD234B"/>
    <w:rsid w:val="00AD3353"/>
    <w:rsid w:val="00AD58F6"/>
    <w:rsid w:val="00AD5F37"/>
    <w:rsid w:val="00AE242E"/>
    <w:rsid w:val="00AE63DE"/>
    <w:rsid w:val="00AE76E2"/>
    <w:rsid w:val="00AE7E9E"/>
    <w:rsid w:val="00AF16BE"/>
    <w:rsid w:val="00B0122B"/>
    <w:rsid w:val="00B05EB9"/>
    <w:rsid w:val="00B060E0"/>
    <w:rsid w:val="00B069FC"/>
    <w:rsid w:val="00B06FC3"/>
    <w:rsid w:val="00B070CE"/>
    <w:rsid w:val="00B07C8B"/>
    <w:rsid w:val="00B11732"/>
    <w:rsid w:val="00B25F69"/>
    <w:rsid w:val="00B30ABC"/>
    <w:rsid w:val="00B340A6"/>
    <w:rsid w:val="00B35AAE"/>
    <w:rsid w:val="00B35B63"/>
    <w:rsid w:val="00B37CA9"/>
    <w:rsid w:val="00B433C7"/>
    <w:rsid w:val="00B46393"/>
    <w:rsid w:val="00B513BB"/>
    <w:rsid w:val="00B53085"/>
    <w:rsid w:val="00B64925"/>
    <w:rsid w:val="00B745C8"/>
    <w:rsid w:val="00B77ACE"/>
    <w:rsid w:val="00B77C1E"/>
    <w:rsid w:val="00B81E0C"/>
    <w:rsid w:val="00B84650"/>
    <w:rsid w:val="00B902F7"/>
    <w:rsid w:val="00B9342C"/>
    <w:rsid w:val="00B9797A"/>
    <w:rsid w:val="00BA0424"/>
    <w:rsid w:val="00BA2DA5"/>
    <w:rsid w:val="00BA39FC"/>
    <w:rsid w:val="00BA3A7C"/>
    <w:rsid w:val="00BA7389"/>
    <w:rsid w:val="00BB28B6"/>
    <w:rsid w:val="00BB52E5"/>
    <w:rsid w:val="00BB55D3"/>
    <w:rsid w:val="00BC05B3"/>
    <w:rsid w:val="00BC0D89"/>
    <w:rsid w:val="00BC48BA"/>
    <w:rsid w:val="00BE00D4"/>
    <w:rsid w:val="00BE7BDD"/>
    <w:rsid w:val="00BF0474"/>
    <w:rsid w:val="00BF23A8"/>
    <w:rsid w:val="00BF7C54"/>
    <w:rsid w:val="00C012BA"/>
    <w:rsid w:val="00C02162"/>
    <w:rsid w:val="00C036FC"/>
    <w:rsid w:val="00C10E30"/>
    <w:rsid w:val="00C122C4"/>
    <w:rsid w:val="00C16BED"/>
    <w:rsid w:val="00C24BDF"/>
    <w:rsid w:val="00C24C92"/>
    <w:rsid w:val="00C26E17"/>
    <w:rsid w:val="00C30EBF"/>
    <w:rsid w:val="00C31121"/>
    <w:rsid w:val="00C332C2"/>
    <w:rsid w:val="00C37405"/>
    <w:rsid w:val="00C374AD"/>
    <w:rsid w:val="00C37C9C"/>
    <w:rsid w:val="00C4082E"/>
    <w:rsid w:val="00C51FB2"/>
    <w:rsid w:val="00C535F4"/>
    <w:rsid w:val="00C538EA"/>
    <w:rsid w:val="00C5475E"/>
    <w:rsid w:val="00C54A17"/>
    <w:rsid w:val="00C56396"/>
    <w:rsid w:val="00C564B2"/>
    <w:rsid w:val="00C56A4B"/>
    <w:rsid w:val="00C61293"/>
    <w:rsid w:val="00C64C21"/>
    <w:rsid w:val="00C71A5B"/>
    <w:rsid w:val="00C75CE2"/>
    <w:rsid w:val="00C76D1E"/>
    <w:rsid w:val="00C81FCA"/>
    <w:rsid w:val="00C85CFE"/>
    <w:rsid w:val="00C864DA"/>
    <w:rsid w:val="00C86B69"/>
    <w:rsid w:val="00C90563"/>
    <w:rsid w:val="00C909B0"/>
    <w:rsid w:val="00C93572"/>
    <w:rsid w:val="00C95824"/>
    <w:rsid w:val="00CA1527"/>
    <w:rsid w:val="00CB040D"/>
    <w:rsid w:val="00CB6A22"/>
    <w:rsid w:val="00CB799E"/>
    <w:rsid w:val="00CB7CBD"/>
    <w:rsid w:val="00CC1B7B"/>
    <w:rsid w:val="00CD5267"/>
    <w:rsid w:val="00CD6360"/>
    <w:rsid w:val="00CE3E96"/>
    <w:rsid w:val="00CE5B1A"/>
    <w:rsid w:val="00CE5CB5"/>
    <w:rsid w:val="00CE5CC9"/>
    <w:rsid w:val="00CF344F"/>
    <w:rsid w:val="00CF5BB9"/>
    <w:rsid w:val="00CF6F15"/>
    <w:rsid w:val="00D00F2D"/>
    <w:rsid w:val="00D011D3"/>
    <w:rsid w:val="00D230C6"/>
    <w:rsid w:val="00D24A45"/>
    <w:rsid w:val="00D24D53"/>
    <w:rsid w:val="00D25D83"/>
    <w:rsid w:val="00D303E3"/>
    <w:rsid w:val="00D31900"/>
    <w:rsid w:val="00D31970"/>
    <w:rsid w:val="00D3257C"/>
    <w:rsid w:val="00D34266"/>
    <w:rsid w:val="00D37126"/>
    <w:rsid w:val="00D40B1D"/>
    <w:rsid w:val="00D4402C"/>
    <w:rsid w:val="00D452F7"/>
    <w:rsid w:val="00D475CF"/>
    <w:rsid w:val="00D57F82"/>
    <w:rsid w:val="00D75674"/>
    <w:rsid w:val="00D80E01"/>
    <w:rsid w:val="00D8795C"/>
    <w:rsid w:val="00D90999"/>
    <w:rsid w:val="00D94975"/>
    <w:rsid w:val="00DA170B"/>
    <w:rsid w:val="00DA3D83"/>
    <w:rsid w:val="00DB0E28"/>
    <w:rsid w:val="00DB1279"/>
    <w:rsid w:val="00DB3309"/>
    <w:rsid w:val="00DC468F"/>
    <w:rsid w:val="00DC4ED7"/>
    <w:rsid w:val="00DC508D"/>
    <w:rsid w:val="00DC5C64"/>
    <w:rsid w:val="00DC7075"/>
    <w:rsid w:val="00DC7A88"/>
    <w:rsid w:val="00DC7C3F"/>
    <w:rsid w:val="00DD037F"/>
    <w:rsid w:val="00DD39E5"/>
    <w:rsid w:val="00DD5A48"/>
    <w:rsid w:val="00DD7787"/>
    <w:rsid w:val="00DD7831"/>
    <w:rsid w:val="00DE4AF5"/>
    <w:rsid w:val="00DF1C6C"/>
    <w:rsid w:val="00DF2D29"/>
    <w:rsid w:val="00DF2DA5"/>
    <w:rsid w:val="00DF33D0"/>
    <w:rsid w:val="00DF55C8"/>
    <w:rsid w:val="00DF6B61"/>
    <w:rsid w:val="00E05B7A"/>
    <w:rsid w:val="00E06E8C"/>
    <w:rsid w:val="00E07009"/>
    <w:rsid w:val="00E07600"/>
    <w:rsid w:val="00E10DA4"/>
    <w:rsid w:val="00E16845"/>
    <w:rsid w:val="00E17AFA"/>
    <w:rsid w:val="00E238E6"/>
    <w:rsid w:val="00E24940"/>
    <w:rsid w:val="00E24A97"/>
    <w:rsid w:val="00E25543"/>
    <w:rsid w:val="00E272BB"/>
    <w:rsid w:val="00E27D82"/>
    <w:rsid w:val="00E3362F"/>
    <w:rsid w:val="00E36B46"/>
    <w:rsid w:val="00E376B1"/>
    <w:rsid w:val="00E46075"/>
    <w:rsid w:val="00E46858"/>
    <w:rsid w:val="00E46DD1"/>
    <w:rsid w:val="00E47A8E"/>
    <w:rsid w:val="00E506DC"/>
    <w:rsid w:val="00E50C04"/>
    <w:rsid w:val="00E563AB"/>
    <w:rsid w:val="00E56ACF"/>
    <w:rsid w:val="00E6121C"/>
    <w:rsid w:val="00E65725"/>
    <w:rsid w:val="00E674B6"/>
    <w:rsid w:val="00E70085"/>
    <w:rsid w:val="00E7427F"/>
    <w:rsid w:val="00E84217"/>
    <w:rsid w:val="00E8543D"/>
    <w:rsid w:val="00EA22E7"/>
    <w:rsid w:val="00EA5BE8"/>
    <w:rsid w:val="00EB175D"/>
    <w:rsid w:val="00EB1BE9"/>
    <w:rsid w:val="00EB32B3"/>
    <w:rsid w:val="00EB57F5"/>
    <w:rsid w:val="00EB79D8"/>
    <w:rsid w:val="00EC1483"/>
    <w:rsid w:val="00EC19DF"/>
    <w:rsid w:val="00EC54DB"/>
    <w:rsid w:val="00EC75F0"/>
    <w:rsid w:val="00ED106B"/>
    <w:rsid w:val="00ED29A2"/>
    <w:rsid w:val="00ED65DA"/>
    <w:rsid w:val="00ED6DC9"/>
    <w:rsid w:val="00EE02D3"/>
    <w:rsid w:val="00EE3267"/>
    <w:rsid w:val="00EE3E60"/>
    <w:rsid w:val="00EE48EC"/>
    <w:rsid w:val="00EE596A"/>
    <w:rsid w:val="00F02AC3"/>
    <w:rsid w:val="00F02AE9"/>
    <w:rsid w:val="00F04A98"/>
    <w:rsid w:val="00F05B83"/>
    <w:rsid w:val="00F062E0"/>
    <w:rsid w:val="00F12C65"/>
    <w:rsid w:val="00F134B3"/>
    <w:rsid w:val="00F2021F"/>
    <w:rsid w:val="00F2085D"/>
    <w:rsid w:val="00F2349C"/>
    <w:rsid w:val="00F258DB"/>
    <w:rsid w:val="00F26CC9"/>
    <w:rsid w:val="00F308C1"/>
    <w:rsid w:val="00F31A71"/>
    <w:rsid w:val="00F327AC"/>
    <w:rsid w:val="00F332EE"/>
    <w:rsid w:val="00F33D54"/>
    <w:rsid w:val="00F34A65"/>
    <w:rsid w:val="00F3696D"/>
    <w:rsid w:val="00F447C4"/>
    <w:rsid w:val="00F453A1"/>
    <w:rsid w:val="00F5185D"/>
    <w:rsid w:val="00F54DA3"/>
    <w:rsid w:val="00F55D88"/>
    <w:rsid w:val="00F561E8"/>
    <w:rsid w:val="00F57700"/>
    <w:rsid w:val="00F617C5"/>
    <w:rsid w:val="00F638B6"/>
    <w:rsid w:val="00F63F54"/>
    <w:rsid w:val="00F65717"/>
    <w:rsid w:val="00F67007"/>
    <w:rsid w:val="00F701AD"/>
    <w:rsid w:val="00F73264"/>
    <w:rsid w:val="00F7639B"/>
    <w:rsid w:val="00F76C2B"/>
    <w:rsid w:val="00F82D60"/>
    <w:rsid w:val="00F8590E"/>
    <w:rsid w:val="00FA20FE"/>
    <w:rsid w:val="00FA49EF"/>
    <w:rsid w:val="00FA58BD"/>
    <w:rsid w:val="00FA740D"/>
    <w:rsid w:val="00FB13B6"/>
    <w:rsid w:val="00FB43C6"/>
    <w:rsid w:val="00FB49C5"/>
    <w:rsid w:val="00FB52B6"/>
    <w:rsid w:val="00FC1E7D"/>
    <w:rsid w:val="00FC4E10"/>
    <w:rsid w:val="00FC7759"/>
    <w:rsid w:val="00FD1808"/>
    <w:rsid w:val="00FD42B2"/>
    <w:rsid w:val="00FD7BF4"/>
    <w:rsid w:val="00FE0049"/>
    <w:rsid w:val="00FE0930"/>
    <w:rsid w:val="00FE68C2"/>
    <w:rsid w:val="00FE72A3"/>
    <w:rsid w:val="00FF5470"/>
    <w:rsid w:val="00FF5A54"/>
    <w:rsid w:val="00FF7EEA"/>
    <w:rsid w:val="018EF979"/>
    <w:rsid w:val="02D35500"/>
    <w:rsid w:val="031CBA0B"/>
    <w:rsid w:val="0347EB8C"/>
    <w:rsid w:val="046F2561"/>
    <w:rsid w:val="04B88A6C"/>
    <w:rsid w:val="04C046DC"/>
    <w:rsid w:val="04D8CF72"/>
    <w:rsid w:val="04E8A983"/>
    <w:rsid w:val="0514AAE6"/>
    <w:rsid w:val="053657CC"/>
    <w:rsid w:val="05A482A3"/>
    <w:rsid w:val="05AF3CA9"/>
    <w:rsid w:val="05F18AC0"/>
    <w:rsid w:val="0644DFCA"/>
    <w:rsid w:val="06DD78C9"/>
    <w:rsid w:val="07A6C623"/>
    <w:rsid w:val="07E16AAE"/>
    <w:rsid w:val="0874B25A"/>
    <w:rsid w:val="08929B90"/>
    <w:rsid w:val="09CADF59"/>
    <w:rsid w:val="0A14B4E4"/>
    <w:rsid w:val="0A703BB2"/>
    <w:rsid w:val="0A79D0F3"/>
    <w:rsid w:val="0AA98565"/>
    <w:rsid w:val="0AC3FE37"/>
    <w:rsid w:val="0BC75BD1"/>
    <w:rsid w:val="0C337E3E"/>
    <w:rsid w:val="0C4A859E"/>
    <w:rsid w:val="0C79CE50"/>
    <w:rsid w:val="0D70E6C6"/>
    <w:rsid w:val="0D743CAF"/>
    <w:rsid w:val="0D82599D"/>
    <w:rsid w:val="0D83C554"/>
    <w:rsid w:val="0E4894CF"/>
    <w:rsid w:val="0E82691E"/>
    <w:rsid w:val="0E89F102"/>
    <w:rsid w:val="0EAAAC8E"/>
    <w:rsid w:val="0FF7D369"/>
    <w:rsid w:val="10467CEF"/>
    <w:rsid w:val="10C2AE24"/>
    <w:rsid w:val="1100B37D"/>
    <w:rsid w:val="115F3F56"/>
    <w:rsid w:val="11883F16"/>
    <w:rsid w:val="11A279DD"/>
    <w:rsid w:val="11E8F1B0"/>
    <w:rsid w:val="1244C131"/>
    <w:rsid w:val="1260C22F"/>
    <w:rsid w:val="129C83DE"/>
    <w:rsid w:val="12FAA22F"/>
    <w:rsid w:val="1321CF3B"/>
    <w:rsid w:val="1333E018"/>
    <w:rsid w:val="1350C5F6"/>
    <w:rsid w:val="13515D6E"/>
    <w:rsid w:val="1379C772"/>
    <w:rsid w:val="138F698A"/>
    <w:rsid w:val="13D783DE"/>
    <w:rsid w:val="13ED472E"/>
    <w:rsid w:val="143FC8E3"/>
    <w:rsid w:val="1485492B"/>
    <w:rsid w:val="14FAF6CE"/>
    <w:rsid w:val="15254818"/>
    <w:rsid w:val="15FB146D"/>
    <w:rsid w:val="16726C1D"/>
    <w:rsid w:val="171AD899"/>
    <w:rsid w:val="17268E62"/>
    <w:rsid w:val="1741A398"/>
    <w:rsid w:val="1786FCF9"/>
    <w:rsid w:val="17E103B7"/>
    <w:rsid w:val="17F4E9B6"/>
    <w:rsid w:val="183542CC"/>
    <w:rsid w:val="187E96C4"/>
    <w:rsid w:val="18FF8111"/>
    <w:rsid w:val="1927A14C"/>
    <w:rsid w:val="1A095752"/>
    <w:rsid w:val="1A495DE0"/>
    <w:rsid w:val="1B2C8A78"/>
    <w:rsid w:val="1BC5474E"/>
    <w:rsid w:val="1C6A935A"/>
    <w:rsid w:val="1C8810B0"/>
    <w:rsid w:val="1C8B490A"/>
    <w:rsid w:val="1D04DA6A"/>
    <w:rsid w:val="1DC124B6"/>
    <w:rsid w:val="1DCF75A4"/>
    <w:rsid w:val="1E76ECDB"/>
    <w:rsid w:val="206B8919"/>
    <w:rsid w:val="20CDA090"/>
    <w:rsid w:val="210723C7"/>
    <w:rsid w:val="222C9C47"/>
    <w:rsid w:val="230E39B2"/>
    <w:rsid w:val="23DA372A"/>
    <w:rsid w:val="23DFF700"/>
    <w:rsid w:val="2423BEFF"/>
    <w:rsid w:val="243EC489"/>
    <w:rsid w:val="26F40E1B"/>
    <w:rsid w:val="2711D7EC"/>
    <w:rsid w:val="2780F864"/>
    <w:rsid w:val="278A4A1E"/>
    <w:rsid w:val="287706EF"/>
    <w:rsid w:val="28FEFADE"/>
    <w:rsid w:val="294C27B2"/>
    <w:rsid w:val="29BEB39B"/>
    <w:rsid w:val="29E4E2BC"/>
    <w:rsid w:val="29FC792A"/>
    <w:rsid w:val="2B487AA4"/>
    <w:rsid w:val="2EC3B094"/>
    <w:rsid w:val="2EDFE835"/>
    <w:rsid w:val="303C053D"/>
    <w:rsid w:val="31032432"/>
    <w:rsid w:val="317C6241"/>
    <w:rsid w:val="31B20E02"/>
    <w:rsid w:val="32BB4047"/>
    <w:rsid w:val="32CA21C9"/>
    <w:rsid w:val="3367A014"/>
    <w:rsid w:val="337F1060"/>
    <w:rsid w:val="348F7ADF"/>
    <w:rsid w:val="34B13E7D"/>
    <w:rsid w:val="34C40CEB"/>
    <w:rsid w:val="34D0B560"/>
    <w:rsid w:val="34ED564A"/>
    <w:rsid w:val="352E22D0"/>
    <w:rsid w:val="35D26558"/>
    <w:rsid w:val="35DFF3C0"/>
    <w:rsid w:val="35F1FA95"/>
    <w:rsid w:val="3610059F"/>
    <w:rsid w:val="36B9A67A"/>
    <w:rsid w:val="376E35B9"/>
    <w:rsid w:val="379144D5"/>
    <w:rsid w:val="37DAF9A1"/>
    <w:rsid w:val="3802964C"/>
    <w:rsid w:val="3837590A"/>
    <w:rsid w:val="384C8145"/>
    <w:rsid w:val="3897690C"/>
    <w:rsid w:val="38BDE3DE"/>
    <w:rsid w:val="3915993F"/>
    <w:rsid w:val="392B49A8"/>
    <w:rsid w:val="393D2ABA"/>
    <w:rsid w:val="39678CD9"/>
    <w:rsid w:val="39A9A5B0"/>
    <w:rsid w:val="39FDBCE0"/>
    <w:rsid w:val="3A6970CA"/>
    <w:rsid w:val="3B833071"/>
    <w:rsid w:val="3B952F2C"/>
    <w:rsid w:val="3C548285"/>
    <w:rsid w:val="3DD818A9"/>
    <w:rsid w:val="3E33429D"/>
    <w:rsid w:val="3EB3888C"/>
    <w:rsid w:val="3F536B9A"/>
    <w:rsid w:val="3F5C5444"/>
    <w:rsid w:val="3F6AFF65"/>
    <w:rsid w:val="3FDDF689"/>
    <w:rsid w:val="400EE1D0"/>
    <w:rsid w:val="40778513"/>
    <w:rsid w:val="408CEECA"/>
    <w:rsid w:val="40A5C07F"/>
    <w:rsid w:val="40BA83C4"/>
    <w:rsid w:val="42A24601"/>
    <w:rsid w:val="43B21DF8"/>
    <w:rsid w:val="43F44CCB"/>
    <w:rsid w:val="443D9F6D"/>
    <w:rsid w:val="44CDB0CD"/>
    <w:rsid w:val="44D10D6D"/>
    <w:rsid w:val="44FC7758"/>
    <w:rsid w:val="4540DE9C"/>
    <w:rsid w:val="45441F5C"/>
    <w:rsid w:val="457481E9"/>
    <w:rsid w:val="457DABC1"/>
    <w:rsid w:val="4596D41E"/>
    <w:rsid w:val="45BD96BB"/>
    <w:rsid w:val="4607713C"/>
    <w:rsid w:val="46C84EB7"/>
    <w:rsid w:val="4714F38F"/>
    <w:rsid w:val="4718B532"/>
    <w:rsid w:val="4732A47F"/>
    <w:rsid w:val="4772E00A"/>
    <w:rsid w:val="4829A565"/>
    <w:rsid w:val="4877E7E6"/>
    <w:rsid w:val="48800742"/>
    <w:rsid w:val="48983380"/>
    <w:rsid w:val="49683C54"/>
    <w:rsid w:val="498465C7"/>
    <w:rsid w:val="49CA86B0"/>
    <w:rsid w:val="4AE52CCA"/>
    <w:rsid w:val="4BFB9803"/>
    <w:rsid w:val="4CF618FA"/>
    <w:rsid w:val="4CFBFBCD"/>
    <w:rsid w:val="4CFF57C2"/>
    <w:rsid w:val="4D39459B"/>
    <w:rsid w:val="4D3B7EF8"/>
    <w:rsid w:val="4D3FC6AF"/>
    <w:rsid w:val="4E3A5DC0"/>
    <w:rsid w:val="4E5CDCEA"/>
    <w:rsid w:val="4ECA9D71"/>
    <w:rsid w:val="502BB981"/>
    <w:rsid w:val="507B71E7"/>
    <w:rsid w:val="5107BD30"/>
    <w:rsid w:val="510DB0F7"/>
    <w:rsid w:val="517A94F6"/>
    <w:rsid w:val="5227B3D1"/>
    <w:rsid w:val="523D68E8"/>
    <w:rsid w:val="524F21AD"/>
    <w:rsid w:val="5365A1DF"/>
    <w:rsid w:val="53EBA318"/>
    <w:rsid w:val="53F43B77"/>
    <w:rsid w:val="545B3FF7"/>
    <w:rsid w:val="546ACA11"/>
    <w:rsid w:val="54BEF715"/>
    <w:rsid w:val="576300D0"/>
    <w:rsid w:val="5880D04F"/>
    <w:rsid w:val="5887F38C"/>
    <w:rsid w:val="58BC838A"/>
    <w:rsid w:val="592D7BDC"/>
    <w:rsid w:val="59BC4856"/>
    <w:rsid w:val="59D29BC7"/>
    <w:rsid w:val="59D8D70F"/>
    <w:rsid w:val="59F93C06"/>
    <w:rsid w:val="5A2B3DD2"/>
    <w:rsid w:val="5A6D8AC5"/>
    <w:rsid w:val="5AE5B58D"/>
    <w:rsid w:val="5AE71898"/>
    <w:rsid w:val="5B425E95"/>
    <w:rsid w:val="5B8B810D"/>
    <w:rsid w:val="5BD72625"/>
    <w:rsid w:val="5C161CFB"/>
    <w:rsid w:val="5CDA17D9"/>
    <w:rsid w:val="5D0F09B3"/>
    <w:rsid w:val="5E4CD3AD"/>
    <w:rsid w:val="5E5FF538"/>
    <w:rsid w:val="5E7039C6"/>
    <w:rsid w:val="5E7A8293"/>
    <w:rsid w:val="5E8CE48D"/>
    <w:rsid w:val="5EB95264"/>
    <w:rsid w:val="5ED6E976"/>
    <w:rsid w:val="6011B89B"/>
    <w:rsid w:val="6130D745"/>
    <w:rsid w:val="61565A1C"/>
    <w:rsid w:val="61779063"/>
    <w:rsid w:val="61AD88FC"/>
    <w:rsid w:val="62386EAA"/>
    <w:rsid w:val="62CFA8C5"/>
    <w:rsid w:val="637BB3B4"/>
    <w:rsid w:val="6406CDE1"/>
    <w:rsid w:val="657347B2"/>
    <w:rsid w:val="657A3DBA"/>
    <w:rsid w:val="6582D5E8"/>
    <w:rsid w:val="65B8DBB5"/>
    <w:rsid w:val="66F758D2"/>
    <w:rsid w:val="678047D7"/>
    <w:rsid w:val="67C1F5B6"/>
    <w:rsid w:val="690A6206"/>
    <w:rsid w:val="6914F4FB"/>
    <w:rsid w:val="69A7B17A"/>
    <w:rsid w:val="69BDFF83"/>
    <w:rsid w:val="6AA63267"/>
    <w:rsid w:val="6B2D2663"/>
    <w:rsid w:val="6BCAC9F5"/>
    <w:rsid w:val="6BD2A50E"/>
    <w:rsid w:val="6C1EDCEC"/>
    <w:rsid w:val="6C40557A"/>
    <w:rsid w:val="6D912DCB"/>
    <w:rsid w:val="6DD98927"/>
    <w:rsid w:val="6DE8FD96"/>
    <w:rsid w:val="6E2DF485"/>
    <w:rsid w:val="6EBD25F9"/>
    <w:rsid w:val="6F7B1B04"/>
    <w:rsid w:val="6FC223C3"/>
    <w:rsid w:val="6FE0D033"/>
    <w:rsid w:val="71329BAB"/>
    <w:rsid w:val="71B2EAE2"/>
    <w:rsid w:val="71E667AA"/>
    <w:rsid w:val="7206B211"/>
    <w:rsid w:val="721ABA3F"/>
    <w:rsid w:val="731FBE9D"/>
    <w:rsid w:val="743A17BD"/>
    <w:rsid w:val="749D826C"/>
    <w:rsid w:val="74BB8EFE"/>
    <w:rsid w:val="750C4E07"/>
    <w:rsid w:val="7512F3B8"/>
    <w:rsid w:val="753F1D54"/>
    <w:rsid w:val="754EE861"/>
    <w:rsid w:val="757D5633"/>
    <w:rsid w:val="759A4748"/>
    <w:rsid w:val="76C572DC"/>
    <w:rsid w:val="76D15768"/>
    <w:rsid w:val="76EF287C"/>
    <w:rsid w:val="77819A5D"/>
    <w:rsid w:val="77BE2A19"/>
    <w:rsid w:val="7807FB6B"/>
    <w:rsid w:val="78B62FF7"/>
    <w:rsid w:val="78DFA50B"/>
    <w:rsid w:val="79F77DAF"/>
    <w:rsid w:val="7A337B26"/>
    <w:rsid w:val="7AE34349"/>
    <w:rsid w:val="7AE64105"/>
    <w:rsid w:val="7B1FB7F4"/>
    <w:rsid w:val="7B314CA3"/>
    <w:rsid w:val="7B76105E"/>
    <w:rsid w:val="7C2F69A5"/>
    <w:rsid w:val="7C873306"/>
    <w:rsid w:val="7CAD7886"/>
    <w:rsid w:val="7CB2F55C"/>
    <w:rsid w:val="7CB80DF6"/>
    <w:rsid w:val="7CD00F50"/>
    <w:rsid w:val="7D027C57"/>
    <w:rsid w:val="7D23AC54"/>
    <w:rsid w:val="7E2BED0C"/>
    <w:rsid w:val="7E51C221"/>
    <w:rsid w:val="7F4B0F7C"/>
    <w:rsid w:val="7FD9E1F1"/>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6421C9"/>
  <w15:docId w15:val="{38B580C6-35A1-4B41-81B0-43F9D420A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BF3"/>
    <w:pPr>
      <w:spacing w:line="276" w:lineRule="auto"/>
    </w:pPr>
    <w:rPr>
      <w:rFonts w:ascii="Calibri" w:hAnsi="Calibri"/>
      <w:lang w:val="en-US"/>
    </w:rPr>
  </w:style>
  <w:style w:type="paragraph" w:styleId="Heading1">
    <w:name w:val="heading 1"/>
    <w:basedOn w:val="Normal"/>
    <w:next w:val="Normal"/>
    <w:link w:val="Heading1Char"/>
    <w:uiPriority w:val="9"/>
    <w:qFormat/>
    <w:rsid w:val="00EA22E7"/>
    <w:pPr>
      <w:keepNext/>
      <w:keepLines/>
      <w:spacing w:before="240" w:after="0"/>
      <w:jc w:val="center"/>
      <w:outlineLvl w:val="0"/>
    </w:pPr>
    <w:rPr>
      <w:rFonts w:ascii="DINPro-Bold" w:eastAsia="Segoe UI" w:hAnsi="DINPro-Bold" w:cstheme="majorBidi"/>
      <w:color w:val="2F5496" w:themeColor="accent1" w:themeShade="BF"/>
      <w:sz w:val="72"/>
      <w:szCs w:val="72"/>
      <w:lang w:val="en-GB"/>
    </w:rPr>
  </w:style>
  <w:style w:type="paragraph" w:styleId="Heading2">
    <w:name w:val="heading 2"/>
    <w:basedOn w:val="Normal"/>
    <w:next w:val="Normal"/>
    <w:link w:val="Heading2Char"/>
    <w:uiPriority w:val="9"/>
    <w:unhideWhenUsed/>
    <w:qFormat/>
    <w:rsid w:val="008F51C6"/>
    <w:pPr>
      <w:keepNext/>
      <w:keepLines/>
      <w:spacing w:before="240" w:after="240"/>
      <w:outlineLvl w:val="1"/>
    </w:pPr>
    <w:rPr>
      <w:rFonts w:ascii="DINPro-Bold" w:eastAsia="Segoe UI" w:hAnsi="DINPro-Bold" w:cstheme="majorBidi"/>
      <w:color w:val="2F5496" w:themeColor="accent1" w:themeShade="BF"/>
      <w:sz w:val="36"/>
      <w:szCs w:val="36"/>
      <w:lang w:val="en-GB"/>
    </w:rPr>
  </w:style>
  <w:style w:type="paragraph" w:styleId="Heading3">
    <w:name w:val="heading 3"/>
    <w:basedOn w:val="Normal"/>
    <w:next w:val="Normal"/>
    <w:link w:val="Heading3Char"/>
    <w:uiPriority w:val="9"/>
    <w:unhideWhenUsed/>
    <w:qFormat/>
    <w:rsid w:val="008F51C6"/>
    <w:pPr>
      <w:keepNext/>
      <w:keepLines/>
      <w:spacing w:before="240" w:after="240" w:line="259" w:lineRule="auto"/>
      <w:outlineLvl w:val="2"/>
    </w:pPr>
    <w:rPr>
      <w:rFonts w:ascii="DINPro-Regular" w:eastAsiaTheme="majorEastAsia" w:hAnsi="DINPro-Regular" w:cstheme="majorHAnsi"/>
      <w:color w:val="2F5496"/>
      <w:sz w:val="28"/>
      <w:szCs w:val="28"/>
      <w:lang w:val="en-GB"/>
    </w:rPr>
  </w:style>
  <w:style w:type="paragraph" w:styleId="Heading4">
    <w:name w:val="heading 4"/>
    <w:basedOn w:val="Normal"/>
    <w:next w:val="Normal"/>
    <w:link w:val="Heading4Char"/>
    <w:uiPriority w:val="9"/>
    <w:unhideWhenUsed/>
    <w:qFormat/>
    <w:rsid w:val="008D64E6"/>
    <w:pPr>
      <w:keepNext/>
      <w:keepLines/>
      <w:spacing w:before="40" w:after="0" w:line="259" w:lineRule="auto"/>
      <w:outlineLvl w:val="3"/>
    </w:pPr>
    <w:rPr>
      <w:rFonts w:ascii="Franklin Gothic Demi" w:eastAsiaTheme="majorEastAsia" w:hAnsi="Franklin Gothic Demi" w:cstheme="majorBidi"/>
      <w:sz w:val="28"/>
      <w:szCs w:val="28"/>
      <w:lang w:val="nl-NL"/>
    </w:rPr>
  </w:style>
  <w:style w:type="paragraph" w:styleId="Heading5">
    <w:name w:val="heading 5"/>
    <w:basedOn w:val="Normal"/>
    <w:next w:val="Normal"/>
    <w:link w:val="Heading5Char"/>
    <w:uiPriority w:val="9"/>
    <w:unhideWhenUsed/>
    <w:qFormat/>
    <w:rsid w:val="0028493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362542"/>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customStyle="1" w:styleId="normaltextrun">
    <w:name w:val="normaltextrun"/>
    <w:basedOn w:val="DefaultParagraphFont"/>
    <w:rsid w:val="00362542"/>
  </w:style>
  <w:style w:type="character" w:customStyle="1" w:styleId="eop">
    <w:name w:val="eop"/>
    <w:basedOn w:val="DefaultParagraphFont"/>
    <w:rsid w:val="00362542"/>
  </w:style>
  <w:style w:type="character" w:styleId="PlaceholderText">
    <w:name w:val="Placeholder Text"/>
    <w:basedOn w:val="DefaultParagraphFont"/>
    <w:uiPriority w:val="99"/>
    <w:semiHidden/>
    <w:rsid w:val="0087077D"/>
    <w:rPr>
      <w:color w:val="808080"/>
    </w:rPr>
  </w:style>
  <w:style w:type="character" w:styleId="CommentReference">
    <w:name w:val="annotation reference"/>
    <w:basedOn w:val="DefaultParagraphFont"/>
    <w:uiPriority w:val="99"/>
    <w:semiHidden/>
    <w:unhideWhenUsed/>
    <w:rsid w:val="0087077D"/>
    <w:rPr>
      <w:sz w:val="16"/>
      <w:szCs w:val="16"/>
    </w:rPr>
  </w:style>
  <w:style w:type="paragraph" w:styleId="CommentText">
    <w:name w:val="annotation text"/>
    <w:basedOn w:val="Normal"/>
    <w:link w:val="CommentTextChar"/>
    <w:uiPriority w:val="99"/>
    <w:unhideWhenUsed/>
    <w:rsid w:val="0087077D"/>
    <w:pPr>
      <w:spacing w:line="240" w:lineRule="auto"/>
    </w:pPr>
    <w:rPr>
      <w:sz w:val="20"/>
      <w:szCs w:val="20"/>
    </w:rPr>
  </w:style>
  <w:style w:type="character" w:customStyle="1" w:styleId="CommentTextChar">
    <w:name w:val="Comment Text Char"/>
    <w:basedOn w:val="DefaultParagraphFont"/>
    <w:link w:val="CommentText"/>
    <w:uiPriority w:val="99"/>
    <w:rsid w:val="0087077D"/>
    <w:rPr>
      <w:rFonts w:ascii="Calibri" w:hAnsi="Calibri"/>
      <w:sz w:val="20"/>
      <w:szCs w:val="20"/>
      <w:lang w:val="en-US"/>
    </w:rPr>
  </w:style>
  <w:style w:type="paragraph" w:styleId="CommentSubject">
    <w:name w:val="annotation subject"/>
    <w:basedOn w:val="CommentText"/>
    <w:next w:val="CommentText"/>
    <w:link w:val="CommentSubjectChar"/>
    <w:uiPriority w:val="99"/>
    <w:semiHidden/>
    <w:unhideWhenUsed/>
    <w:rsid w:val="0087077D"/>
    <w:rPr>
      <w:b/>
      <w:bCs/>
    </w:rPr>
  </w:style>
  <w:style w:type="character" w:customStyle="1" w:styleId="CommentSubjectChar">
    <w:name w:val="Comment Subject Char"/>
    <w:basedOn w:val="CommentTextChar"/>
    <w:link w:val="CommentSubject"/>
    <w:uiPriority w:val="99"/>
    <w:semiHidden/>
    <w:rsid w:val="0087077D"/>
    <w:rPr>
      <w:rFonts w:ascii="Calibri" w:hAnsi="Calibri"/>
      <w:b/>
      <w:bCs/>
      <w:sz w:val="20"/>
      <w:szCs w:val="20"/>
      <w:lang w:val="en-US"/>
    </w:rPr>
  </w:style>
  <w:style w:type="character" w:customStyle="1" w:styleId="Heading3Char">
    <w:name w:val="Heading 3 Char"/>
    <w:basedOn w:val="DefaultParagraphFont"/>
    <w:link w:val="Heading3"/>
    <w:uiPriority w:val="9"/>
    <w:rsid w:val="008F51C6"/>
    <w:rPr>
      <w:rFonts w:ascii="DINPro-Regular" w:eastAsiaTheme="majorEastAsia" w:hAnsi="DINPro-Regular" w:cstheme="majorHAnsi"/>
      <w:color w:val="2F5496"/>
      <w:sz w:val="28"/>
      <w:szCs w:val="28"/>
      <w:lang w:val="en-GB"/>
    </w:rPr>
  </w:style>
  <w:style w:type="character" w:customStyle="1" w:styleId="Heading4Char">
    <w:name w:val="Heading 4 Char"/>
    <w:basedOn w:val="DefaultParagraphFont"/>
    <w:link w:val="Heading4"/>
    <w:uiPriority w:val="9"/>
    <w:rsid w:val="008D64E6"/>
    <w:rPr>
      <w:rFonts w:ascii="Franklin Gothic Demi" w:eastAsiaTheme="majorEastAsia" w:hAnsi="Franklin Gothic Demi" w:cstheme="majorBidi"/>
      <w:sz w:val="28"/>
      <w:szCs w:val="28"/>
      <w:lang w:val="nl-NL"/>
    </w:rPr>
  </w:style>
  <w:style w:type="paragraph" w:customStyle="1" w:styleId="FootnoteText1">
    <w:name w:val="Footnote Text1"/>
    <w:basedOn w:val="Normal"/>
    <w:next w:val="FootnoteText"/>
    <w:link w:val="FootnoteTextChar"/>
    <w:uiPriority w:val="99"/>
    <w:unhideWhenUsed/>
    <w:rsid w:val="008D64E6"/>
    <w:pPr>
      <w:spacing w:after="0" w:line="240" w:lineRule="auto"/>
    </w:pPr>
    <w:rPr>
      <w:rFonts w:asciiTheme="minorHAnsi" w:hAnsiTheme="minorHAnsi"/>
      <w:sz w:val="20"/>
      <w:szCs w:val="20"/>
      <w:lang w:val="nl-NL"/>
    </w:rPr>
  </w:style>
  <w:style w:type="character" w:customStyle="1" w:styleId="FootnoteTextChar">
    <w:name w:val="Footnote Text Char"/>
    <w:basedOn w:val="DefaultParagraphFont"/>
    <w:link w:val="FootnoteText1"/>
    <w:uiPriority w:val="99"/>
    <w:rsid w:val="008D64E6"/>
    <w:rPr>
      <w:sz w:val="20"/>
      <w:szCs w:val="20"/>
      <w:lang w:val="nl-NL"/>
    </w:rPr>
  </w:style>
  <w:style w:type="character" w:styleId="FootnoteReference">
    <w:name w:val="footnote reference"/>
    <w:basedOn w:val="DefaultParagraphFont"/>
    <w:uiPriority w:val="99"/>
    <w:semiHidden/>
    <w:unhideWhenUsed/>
    <w:rsid w:val="008D64E6"/>
    <w:rPr>
      <w:vertAlign w:val="superscript"/>
    </w:rPr>
  </w:style>
  <w:style w:type="character" w:styleId="Emphasis">
    <w:name w:val="Emphasis"/>
    <w:uiPriority w:val="20"/>
    <w:qFormat/>
    <w:rsid w:val="000230ED"/>
    <w:rPr>
      <w:rFonts w:asciiTheme="minorHAnsi" w:eastAsia="Segoe UI" w:hAnsiTheme="minorHAnsi"/>
      <w:sz w:val="24"/>
      <w:szCs w:val="24"/>
      <w:shd w:val="clear" w:color="auto" w:fill="DAE9F2"/>
      <w:lang w:val="en-GB"/>
    </w:rPr>
  </w:style>
  <w:style w:type="paragraph" w:styleId="FootnoteText">
    <w:name w:val="footnote text"/>
    <w:basedOn w:val="Normal"/>
    <w:link w:val="FootnoteTextChar1"/>
    <w:uiPriority w:val="99"/>
    <w:unhideWhenUsed/>
    <w:rsid w:val="008D64E6"/>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8D64E6"/>
    <w:rPr>
      <w:rFonts w:ascii="Calibri" w:hAnsi="Calibri"/>
      <w:sz w:val="20"/>
      <w:szCs w:val="20"/>
      <w:lang w:val="en-US"/>
    </w:rPr>
  </w:style>
  <w:style w:type="character" w:customStyle="1" w:styleId="Formfield">
    <w:name w:val="Form field"/>
    <w:basedOn w:val="normaltextrun"/>
    <w:uiPriority w:val="1"/>
    <w:qFormat/>
    <w:rsid w:val="005C0653"/>
    <w:rPr>
      <w:rFonts w:asciiTheme="minorHAnsi" w:hAnsiTheme="minorHAnsi"/>
      <w:caps/>
      <w:smallCaps w:val="0"/>
      <w:color w:val="C00000"/>
    </w:rPr>
  </w:style>
  <w:style w:type="character" w:customStyle="1" w:styleId="Heading1Char">
    <w:name w:val="Heading 1 Char"/>
    <w:basedOn w:val="DefaultParagraphFont"/>
    <w:link w:val="Heading1"/>
    <w:uiPriority w:val="9"/>
    <w:rsid w:val="00EA22E7"/>
    <w:rPr>
      <w:rFonts w:ascii="DINPro-Bold" w:eastAsia="Segoe UI" w:hAnsi="DINPro-Bold" w:cstheme="majorBidi"/>
      <w:color w:val="2F5496" w:themeColor="accent1" w:themeShade="BF"/>
      <w:sz w:val="72"/>
      <w:szCs w:val="72"/>
      <w:lang w:val="en-GB"/>
    </w:rPr>
  </w:style>
  <w:style w:type="character" w:customStyle="1" w:styleId="Heading2Char">
    <w:name w:val="Heading 2 Char"/>
    <w:basedOn w:val="DefaultParagraphFont"/>
    <w:link w:val="Heading2"/>
    <w:uiPriority w:val="9"/>
    <w:rsid w:val="008F51C6"/>
    <w:rPr>
      <w:rFonts w:ascii="DINPro-Bold" w:eastAsia="Segoe UI" w:hAnsi="DINPro-Bold" w:cstheme="majorBidi"/>
      <w:color w:val="2F5496" w:themeColor="accent1" w:themeShade="BF"/>
      <w:sz w:val="36"/>
      <w:szCs w:val="36"/>
      <w:lang w:val="en-GB"/>
    </w:rPr>
  </w:style>
  <w:style w:type="character" w:customStyle="1" w:styleId="Heading5Char">
    <w:name w:val="Heading 5 Char"/>
    <w:basedOn w:val="DefaultParagraphFont"/>
    <w:link w:val="Heading5"/>
    <w:uiPriority w:val="9"/>
    <w:rsid w:val="00284936"/>
    <w:rPr>
      <w:rFonts w:asciiTheme="majorHAnsi" w:eastAsiaTheme="majorEastAsia" w:hAnsiTheme="majorHAnsi" w:cstheme="majorBidi"/>
      <w:color w:val="2F5496" w:themeColor="accent1" w:themeShade="BF"/>
      <w:lang w:val="en-US"/>
    </w:rPr>
  </w:style>
  <w:style w:type="table" w:styleId="TableGrid">
    <w:name w:val="Table Grid"/>
    <w:basedOn w:val="TableNormal"/>
    <w:uiPriority w:val="39"/>
    <w:rsid w:val="00706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B1BE9"/>
    <w:pPr>
      <w:ind w:left="720"/>
      <w:contextualSpacing/>
    </w:pPr>
  </w:style>
  <w:style w:type="paragraph" w:styleId="Revision">
    <w:name w:val="Revision"/>
    <w:hidden/>
    <w:uiPriority w:val="99"/>
    <w:semiHidden/>
    <w:rsid w:val="0034614C"/>
    <w:pPr>
      <w:spacing w:after="0" w:line="240" w:lineRule="auto"/>
    </w:pPr>
    <w:rPr>
      <w:rFonts w:ascii="Calibri" w:hAnsi="Calibri"/>
      <w:lang w:val="en-US"/>
    </w:r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sid w:val="00F82D60"/>
    <w:rPr>
      <w:color w:val="605E5C"/>
      <w:shd w:val="clear" w:color="auto" w:fill="E1DFDD"/>
    </w:rPr>
  </w:style>
  <w:style w:type="paragraph" w:styleId="Header">
    <w:name w:val="header"/>
    <w:basedOn w:val="Normal"/>
    <w:link w:val="HeaderChar"/>
    <w:uiPriority w:val="99"/>
    <w:unhideWhenUsed/>
    <w:rsid w:val="00790B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0BB6"/>
    <w:rPr>
      <w:rFonts w:ascii="Calibri" w:hAnsi="Calibri"/>
      <w:lang w:val="en-US"/>
    </w:rPr>
  </w:style>
  <w:style w:type="paragraph" w:styleId="Footer">
    <w:name w:val="footer"/>
    <w:basedOn w:val="Normal"/>
    <w:link w:val="FooterChar"/>
    <w:uiPriority w:val="99"/>
    <w:unhideWhenUsed/>
    <w:rsid w:val="00790B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0BB6"/>
    <w:rPr>
      <w:rFonts w:ascii="Calibri" w:hAnsi="Calibri"/>
      <w:lang w:val="en-US"/>
    </w:rPr>
  </w:style>
  <w:style w:type="paragraph" w:styleId="TOCHeading">
    <w:name w:val="TOC Heading"/>
    <w:basedOn w:val="Heading1"/>
    <w:next w:val="Normal"/>
    <w:uiPriority w:val="39"/>
    <w:unhideWhenUsed/>
    <w:qFormat/>
    <w:rsid w:val="00975633"/>
    <w:pPr>
      <w:spacing w:line="259" w:lineRule="auto"/>
      <w:jc w:val="left"/>
      <w:outlineLvl w:val="9"/>
    </w:pPr>
    <w:rPr>
      <w:rFonts w:asciiTheme="majorHAnsi" w:eastAsiaTheme="majorEastAsia" w:hAnsiTheme="majorHAnsi"/>
      <w:sz w:val="32"/>
      <w:szCs w:val="32"/>
      <w:lang w:val="en-US"/>
    </w:rPr>
  </w:style>
  <w:style w:type="paragraph" w:styleId="TOC1">
    <w:name w:val="toc 1"/>
    <w:basedOn w:val="Normal"/>
    <w:next w:val="Normal"/>
    <w:autoRedefine/>
    <w:uiPriority w:val="39"/>
    <w:unhideWhenUsed/>
    <w:rsid w:val="0093014B"/>
    <w:pPr>
      <w:tabs>
        <w:tab w:val="left" w:pos="440"/>
        <w:tab w:val="right" w:leader="dot" w:pos="9016"/>
      </w:tabs>
      <w:spacing w:after="100"/>
    </w:pPr>
    <w:rPr>
      <w:b/>
      <w:bCs/>
      <w:noProof/>
    </w:rPr>
  </w:style>
  <w:style w:type="paragraph" w:styleId="TOC2">
    <w:name w:val="toc 2"/>
    <w:basedOn w:val="Normal"/>
    <w:next w:val="Normal"/>
    <w:autoRedefine/>
    <w:uiPriority w:val="39"/>
    <w:unhideWhenUsed/>
    <w:rsid w:val="00975633"/>
    <w:pPr>
      <w:spacing w:after="100"/>
      <w:ind w:left="220"/>
    </w:pPr>
  </w:style>
  <w:style w:type="paragraph" w:styleId="TOC3">
    <w:name w:val="toc 3"/>
    <w:basedOn w:val="Normal"/>
    <w:next w:val="Normal"/>
    <w:autoRedefine/>
    <w:uiPriority w:val="39"/>
    <w:unhideWhenUsed/>
    <w:rsid w:val="00975633"/>
    <w:pPr>
      <w:spacing w:after="100"/>
      <w:ind w:left="440"/>
    </w:pPr>
  </w:style>
  <w:style w:type="character" w:styleId="FollowedHyperlink">
    <w:name w:val="FollowedHyperlink"/>
    <w:basedOn w:val="DefaultParagraphFont"/>
    <w:uiPriority w:val="99"/>
    <w:semiHidden/>
    <w:unhideWhenUsed/>
    <w:rsid w:val="0045403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0832885">
      <w:bodyDiv w:val="1"/>
      <w:marLeft w:val="0"/>
      <w:marRight w:val="0"/>
      <w:marTop w:val="0"/>
      <w:marBottom w:val="0"/>
      <w:divBdr>
        <w:top w:val="none" w:sz="0" w:space="0" w:color="auto"/>
        <w:left w:val="none" w:sz="0" w:space="0" w:color="auto"/>
        <w:bottom w:val="none" w:sz="0" w:space="0" w:color="auto"/>
        <w:right w:val="none" w:sz="0" w:space="0" w:color="auto"/>
      </w:divBdr>
      <w:divsChild>
        <w:div w:id="14815859">
          <w:marLeft w:val="0"/>
          <w:marRight w:val="0"/>
          <w:marTop w:val="0"/>
          <w:marBottom w:val="0"/>
          <w:divBdr>
            <w:top w:val="none" w:sz="0" w:space="0" w:color="auto"/>
            <w:left w:val="none" w:sz="0" w:space="0" w:color="auto"/>
            <w:bottom w:val="none" w:sz="0" w:space="0" w:color="auto"/>
            <w:right w:val="none" w:sz="0" w:space="0" w:color="auto"/>
          </w:divBdr>
        </w:div>
        <w:div w:id="95564678">
          <w:marLeft w:val="0"/>
          <w:marRight w:val="0"/>
          <w:marTop w:val="0"/>
          <w:marBottom w:val="0"/>
          <w:divBdr>
            <w:top w:val="none" w:sz="0" w:space="0" w:color="auto"/>
            <w:left w:val="none" w:sz="0" w:space="0" w:color="auto"/>
            <w:bottom w:val="none" w:sz="0" w:space="0" w:color="auto"/>
            <w:right w:val="none" w:sz="0" w:space="0" w:color="auto"/>
          </w:divBdr>
        </w:div>
        <w:div w:id="102460245">
          <w:marLeft w:val="0"/>
          <w:marRight w:val="0"/>
          <w:marTop w:val="0"/>
          <w:marBottom w:val="0"/>
          <w:divBdr>
            <w:top w:val="none" w:sz="0" w:space="0" w:color="auto"/>
            <w:left w:val="none" w:sz="0" w:space="0" w:color="auto"/>
            <w:bottom w:val="none" w:sz="0" w:space="0" w:color="auto"/>
            <w:right w:val="none" w:sz="0" w:space="0" w:color="auto"/>
          </w:divBdr>
        </w:div>
        <w:div w:id="268129496">
          <w:marLeft w:val="0"/>
          <w:marRight w:val="0"/>
          <w:marTop w:val="0"/>
          <w:marBottom w:val="0"/>
          <w:divBdr>
            <w:top w:val="none" w:sz="0" w:space="0" w:color="auto"/>
            <w:left w:val="none" w:sz="0" w:space="0" w:color="auto"/>
            <w:bottom w:val="none" w:sz="0" w:space="0" w:color="auto"/>
            <w:right w:val="none" w:sz="0" w:space="0" w:color="auto"/>
          </w:divBdr>
        </w:div>
        <w:div w:id="396975045">
          <w:marLeft w:val="0"/>
          <w:marRight w:val="0"/>
          <w:marTop w:val="0"/>
          <w:marBottom w:val="0"/>
          <w:divBdr>
            <w:top w:val="none" w:sz="0" w:space="0" w:color="auto"/>
            <w:left w:val="none" w:sz="0" w:space="0" w:color="auto"/>
            <w:bottom w:val="none" w:sz="0" w:space="0" w:color="auto"/>
            <w:right w:val="none" w:sz="0" w:space="0" w:color="auto"/>
          </w:divBdr>
        </w:div>
        <w:div w:id="413666256">
          <w:marLeft w:val="0"/>
          <w:marRight w:val="0"/>
          <w:marTop w:val="0"/>
          <w:marBottom w:val="0"/>
          <w:divBdr>
            <w:top w:val="none" w:sz="0" w:space="0" w:color="auto"/>
            <w:left w:val="none" w:sz="0" w:space="0" w:color="auto"/>
            <w:bottom w:val="none" w:sz="0" w:space="0" w:color="auto"/>
            <w:right w:val="none" w:sz="0" w:space="0" w:color="auto"/>
          </w:divBdr>
        </w:div>
        <w:div w:id="559561690">
          <w:marLeft w:val="0"/>
          <w:marRight w:val="0"/>
          <w:marTop w:val="0"/>
          <w:marBottom w:val="0"/>
          <w:divBdr>
            <w:top w:val="none" w:sz="0" w:space="0" w:color="auto"/>
            <w:left w:val="none" w:sz="0" w:space="0" w:color="auto"/>
            <w:bottom w:val="none" w:sz="0" w:space="0" w:color="auto"/>
            <w:right w:val="none" w:sz="0" w:space="0" w:color="auto"/>
          </w:divBdr>
        </w:div>
        <w:div w:id="609581009">
          <w:marLeft w:val="0"/>
          <w:marRight w:val="0"/>
          <w:marTop w:val="0"/>
          <w:marBottom w:val="0"/>
          <w:divBdr>
            <w:top w:val="none" w:sz="0" w:space="0" w:color="auto"/>
            <w:left w:val="none" w:sz="0" w:space="0" w:color="auto"/>
            <w:bottom w:val="none" w:sz="0" w:space="0" w:color="auto"/>
            <w:right w:val="none" w:sz="0" w:space="0" w:color="auto"/>
          </w:divBdr>
        </w:div>
        <w:div w:id="686172324">
          <w:marLeft w:val="0"/>
          <w:marRight w:val="0"/>
          <w:marTop w:val="0"/>
          <w:marBottom w:val="0"/>
          <w:divBdr>
            <w:top w:val="none" w:sz="0" w:space="0" w:color="auto"/>
            <w:left w:val="none" w:sz="0" w:space="0" w:color="auto"/>
            <w:bottom w:val="none" w:sz="0" w:space="0" w:color="auto"/>
            <w:right w:val="none" w:sz="0" w:space="0" w:color="auto"/>
          </w:divBdr>
        </w:div>
        <w:div w:id="760839157">
          <w:marLeft w:val="0"/>
          <w:marRight w:val="0"/>
          <w:marTop w:val="0"/>
          <w:marBottom w:val="0"/>
          <w:divBdr>
            <w:top w:val="none" w:sz="0" w:space="0" w:color="auto"/>
            <w:left w:val="none" w:sz="0" w:space="0" w:color="auto"/>
            <w:bottom w:val="none" w:sz="0" w:space="0" w:color="auto"/>
            <w:right w:val="none" w:sz="0" w:space="0" w:color="auto"/>
          </w:divBdr>
        </w:div>
        <w:div w:id="905071560">
          <w:marLeft w:val="0"/>
          <w:marRight w:val="0"/>
          <w:marTop w:val="0"/>
          <w:marBottom w:val="0"/>
          <w:divBdr>
            <w:top w:val="none" w:sz="0" w:space="0" w:color="auto"/>
            <w:left w:val="none" w:sz="0" w:space="0" w:color="auto"/>
            <w:bottom w:val="none" w:sz="0" w:space="0" w:color="auto"/>
            <w:right w:val="none" w:sz="0" w:space="0" w:color="auto"/>
          </w:divBdr>
        </w:div>
        <w:div w:id="984895373">
          <w:marLeft w:val="0"/>
          <w:marRight w:val="0"/>
          <w:marTop w:val="0"/>
          <w:marBottom w:val="0"/>
          <w:divBdr>
            <w:top w:val="none" w:sz="0" w:space="0" w:color="auto"/>
            <w:left w:val="none" w:sz="0" w:space="0" w:color="auto"/>
            <w:bottom w:val="none" w:sz="0" w:space="0" w:color="auto"/>
            <w:right w:val="none" w:sz="0" w:space="0" w:color="auto"/>
          </w:divBdr>
        </w:div>
        <w:div w:id="1013797781">
          <w:marLeft w:val="0"/>
          <w:marRight w:val="0"/>
          <w:marTop w:val="0"/>
          <w:marBottom w:val="0"/>
          <w:divBdr>
            <w:top w:val="none" w:sz="0" w:space="0" w:color="auto"/>
            <w:left w:val="none" w:sz="0" w:space="0" w:color="auto"/>
            <w:bottom w:val="none" w:sz="0" w:space="0" w:color="auto"/>
            <w:right w:val="none" w:sz="0" w:space="0" w:color="auto"/>
          </w:divBdr>
          <w:divsChild>
            <w:div w:id="81993141">
              <w:marLeft w:val="0"/>
              <w:marRight w:val="0"/>
              <w:marTop w:val="0"/>
              <w:marBottom w:val="0"/>
              <w:divBdr>
                <w:top w:val="none" w:sz="0" w:space="0" w:color="auto"/>
                <w:left w:val="none" w:sz="0" w:space="0" w:color="auto"/>
                <w:bottom w:val="none" w:sz="0" w:space="0" w:color="auto"/>
                <w:right w:val="none" w:sz="0" w:space="0" w:color="auto"/>
              </w:divBdr>
            </w:div>
            <w:div w:id="443304523">
              <w:marLeft w:val="0"/>
              <w:marRight w:val="0"/>
              <w:marTop w:val="0"/>
              <w:marBottom w:val="0"/>
              <w:divBdr>
                <w:top w:val="none" w:sz="0" w:space="0" w:color="auto"/>
                <w:left w:val="none" w:sz="0" w:space="0" w:color="auto"/>
                <w:bottom w:val="none" w:sz="0" w:space="0" w:color="auto"/>
                <w:right w:val="none" w:sz="0" w:space="0" w:color="auto"/>
              </w:divBdr>
            </w:div>
            <w:div w:id="536356824">
              <w:marLeft w:val="0"/>
              <w:marRight w:val="0"/>
              <w:marTop w:val="0"/>
              <w:marBottom w:val="0"/>
              <w:divBdr>
                <w:top w:val="none" w:sz="0" w:space="0" w:color="auto"/>
                <w:left w:val="none" w:sz="0" w:space="0" w:color="auto"/>
                <w:bottom w:val="none" w:sz="0" w:space="0" w:color="auto"/>
                <w:right w:val="none" w:sz="0" w:space="0" w:color="auto"/>
              </w:divBdr>
            </w:div>
            <w:div w:id="557671977">
              <w:marLeft w:val="0"/>
              <w:marRight w:val="0"/>
              <w:marTop w:val="0"/>
              <w:marBottom w:val="0"/>
              <w:divBdr>
                <w:top w:val="none" w:sz="0" w:space="0" w:color="auto"/>
                <w:left w:val="none" w:sz="0" w:space="0" w:color="auto"/>
                <w:bottom w:val="none" w:sz="0" w:space="0" w:color="auto"/>
                <w:right w:val="none" w:sz="0" w:space="0" w:color="auto"/>
              </w:divBdr>
            </w:div>
            <w:div w:id="579101470">
              <w:marLeft w:val="0"/>
              <w:marRight w:val="0"/>
              <w:marTop w:val="0"/>
              <w:marBottom w:val="0"/>
              <w:divBdr>
                <w:top w:val="none" w:sz="0" w:space="0" w:color="auto"/>
                <w:left w:val="none" w:sz="0" w:space="0" w:color="auto"/>
                <w:bottom w:val="none" w:sz="0" w:space="0" w:color="auto"/>
                <w:right w:val="none" w:sz="0" w:space="0" w:color="auto"/>
              </w:divBdr>
            </w:div>
            <w:div w:id="845629586">
              <w:marLeft w:val="0"/>
              <w:marRight w:val="0"/>
              <w:marTop w:val="0"/>
              <w:marBottom w:val="0"/>
              <w:divBdr>
                <w:top w:val="none" w:sz="0" w:space="0" w:color="auto"/>
                <w:left w:val="none" w:sz="0" w:space="0" w:color="auto"/>
                <w:bottom w:val="none" w:sz="0" w:space="0" w:color="auto"/>
                <w:right w:val="none" w:sz="0" w:space="0" w:color="auto"/>
              </w:divBdr>
            </w:div>
          </w:divsChild>
        </w:div>
        <w:div w:id="1043136975">
          <w:marLeft w:val="0"/>
          <w:marRight w:val="0"/>
          <w:marTop w:val="0"/>
          <w:marBottom w:val="0"/>
          <w:divBdr>
            <w:top w:val="none" w:sz="0" w:space="0" w:color="auto"/>
            <w:left w:val="none" w:sz="0" w:space="0" w:color="auto"/>
            <w:bottom w:val="none" w:sz="0" w:space="0" w:color="auto"/>
            <w:right w:val="none" w:sz="0" w:space="0" w:color="auto"/>
          </w:divBdr>
        </w:div>
        <w:div w:id="1083261944">
          <w:marLeft w:val="0"/>
          <w:marRight w:val="0"/>
          <w:marTop w:val="0"/>
          <w:marBottom w:val="0"/>
          <w:divBdr>
            <w:top w:val="none" w:sz="0" w:space="0" w:color="auto"/>
            <w:left w:val="none" w:sz="0" w:space="0" w:color="auto"/>
            <w:bottom w:val="none" w:sz="0" w:space="0" w:color="auto"/>
            <w:right w:val="none" w:sz="0" w:space="0" w:color="auto"/>
          </w:divBdr>
        </w:div>
        <w:div w:id="1108113793">
          <w:marLeft w:val="0"/>
          <w:marRight w:val="0"/>
          <w:marTop w:val="0"/>
          <w:marBottom w:val="0"/>
          <w:divBdr>
            <w:top w:val="none" w:sz="0" w:space="0" w:color="auto"/>
            <w:left w:val="none" w:sz="0" w:space="0" w:color="auto"/>
            <w:bottom w:val="none" w:sz="0" w:space="0" w:color="auto"/>
            <w:right w:val="none" w:sz="0" w:space="0" w:color="auto"/>
          </w:divBdr>
        </w:div>
        <w:div w:id="1127818866">
          <w:marLeft w:val="0"/>
          <w:marRight w:val="0"/>
          <w:marTop w:val="0"/>
          <w:marBottom w:val="0"/>
          <w:divBdr>
            <w:top w:val="none" w:sz="0" w:space="0" w:color="auto"/>
            <w:left w:val="none" w:sz="0" w:space="0" w:color="auto"/>
            <w:bottom w:val="none" w:sz="0" w:space="0" w:color="auto"/>
            <w:right w:val="none" w:sz="0" w:space="0" w:color="auto"/>
          </w:divBdr>
        </w:div>
        <w:div w:id="1314141097">
          <w:marLeft w:val="0"/>
          <w:marRight w:val="0"/>
          <w:marTop w:val="0"/>
          <w:marBottom w:val="0"/>
          <w:divBdr>
            <w:top w:val="none" w:sz="0" w:space="0" w:color="auto"/>
            <w:left w:val="none" w:sz="0" w:space="0" w:color="auto"/>
            <w:bottom w:val="none" w:sz="0" w:space="0" w:color="auto"/>
            <w:right w:val="none" w:sz="0" w:space="0" w:color="auto"/>
          </w:divBdr>
        </w:div>
        <w:div w:id="1345742613">
          <w:marLeft w:val="0"/>
          <w:marRight w:val="0"/>
          <w:marTop w:val="0"/>
          <w:marBottom w:val="0"/>
          <w:divBdr>
            <w:top w:val="none" w:sz="0" w:space="0" w:color="auto"/>
            <w:left w:val="none" w:sz="0" w:space="0" w:color="auto"/>
            <w:bottom w:val="none" w:sz="0" w:space="0" w:color="auto"/>
            <w:right w:val="none" w:sz="0" w:space="0" w:color="auto"/>
          </w:divBdr>
        </w:div>
        <w:div w:id="1547136057">
          <w:marLeft w:val="0"/>
          <w:marRight w:val="0"/>
          <w:marTop w:val="0"/>
          <w:marBottom w:val="0"/>
          <w:divBdr>
            <w:top w:val="none" w:sz="0" w:space="0" w:color="auto"/>
            <w:left w:val="none" w:sz="0" w:space="0" w:color="auto"/>
            <w:bottom w:val="none" w:sz="0" w:space="0" w:color="auto"/>
            <w:right w:val="none" w:sz="0" w:space="0" w:color="auto"/>
          </w:divBdr>
        </w:div>
        <w:div w:id="1579706764">
          <w:marLeft w:val="0"/>
          <w:marRight w:val="0"/>
          <w:marTop w:val="0"/>
          <w:marBottom w:val="0"/>
          <w:divBdr>
            <w:top w:val="none" w:sz="0" w:space="0" w:color="auto"/>
            <w:left w:val="none" w:sz="0" w:space="0" w:color="auto"/>
            <w:bottom w:val="none" w:sz="0" w:space="0" w:color="auto"/>
            <w:right w:val="none" w:sz="0" w:space="0" w:color="auto"/>
          </w:divBdr>
        </w:div>
        <w:div w:id="1859002281">
          <w:marLeft w:val="0"/>
          <w:marRight w:val="0"/>
          <w:marTop w:val="0"/>
          <w:marBottom w:val="0"/>
          <w:divBdr>
            <w:top w:val="none" w:sz="0" w:space="0" w:color="auto"/>
            <w:left w:val="none" w:sz="0" w:space="0" w:color="auto"/>
            <w:bottom w:val="none" w:sz="0" w:space="0" w:color="auto"/>
            <w:right w:val="none" w:sz="0" w:space="0" w:color="auto"/>
          </w:divBdr>
        </w:div>
        <w:div w:id="1882086144">
          <w:marLeft w:val="0"/>
          <w:marRight w:val="0"/>
          <w:marTop w:val="0"/>
          <w:marBottom w:val="0"/>
          <w:divBdr>
            <w:top w:val="none" w:sz="0" w:space="0" w:color="auto"/>
            <w:left w:val="none" w:sz="0" w:space="0" w:color="auto"/>
            <w:bottom w:val="none" w:sz="0" w:space="0" w:color="auto"/>
            <w:right w:val="none" w:sz="0" w:space="0" w:color="auto"/>
          </w:divBdr>
        </w:div>
        <w:div w:id="1942226181">
          <w:marLeft w:val="0"/>
          <w:marRight w:val="0"/>
          <w:marTop w:val="0"/>
          <w:marBottom w:val="0"/>
          <w:divBdr>
            <w:top w:val="none" w:sz="0" w:space="0" w:color="auto"/>
            <w:left w:val="none" w:sz="0" w:space="0" w:color="auto"/>
            <w:bottom w:val="none" w:sz="0" w:space="0" w:color="auto"/>
            <w:right w:val="none" w:sz="0" w:space="0" w:color="auto"/>
          </w:divBdr>
        </w:div>
      </w:divsChild>
    </w:div>
    <w:div w:id="1544101068">
      <w:bodyDiv w:val="1"/>
      <w:marLeft w:val="0"/>
      <w:marRight w:val="0"/>
      <w:marTop w:val="0"/>
      <w:marBottom w:val="0"/>
      <w:divBdr>
        <w:top w:val="none" w:sz="0" w:space="0" w:color="auto"/>
        <w:left w:val="none" w:sz="0" w:space="0" w:color="auto"/>
        <w:bottom w:val="none" w:sz="0" w:space="0" w:color="auto"/>
        <w:right w:val="none" w:sz="0" w:space="0" w:color="auto"/>
      </w:divBdr>
      <w:divsChild>
        <w:div w:id="132602131">
          <w:marLeft w:val="0"/>
          <w:marRight w:val="0"/>
          <w:marTop w:val="0"/>
          <w:marBottom w:val="0"/>
          <w:divBdr>
            <w:top w:val="none" w:sz="0" w:space="0" w:color="auto"/>
            <w:left w:val="none" w:sz="0" w:space="0" w:color="auto"/>
            <w:bottom w:val="none" w:sz="0" w:space="0" w:color="auto"/>
            <w:right w:val="none" w:sz="0" w:space="0" w:color="auto"/>
          </w:divBdr>
        </w:div>
        <w:div w:id="155074460">
          <w:marLeft w:val="0"/>
          <w:marRight w:val="0"/>
          <w:marTop w:val="0"/>
          <w:marBottom w:val="0"/>
          <w:divBdr>
            <w:top w:val="none" w:sz="0" w:space="0" w:color="auto"/>
            <w:left w:val="none" w:sz="0" w:space="0" w:color="auto"/>
            <w:bottom w:val="none" w:sz="0" w:space="0" w:color="auto"/>
            <w:right w:val="none" w:sz="0" w:space="0" w:color="auto"/>
          </w:divBdr>
        </w:div>
        <w:div w:id="381099443">
          <w:marLeft w:val="0"/>
          <w:marRight w:val="0"/>
          <w:marTop w:val="0"/>
          <w:marBottom w:val="0"/>
          <w:divBdr>
            <w:top w:val="none" w:sz="0" w:space="0" w:color="auto"/>
            <w:left w:val="none" w:sz="0" w:space="0" w:color="auto"/>
            <w:bottom w:val="none" w:sz="0" w:space="0" w:color="auto"/>
            <w:right w:val="none" w:sz="0" w:space="0" w:color="auto"/>
          </w:divBdr>
        </w:div>
        <w:div w:id="543716349">
          <w:marLeft w:val="0"/>
          <w:marRight w:val="0"/>
          <w:marTop w:val="0"/>
          <w:marBottom w:val="0"/>
          <w:divBdr>
            <w:top w:val="none" w:sz="0" w:space="0" w:color="auto"/>
            <w:left w:val="none" w:sz="0" w:space="0" w:color="auto"/>
            <w:bottom w:val="none" w:sz="0" w:space="0" w:color="auto"/>
            <w:right w:val="none" w:sz="0" w:space="0" w:color="auto"/>
          </w:divBdr>
        </w:div>
        <w:div w:id="587808197">
          <w:marLeft w:val="0"/>
          <w:marRight w:val="0"/>
          <w:marTop w:val="0"/>
          <w:marBottom w:val="0"/>
          <w:divBdr>
            <w:top w:val="none" w:sz="0" w:space="0" w:color="auto"/>
            <w:left w:val="none" w:sz="0" w:space="0" w:color="auto"/>
            <w:bottom w:val="none" w:sz="0" w:space="0" w:color="auto"/>
            <w:right w:val="none" w:sz="0" w:space="0" w:color="auto"/>
          </w:divBdr>
        </w:div>
        <w:div w:id="608780994">
          <w:marLeft w:val="0"/>
          <w:marRight w:val="0"/>
          <w:marTop w:val="0"/>
          <w:marBottom w:val="0"/>
          <w:divBdr>
            <w:top w:val="none" w:sz="0" w:space="0" w:color="auto"/>
            <w:left w:val="none" w:sz="0" w:space="0" w:color="auto"/>
            <w:bottom w:val="none" w:sz="0" w:space="0" w:color="auto"/>
            <w:right w:val="none" w:sz="0" w:space="0" w:color="auto"/>
          </w:divBdr>
        </w:div>
        <w:div w:id="704791811">
          <w:marLeft w:val="0"/>
          <w:marRight w:val="0"/>
          <w:marTop w:val="0"/>
          <w:marBottom w:val="0"/>
          <w:divBdr>
            <w:top w:val="none" w:sz="0" w:space="0" w:color="auto"/>
            <w:left w:val="none" w:sz="0" w:space="0" w:color="auto"/>
            <w:bottom w:val="none" w:sz="0" w:space="0" w:color="auto"/>
            <w:right w:val="none" w:sz="0" w:space="0" w:color="auto"/>
          </w:divBdr>
        </w:div>
        <w:div w:id="709232012">
          <w:marLeft w:val="0"/>
          <w:marRight w:val="0"/>
          <w:marTop w:val="0"/>
          <w:marBottom w:val="0"/>
          <w:divBdr>
            <w:top w:val="none" w:sz="0" w:space="0" w:color="auto"/>
            <w:left w:val="none" w:sz="0" w:space="0" w:color="auto"/>
            <w:bottom w:val="none" w:sz="0" w:space="0" w:color="auto"/>
            <w:right w:val="none" w:sz="0" w:space="0" w:color="auto"/>
          </w:divBdr>
          <w:divsChild>
            <w:div w:id="234173596">
              <w:marLeft w:val="0"/>
              <w:marRight w:val="0"/>
              <w:marTop w:val="0"/>
              <w:marBottom w:val="0"/>
              <w:divBdr>
                <w:top w:val="none" w:sz="0" w:space="0" w:color="auto"/>
                <w:left w:val="none" w:sz="0" w:space="0" w:color="auto"/>
                <w:bottom w:val="none" w:sz="0" w:space="0" w:color="auto"/>
                <w:right w:val="none" w:sz="0" w:space="0" w:color="auto"/>
              </w:divBdr>
            </w:div>
            <w:div w:id="575479790">
              <w:marLeft w:val="0"/>
              <w:marRight w:val="0"/>
              <w:marTop w:val="0"/>
              <w:marBottom w:val="0"/>
              <w:divBdr>
                <w:top w:val="none" w:sz="0" w:space="0" w:color="auto"/>
                <w:left w:val="none" w:sz="0" w:space="0" w:color="auto"/>
                <w:bottom w:val="none" w:sz="0" w:space="0" w:color="auto"/>
                <w:right w:val="none" w:sz="0" w:space="0" w:color="auto"/>
              </w:divBdr>
            </w:div>
            <w:div w:id="856308808">
              <w:marLeft w:val="0"/>
              <w:marRight w:val="0"/>
              <w:marTop w:val="0"/>
              <w:marBottom w:val="0"/>
              <w:divBdr>
                <w:top w:val="none" w:sz="0" w:space="0" w:color="auto"/>
                <w:left w:val="none" w:sz="0" w:space="0" w:color="auto"/>
                <w:bottom w:val="none" w:sz="0" w:space="0" w:color="auto"/>
                <w:right w:val="none" w:sz="0" w:space="0" w:color="auto"/>
              </w:divBdr>
            </w:div>
            <w:div w:id="1497067132">
              <w:marLeft w:val="0"/>
              <w:marRight w:val="0"/>
              <w:marTop w:val="0"/>
              <w:marBottom w:val="0"/>
              <w:divBdr>
                <w:top w:val="none" w:sz="0" w:space="0" w:color="auto"/>
                <w:left w:val="none" w:sz="0" w:space="0" w:color="auto"/>
                <w:bottom w:val="none" w:sz="0" w:space="0" w:color="auto"/>
                <w:right w:val="none" w:sz="0" w:space="0" w:color="auto"/>
              </w:divBdr>
            </w:div>
            <w:div w:id="1590192229">
              <w:marLeft w:val="0"/>
              <w:marRight w:val="0"/>
              <w:marTop w:val="0"/>
              <w:marBottom w:val="0"/>
              <w:divBdr>
                <w:top w:val="none" w:sz="0" w:space="0" w:color="auto"/>
                <w:left w:val="none" w:sz="0" w:space="0" w:color="auto"/>
                <w:bottom w:val="none" w:sz="0" w:space="0" w:color="auto"/>
                <w:right w:val="none" w:sz="0" w:space="0" w:color="auto"/>
              </w:divBdr>
            </w:div>
            <w:div w:id="2137522989">
              <w:marLeft w:val="0"/>
              <w:marRight w:val="0"/>
              <w:marTop w:val="0"/>
              <w:marBottom w:val="0"/>
              <w:divBdr>
                <w:top w:val="none" w:sz="0" w:space="0" w:color="auto"/>
                <w:left w:val="none" w:sz="0" w:space="0" w:color="auto"/>
                <w:bottom w:val="none" w:sz="0" w:space="0" w:color="auto"/>
                <w:right w:val="none" w:sz="0" w:space="0" w:color="auto"/>
              </w:divBdr>
            </w:div>
          </w:divsChild>
        </w:div>
        <w:div w:id="948052330">
          <w:marLeft w:val="0"/>
          <w:marRight w:val="0"/>
          <w:marTop w:val="0"/>
          <w:marBottom w:val="0"/>
          <w:divBdr>
            <w:top w:val="none" w:sz="0" w:space="0" w:color="auto"/>
            <w:left w:val="none" w:sz="0" w:space="0" w:color="auto"/>
            <w:bottom w:val="none" w:sz="0" w:space="0" w:color="auto"/>
            <w:right w:val="none" w:sz="0" w:space="0" w:color="auto"/>
          </w:divBdr>
        </w:div>
        <w:div w:id="1011029994">
          <w:marLeft w:val="0"/>
          <w:marRight w:val="0"/>
          <w:marTop w:val="0"/>
          <w:marBottom w:val="0"/>
          <w:divBdr>
            <w:top w:val="none" w:sz="0" w:space="0" w:color="auto"/>
            <w:left w:val="none" w:sz="0" w:space="0" w:color="auto"/>
            <w:bottom w:val="none" w:sz="0" w:space="0" w:color="auto"/>
            <w:right w:val="none" w:sz="0" w:space="0" w:color="auto"/>
          </w:divBdr>
        </w:div>
        <w:div w:id="1168981015">
          <w:marLeft w:val="0"/>
          <w:marRight w:val="0"/>
          <w:marTop w:val="0"/>
          <w:marBottom w:val="0"/>
          <w:divBdr>
            <w:top w:val="none" w:sz="0" w:space="0" w:color="auto"/>
            <w:left w:val="none" w:sz="0" w:space="0" w:color="auto"/>
            <w:bottom w:val="none" w:sz="0" w:space="0" w:color="auto"/>
            <w:right w:val="none" w:sz="0" w:space="0" w:color="auto"/>
          </w:divBdr>
        </w:div>
        <w:div w:id="1264190763">
          <w:marLeft w:val="0"/>
          <w:marRight w:val="0"/>
          <w:marTop w:val="0"/>
          <w:marBottom w:val="0"/>
          <w:divBdr>
            <w:top w:val="none" w:sz="0" w:space="0" w:color="auto"/>
            <w:left w:val="none" w:sz="0" w:space="0" w:color="auto"/>
            <w:bottom w:val="none" w:sz="0" w:space="0" w:color="auto"/>
            <w:right w:val="none" w:sz="0" w:space="0" w:color="auto"/>
          </w:divBdr>
        </w:div>
        <w:div w:id="1367439570">
          <w:marLeft w:val="0"/>
          <w:marRight w:val="0"/>
          <w:marTop w:val="0"/>
          <w:marBottom w:val="0"/>
          <w:divBdr>
            <w:top w:val="none" w:sz="0" w:space="0" w:color="auto"/>
            <w:left w:val="none" w:sz="0" w:space="0" w:color="auto"/>
            <w:bottom w:val="none" w:sz="0" w:space="0" w:color="auto"/>
            <w:right w:val="none" w:sz="0" w:space="0" w:color="auto"/>
          </w:divBdr>
        </w:div>
        <w:div w:id="1492678407">
          <w:marLeft w:val="0"/>
          <w:marRight w:val="0"/>
          <w:marTop w:val="0"/>
          <w:marBottom w:val="0"/>
          <w:divBdr>
            <w:top w:val="none" w:sz="0" w:space="0" w:color="auto"/>
            <w:left w:val="none" w:sz="0" w:space="0" w:color="auto"/>
            <w:bottom w:val="none" w:sz="0" w:space="0" w:color="auto"/>
            <w:right w:val="none" w:sz="0" w:space="0" w:color="auto"/>
          </w:divBdr>
        </w:div>
        <w:div w:id="1496535837">
          <w:marLeft w:val="0"/>
          <w:marRight w:val="0"/>
          <w:marTop w:val="0"/>
          <w:marBottom w:val="0"/>
          <w:divBdr>
            <w:top w:val="none" w:sz="0" w:space="0" w:color="auto"/>
            <w:left w:val="none" w:sz="0" w:space="0" w:color="auto"/>
            <w:bottom w:val="none" w:sz="0" w:space="0" w:color="auto"/>
            <w:right w:val="none" w:sz="0" w:space="0" w:color="auto"/>
          </w:divBdr>
        </w:div>
        <w:div w:id="1534611010">
          <w:marLeft w:val="0"/>
          <w:marRight w:val="0"/>
          <w:marTop w:val="0"/>
          <w:marBottom w:val="0"/>
          <w:divBdr>
            <w:top w:val="none" w:sz="0" w:space="0" w:color="auto"/>
            <w:left w:val="none" w:sz="0" w:space="0" w:color="auto"/>
            <w:bottom w:val="none" w:sz="0" w:space="0" w:color="auto"/>
            <w:right w:val="none" w:sz="0" w:space="0" w:color="auto"/>
          </w:divBdr>
        </w:div>
        <w:div w:id="1553426293">
          <w:marLeft w:val="0"/>
          <w:marRight w:val="0"/>
          <w:marTop w:val="0"/>
          <w:marBottom w:val="0"/>
          <w:divBdr>
            <w:top w:val="none" w:sz="0" w:space="0" w:color="auto"/>
            <w:left w:val="none" w:sz="0" w:space="0" w:color="auto"/>
            <w:bottom w:val="none" w:sz="0" w:space="0" w:color="auto"/>
            <w:right w:val="none" w:sz="0" w:space="0" w:color="auto"/>
          </w:divBdr>
        </w:div>
        <w:div w:id="1579049647">
          <w:marLeft w:val="0"/>
          <w:marRight w:val="0"/>
          <w:marTop w:val="0"/>
          <w:marBottom w:val="0"/>
          <w:divBdr>
            <w:top w:val="none" w:sz="0" w:space="0" w:color="auto"/>
            <w:left w:val="none" w:sz="0" w:space="0" w:color="auto"/>
            <w:bottom w:val="none" w:sz="0" w:space="0" w:color="auto"/>
            <w:right w:val="none" w:sz="0" w:space="0" w:color="auto"/>
          </w:divBdr>
        </w:div>
        <w:div w:id="1582253815">
          <w:marLeft w:val="0"/>
          <w:marRight w:val="0"/>
          <w:marTop w:val="0"/>
          <w:marBottom w:val="0"/>
          <w:divBdr>
            <w:top w:val="none" w:sz="0" w:space="0" w:color="auto"/>
            <w:left w:val="none" w:sz="0" w:space="0" w:color="auto"/>
            <w:bottom w:val="none" w:sz="0" w:space="0" w:color="auto"/>
            <w:right w:val="none" w:sz="0" w:space="0" w:color="auto"/>
          </w:divBdr>
        </w:div>
        <w:div w:id="1596397181">
          <w:marLeft w:val="0"/>
          <w:marRight w:val="0"/>
          <w:marTop w:val="0"/>
          <w:marBottom w:val="0"/>
          <w:divBdr>
            <w:top w:val="none" w:sz="0" w:space="0" w:color="auto"/>
            <w:left w:val="none" w:sz="0" w:space="0" w:color="auto"/>
            <w:bottom w:val="none" w:sz="0" w:space="0" w:color="auto"/>
            <w:right w:val="none" w:sz="0" w:space="0" w:color="auto"/>
          </w:divBdr>
        </w:div>
        <w:div w:id="1868524402">
          <w:marLeft w:val="0"/>
          <w:marRight w:val="0"/>
          <w:marTop w:val="0"/>
          <w:marBottom w:val="0"/>
          <w:divBdr>
            <w:top w:val="none" w:sz="0" w:space="0" w:color="auto"/>
            <w:left w:val="none" w:sz="0" w:space="0" w:color="auto"/>
            <w:bottom w:val="none" w:sz="0" w:space="0" w:color="auto"/>
            <w:right w:val="none" w:sz="0" w:space="0" w:color="auto"/>
          </w:divBdr>
        </w:div>
        <w:div w:id="2035300834">
          <w:marLeft w:val="0"/>
          <w:marRight w:val="0"/>
          <w:marTop w:val="0"/>
          <w:marBottom w:val="0"/>
          <w:divBdr>
            <w:top w:val="none" w:sz="0" w:space="0" w:color="auto"/>
            <w:left w:val="none" w:sz="0" w:space="0" w:color="auto"/>
            <w:bottom w:val="none" w:sz="0" w:space="0" w:color="auto"/>
            <w:right w:val="none" w:sz="0" w:space="0" w:color="auto"/>
          </w:divBdr>
        </w:div>
        <w:div w:id="2048288967">
          <w:marLeft w:val="0"/>
          <w:marRight w:val="0"/>
          <w:marTop w:val="0"/>
          <w:marBottom w:val="0"/>
          <w:divBdr>
            <w:top w:val="none" w:sz="0" w:space="0" w:color="auto"/>
            <w:left w:val="none" w:sz="0" w:space="0" w:color="auto"/>
            <w:bottom w:val="none" w:sz="0" w:space="0" w:color="auto"/>
            <w:right w:val="none" w:sz="0" w:space="0" w:color="auto"/>
          </w:divBdr>
        </w:div>
        <w:div w:id="2134326589">
          <w:marLeft w:val="0"/>
          <w:marRight w:val="0"/>
          <w:marTop w:val="0"/>
          <w:marBottom w:val="0"/>
          <w:divBdr>
            <w:top w:val="none" w:sz="0" w:space="0" w:color="auto"/>
            <w:left w:val="none" w:sz="0" w:space="0" w:color="auto"/>
            <w:bottom w:val="none" w:sz="0" w:space="0" w:color="auto"/>
            <w:right w:val="none" w:sz="0" w:space="0" w:color="auto"/>
          </w:divBdr>
        </w:div>
      </w:divsChild>
    </w:div>
    <w:div w:id="1717465291">
      <w:bodyDiv w:val="1"/>
      <w:marLeft w:val="0"/>
      <w:marRight w:val="0"/>
      <w:marTop w:val="0"/>
      <w:marBottom w:val="0"/>
      <w:divBdr>
        <w:top w:val="none" w:sz="0" w:space="0" w:color="auto"/>
        <w:left w:val="none" w:sz="0" w:space="0" w:color="auto"/>
        <w:bottom w:val="none" w:sz="0" w:space="0" w:color="auto"/>
        <w:right w:val="none" w:sz="0" w:space="0" w:color="auto"/>
      </w:divBdr>
      <w:divsChild>
        <w:div w:id="121194216">
          <w:marLeft w:val="0"/>
          <w:marRight w:val="0"/>
          <w:marTop w:val="0"/>
          <w:marBottom w:val="0"/>
          <w:divBdr>
            <w:top w:val="none" w:sz="0" w:space="0" w:color="auto"/>
            <w:left w:val="none" w:sz="0" w:space="0" w:color="auto"/>
            <w:bottom w:val="none" w:sz="0" w:space="0" w:color="auto"/>
            <w:right w:val="none" w:sz="0" w:space="0" w:color="auto"/>
          </w:divBdr>
        </w:div>
        <w:div w:id="245498349">
          <w:marLeft w:val="0"/>
          <w:marRight w:val="0"/>
          <w:marTop w:val="0"/>
          <w:marBottom w:val="0"/>
          <w:divBdr>
            <w:top w:val="none" w:sz="0" w:space="0" w:color="auto"/>
            <w:left w:val="none" w:sz="0" w:space="0" w:color="auto"/>
            <w:bottom w:val="none" w:sz="0" w:space="0" w:color="auto"/>
            <w:right w:val="none" w:sz="0" w:space="0" w:color="auto"/>
          </w:divBdr>
          <w:divsChild>
            <w:div w:id="121048105">
              <w:marLeft w:val="0"/>
              <w:marRight w:val="0"/>
              <w:marTop w:val="0"/>
              <w:marBottom w:val="0"/>
              <w:divBdr>
                <w:top w:val="none" w:sz="0" w:space="0" w:color="auto"/>
                <w:left w:val="none" w:sz="0" w:space="0" w:color="auto"/>
                <w:bottom w:val="none" w:sz="0" w:space="0" w:color="auto"/>
                <w:right w:val="none" w:sz="0" w:space="0" w:color="auto"/>
              </w:divBdr>
            </w:div>
            <w:div w:id="498621841">
              <w:marLeft w:val="0"/>
              <w:marRight w:val="0"/>
              <w:marTop w:val="0"/>
              <w:marBottom w:val="0"/>
              <w:divBdr>
                <w:top w:val="none" w:sz="0" w:space="0" w:color="auto"/>
                <w:left w:val="none" w:sz="0" w:space="0" w:color="auto"/>
                <w:bottom w:val="none" w:sz="0" w:space="0" w:color="auto"/>
                <w:right w:val="none" w:sz="0" w:space="0" w:color="auto"/>
              </w:divBdr>
            </w:div>
            <w:div w:id="504127662">
              <w:marLeft w:val="0"/>
              <w:marRight w:val="0"/>
              <w:marTop w:val="0"/>
              <w:marBottom w:val="0"/>
              <w:divBdr>
                <w:top w:val="none" w:sz="0" w:space="0" w:color="auto"/>
                <w:left w:val="none" w:sz="0" w:space="0" w:color="auto"/>
                <w:bottom w:val="none" w:sz="0" w:space="0" w:color="auto"/>
                <w:right w:val="none" w:sz="0" w:space="0" w:color="auto"/>
              </w:divBdr>
            </w:div>
            <w:div w:id="529104064">
              <w:marLeft w:val="0"/>
              <w:marRight w:val="0"/>
              <w:marTop w:val="0"/>
              <w:marBottom w:val="0"/>
              <w:divBdr>
                <w:top w:val="none" w:sz="0" w:space="0" w:color="auto"/>
                <w:left w:val="none" w:sz="0" w:space="0" w:color="auto"/>
                <w:bottom w:val="none" w:sz="0" w:space="0" w:color="auto"/>
                <w:right w:val="none" w:sz="0" w:space="0" w:color="auto"/>
              </w:divBdr>
            </w:div>
            <w:div w:id="1292402457">
              <w:marLeft w:val="0"/>
              <w:marRight w:val="0"/>
              <w:marTop w:val="0"/>
              <w:marBottom w:val="0"/>
              <w:divBdr>
                <w:top w:val="none" w:sz="0" w:space="0" w:color="auto"/>
                <w:left w:val="none" w:sz="0" w:space="0" w:color="auto"/>
                <w:bottom w:val="none" w:sz="0" w:space="0" w:color="auto"/>
                <w:right w:val="none" w:sz="0" w:space="0" w:color="auto"/>
              </w:divBdr>
            </w:div>
          </w:divsChild>
        </w:div>
        <w:div w:id="272788883">
          <w:marLeft w:val="0"/>
          <w:marRight w:val="0"/>
          <w:marTop w:val="0"/>
          <w:marBottom w:val="0"/>
          <w:divBdr>
            <w:top w:val="none" w:sz="0" w:space="0" w:color="auto"/>
            <w:left w:val="none" w:sz="0" w:space="0" w:color="auto"/>
            <w:bottom w:val="none" w:sz="0" w:space="0" w:color="auto"/>
            <w:right w:val="none" w:sz="0" w:space="0" w:color="auto"/>
          </w:divBdr>
        </w:div>
        <w:div w:id="274798367">
          <w:marLeft w:val="0"/>
          <w:marRight w:val="0"/>
          <w:marTop w:val="0"/>
          <w:marBottom w:val="0"/>
          <w:divBdr>
            <w:top w:val="none" w:sz="0" w:space="0" w:color="auto"/>
            <w:left w:val="none" w:sz="0" w:space="0" w:color="auto"/>
            <w:bottom w:val="none" w:sz="0" w:space="0" w:color="auto"/>
            <w:right w:val="none" w:sz="0" w:space="0" w:color="auto"/>
          </w:divBdr>
        </w:div>
        <w:div w:id="305743708">
          <w:marLeft w:val="0"/>
          <w:marRight w:val="0"/>
          <w:marTop w:val="0"/>
          <w:marBottom w:val="0"/>
          <w:divBdr>
            <w:top w:val="none" w:sz="0" w:space="0" w:color="auto"/>
            <w:left w:val="none" w:sz="0" w:space="0" w:color="auto"/>
            <w:bottom w:val="none" w:sz="0" w:space="0" w:color="auto"/>
            <w:right w:val="none" w:sz="0" w:space="0" w:color="auto"/>
          </w:divBdr>
        </w:div>
        <w:div w:id="343820718">
          <w:marLeft w:val="0"/>
          <w:marRight w:val="0"/>
          <w:marTop w:val="0"/>
          <w:marBottom w:val="0"/>
          <w:divBdr>
            <w:top w:val="none" w:sz="0" w:space="0" w:color="auto"/>
            <w:left w:val="none" w:sz="0" w:space="0" w:color="auto"/>
            <w:bottom w:val="none" w:sz="0" w:space="0" w:color="auto"/>
            <w:right w:val="none" w:sz="0" w:space="0" w:color="auto"/>
          </w:divBdr>
        </w:div>
        <w:div w:id="391930890">
          <w:marLeft w:val="0"/>
          <w:marRight w:val="0"/>
          <w:marTop w:val="0"/>
          <w:marBottom w:val="0"/>
          <w:divBdr>
            <w:top w:val="none" w:sz="0" w:space="0" w:color="auto"/>
            <w:left w:val="none" w:sz="0" w:space="0" w:color="auto"/>
            <w:bottom w:val="none" w:sz="0" w:space="0" w:color="auto"/>
            <w:right w:val="none" w:sz="0" w:space="0" w:color="auto"/>
          </w:divBdr>
          <w:divsChild>
            <w:div w:id="182473684">
              <w:marLeft w:val="0"/>
              <w:marRight w:val="0"/>
              <w:marTop w:val="0"/>
              <w:marBottom w:val="0"/>
              <w:divBdr>
                <w:top w:val="none" w:sz="0" w:space="0" w:color="auto"/>
                <w:left w:val="none" w:sz="0" w:space="0" w:color="auto"/>
                <w:bottom w:val="none" w:sz="0" w:space="0" w:color="auto"/>
                <w:right w:val="none" w:sz="0" w:space="0" w:color="auto"/>
              </w:divBdr>
            </w:div>
            <w:div w:id="457646112">
              <w:marLeft w:val="0"/>
              <w:marRight w:val="0"/>
              <w:marTop w:val="0"/>
              <w:marBottom w:val="0"/>
              <w:divBdr>
                <w:top w:val="none" w:sz="0" w:space="0" w:color="auto"/>
                <w:left w:val="none" w:sz="0" w:space="0" w:color="auto"/>
                <w:bottom w:val="none" w:sz="0" w:space="0" w:color="auto"/>
                <w:right w:val="none" w:sz="0" w:space="0" w:color="auto"/>
              </w:divBdr>
            </w:div>
            <w:div w:id="1408571462">
              <w:marLeft w:val="0"/>
              <w:marRight w:val="0"/>
              <w:marTop w:val="0"/>
              <w:marBottom w:val="0"/>
              <w:divBdr>
                <w:top w:val="none" w:sz="0" w:space="0" w:color="auto"/>
                <w:left w:val="none" w:sz="0" w:space="0" w:color="auto"/>
                <w:bottom w:val="none" w:sz="0" w:space="0" w:color="auto"/>
                <w:right w:val="none" w:sz="0" w:space="0" w:color="auto"/>
              </w:divBdr>
            </w:div>
            <w:div w:id="1504316233">
              <w:marLeft w:val="0"/>
              <w:marRight w:val="0"/>
              <w:marTop w:val="0"/>
              <w:marBottom w:val="0"/>
              <w:divBdr>
                <w:top w:val="none" w:sz="0" w:space="0" w:color="auto"/>
                <w:left w:val="none" w:sz="0" w:space="0" w:color="auto"/>
                <w:bottom w:val="none" w:sz="0" w:space="0" w:color="auto"/>
                <w:right w:val="none" w:sz="0" w:space="0" w:color="auto"/>
              </w:divBdr>
            </w:div>
            <w:div w:id="1814718553">
              <w:marLeft w:val="0"/>
              <w:marRight w:val="0"/>
              <w:marTop w:val="0"/>
              <w:marBottom w:val="0"/>
              <w:divBdr>
                <w:top w:val="none" w:sz="0" w:space="0" w:color="auto"/>
                <w:left w:val="none" w:sz="0" w:space="0" w:color="auto"/>
                <w:bottom w:val="none" w:sz="0" w:space="0" w:color="auto"/>
                <w:right w:val="none" w:sz="0" w:space="0" w:color="auto"/>
              </w:divBdr>
            </w:div>
          </w:divsChild>
        </w:div>
        <w:div w:id="557711397">
          <w:marLeft w:val="0"/>
          <w:marRight w:val="0"/>
          <w:marTop w:val="0"/>
          <w:marBottom w:val="0"/>
          <w:divBdr>
            <w:top w:val="none" w:sz="0" w:space="0" w:color="auto"/>
            <w:left w:val="none" w:sz="0" w:space="0" w:color="auto"/>
            <w:bottom w:val="none" w:sz="0" w:space="0" w:color="auto"/>
            <w:right w:val="none" w:sz="0" w:space="0" w:color="auto"/>
          </w:divBdr>
        </w:div>
        <w:div w:id="572858887">
          <w:marLeft w:val="0"/>
          <w:marRight w:val="0"/>
          <w:marTop w:val="0"/>
          <w:marBottom w:val="0"/>
          <w:divBdr>
            <w:top w:val="none" w:sz="0" w:space="0" w:color="auto"/>
            <w:left w:val="none" w:sz="0" w:space="0" w:color="auto"/>
            <w:bottom w:val="none" w:sz="0" w:space="0" w:color="auto"/>
            <w:right w:val="none" w:sz="0" w:space="0" w:color="auto"/>
          </w:divBdr>
        </w:div>
        <w:div w:id="588124892">
          <w:marLeft w:val="0"/>
          <w:marRight w:val="0"/>
          <w:marTop w:val="0"/>
          <w:marBottom w:val="0"/>
          <w:divBdr>
            <w:top w:val="none" w:sz="0" w:space="0" w:color="auto"/>
            <w:left w:val="none" w:sz="0" w:space="0" w:color="auto"/>
            <w:bottom w:val="none" w:sz="0" w:space="0" w:color="auto"/>
            <w:right w:val="none" w:sz="0" w:space="0" w:color="auto"/>
          </w:divBdr>
        </w:div>
        <w:div w:id="660931513">
          <w:marLeft w:val="0"/>
          <w:marRight w:val="0"/>
          <w:marTop w:val="0"/>
          <w:marBottom w:val="0"/>
          <w:divBdr>
            <w:top w:val="none" w:sz="0" w:space="0" w:color="auto"/>
            <w:left w:val="none" w:sz="0" w:space="0" w:color="auto"/>
            <w:bottom w:val="none" w:sz="0" w:space="0" w:color="auto"/>
            <w:right w:val="none" w:sz="0" w:space="0" w:color="auto"/>
          </w:divBdr>
          <w:divsChild>
            <w:div w:id="1334650383">
              <w:marLeft w:val="0"/>
              <w:marRight w:val="0"/>
              <w:marTop w:val="0"/>
              <w:marBottom w:val="0"/>
              <w:divBdr>
                <w:top w:val="none" w:sz="0" w:space="0" w:color="auto"/>
                <w:left w:val="none" w:sz="0" w:space="0" w:color="auto"/>
                <w:bottom w:val="none" w:sz="0" w:space="0" w:color="auto"/>
                <w:right w:val="none" w:sz="0" w:space="0" w:color="auto"/>
              </w:divBdr>
            </w:div>
          </w:divsChild>
        </w:div>
        <w:div w:id="680470148">
          <w:marLeft w:val="0"/>
          <w:marRight w:val="0"/>
          <w:marTop w:val="0"/>
          <w:marBottom w:val="0"/>
          <w:divBdr>
            <w:top w:val="none" w:sz="0" w:space="0" w:color="auto"/>
            <w:left w:val="none" w:sz="0" w:space="0" w:color="auto"/>
            <w:bottom w:val="none" w:sz="0" w:space="0" w:color="auto"/>
            <w:right w:val="none" w:sz="0" w:space="0" w:color="auto"/>
          </w:divBdr>
        </w:div>
        <w:div w:id="683946584">
          <w:marLeft w:val="0"/>
          <w:marRight w:val="0"/>
          <w:marTop w:val="0"/>
          <w:marBottom w:val="0"/>
          <w:divBdr>
            <w:top w:val="none" w:sz="0" w:space="0" w:color="auto"/>
            <w:left w:val="none" w:sz="0" w:space="0" w:color="auto"/>
            <w:bottom w:val="none" w:sz="0" w:space="0" w:color="auto"/>
            <w:right w:val="none" w:sz="0" w:space="0" w:color="auto"/>
          </w:divBdr>
        </w:div>
        <w:div w:id="751313294">
          <w:marLeft w:val="0"/>
          <w:marRight w:val="0"/>
          <w:marTop w:val="0"/>
          <w:marBottom w:val="0"/>
          <w:divBdr>
            <w:top w:val="none" w:sz="0" w:space="0" w:color="auto"/>
            <w:left w:val="none" w:sz="0" w:space="0" w:color="auto"/>
            <w:bottom w:val="none" w:sz="0" w:space="0" w:color="auto"/>
            <w:right w:val="none" w:sz="0" w:space="0" w:color="auto"/>
          </w:divBdr>
        </w:div>
        <w:div w:id="828864155">
          <w:marLeft w:val="0"/>
          <w:marRight w:val="0"/>
          <w:marTop w:val="0"/>
          <w:marBottom w:val="0"/>
          <w:divBdr>
            <w:top w:val="none" w:sz="0" w:space="0" w:color="auto"/>
            <w:left w:val="none" w:sz="0" w:space="0" w:color="auto"/>
            <w:bottom w:val="none" w:sz="0" w:space="0" w:color="auto"/>
            <w:right w:val="none" w:sz="0" w:space="0" w:color="auto"/>
          </w:divBdr>
        </w:div>
        <w:div w:id="997267955">
          <w:marLeft w:val="0"/>
          <w:marRight w:val="0"/>
          <w:marTop w:val="0"/>
          <w:marBottom w:val="0"/>
          <w:divBdr>
            <w:top w:val="none" w:sz="0" w:space="0" w:color="auto"/>
            <w:left w:val="none" w:sz="0" w:space="0" w:color="auto"/>
            <w:bottom w:val="none" w:sz="0" w:space="0" w:color="auto"/>
            <w:right w:val="none" w:sz="0" w:space="0" w:color="auto"/>
          </w:divBdr>
        </w:div>
        <w:div w:id="1125387325">
          <w:marLeft w:val="0"/>
          <w:marRight w:val="0"/>
          <w:marTop w:val="0"/>
          <w:marBottom w:val="0"/>
          <w:divBdr>
            <w:top w:val="none" w:sz="0" w:space="0" w:color="auto"/>
            <w:left w:val="none" w:sz="0" w:space="0" w:color="auto"/>
            <w:bottom w:val="none" w:sz="0" w:space="0" w:color="auto"/>
            <w:right w:val="none" w:sz="0" w:space="0" w:color="auto"/>
          </w:divBdr>
        </w:div>
        <w:div w:id="1204441280">
          <w:marLeft w:val="0"/>
          <w:marRight w:val="0"/>
          <w:marTop w:val="0"/>
          <w:marBottom w:val="0"/>
          <w:divBdr>
            <w:top w:val="none" w:sz="0" w:space="0" w:color="auto"/>
            <w:left w:val="none" w:sz="0" w:space="0" w:color="auto"/>
            <w:bottom w:val="none" w:sz="0" w:space="0" w:color="auto"/>
            <w:right w:val="none" w:sz="0" w:space="0" w:color="auto"/>
          </w:divBdr>
          <w:divsChild>
            <w:div w:id="288128025">
              <w:marLeft w:val="0"/>
              <w:marRight w:val="0"/>
              <w:marTop w:val="0"/>
              <w:marBottom w:val="0"/>
              <w:divBdr>
                <w:top w:val="none" w:sz="0" w:space="0" w:color="auto"/>
                <w:left w:val="none" w:sz="0" w:space="0" w:color="auto"/>
                <w:bottom w:val="none" w:sz="0" w:space="0" w:color="auto"/>
                <w:right w:val="none" w:sz="0" w:space="0" w:color="auto"/>
              </w:divBdr>
            </w:div>
            <w:div w:id="596134750">
              <w:marLeft w:val="0"/>
              <w:marRight w:val="0"/>
              <w:marTop w:val="0"/>
              <w:marBottom w:val="0"/>
              <w:divBdr>
                <w:top w:val="none" w:sz="0" w:space="0" w:color="auto"/>
                <w:left w:val="none" w:sz="0" w:space="0" w:color="auto"/>
                <w:bottom w:val="none" w:sz="0" w:space="0" w:color="auto"/>
                <w:right w:val="none" w:sz="0" w:space="0" w:color="auto"/>
              </w:divBdr>
            </w:div>
            <w:div w:id="1031147902">
              <w:marLeft w:val="0"/>
              <w:marRight w:val="0"/>
              <w:marTop w:val="0"/>
              <w:marBottom w:val="0"/>
              <w:divBdr>
                <w:top w:val="none" w:sz="0" w:space="0" w:color="auto"/>
                <w:left w:val="none" w:sz="0" w:space="0" w:color="auto"/>
                <w:bottom w:val="none" w:sz="0" w:space="0" w:color="auto"/>
                <w:right w:val="none" w:sz="0" w:space="0" w:color="auto"/>
              </w:divBdr>
            </w:div>
            <w:div w:id="2062942596">
              <w:marLeft w:val="0"/>
              <w:marRight w:val="0"/>
              <w:marTop w:val="0"/>
              <w:marBottom w:val="0"/>
              <w:divBdr>
                <w:top w:val="none" w:sz="0" w:space="0" w:color="auto"/>
                <w:left w:val="none" w:sz="0" w:space="0" w:color="auto"/>
                <w:bottom w:val="none" w:sz="0" w:space="0" w:color="auto"/>
                <w:right w:val="none" w:sz="0" w:space="0" w:color="auto"/>
              </w:divBdr>
            </w:div>
            <w:div w:id="2103910200">
              <w:marLeft w:val="0"/>
              <w:marRight w:val="0"/>
              <w:marTop w:val="0"/>
              <w:marBottom w:val="0"/>
              <w:divBdr>
                <w:top w:val="none" w:sz="0" w:space="0" w:color="auto"/>
                <w:left w:val="none" w:sz="0" w:space="0" w:color="auto"/>
                <w:bottom w:val="none" w:sz="0" w:space="0" w:color="auto"/>
                <w:right w:val="none" w:sz="0" w:space="0" w:color="auto"/>
              </w:divBdr>
            </w:div>
          </w:divsChild>
        </w:div>
        <w:div w:id="1223977472">
          <w:marLeft w:val="0"/>
          <w:marRight w:val="0"/>
          <w:marTop w:val="0"/>
          <w:marBottom w:val="0"/>
          <w:divBdr>
            <w:top w:val="none" w:sz="0" w:space="0" w:color="auto"/>
            <w:left w:val="none" w:sz="0" w:space="0" w:color="auto"/>
            <w:bottom w:val="none" w:sz="0" w:space="0" w:color="auto"/>
            <w:right w:val="none" w:sz="0" w:space="0" w:color="auto"/>
          </w:divBdr>
        </w:div>
        <w:div w:id="1238520115">
          <w:marLeft w:val="0"/>
          <w:marRight w:val="0"/>
          <w:marTop w:val="0"/>
          <w:marBottom w:val="0"/>
          <w:divBdr>
            <w:top w:val="none" w:sz="0" w:space="0" w:color="auto"/>
            <w:left w:val="none" w:sz="0" w:space="0" w:color="auto"/>
            <w:bottom w:val="none" w:sz="0" w:space="0" w:color="auto"/>
            <w:right w:val="none" w:sz="0" w:space="0" w:color="auto"/>
          </w:divBdr>
          <w:divsChild>
            <w:div w:id="498663742">
              <w:marLeft w:val="0"/>
              <w:marRight w:val="0"/>
              <w:marTop w:val="0"/>
              <w:marBottom w:val="0"/>
              <w:divBdr>
                <w:top w:val="none" w:sz="0" w:space="0" w:color="auto"/>
                <w:left w:val="none" w:sz="0" w:space="0" w:color="auto"/>
                <w:bottom w:val="none" w:sz="0" w:space="0" w:color="auto"/>
                <w:right w:val="none" w:sz="0" w:space="0" w:color="auto"/>
              </w:divBdr>
            </w:div>
            <w:div w:id="1040663448">
              <w:marLeft w:val="0"/>
              <w:marRight w:val="0"/>
              <w:marTop w:val="0"/>
              <w:marBottom w:val="0"/>
              <w:divBdr>
                <w:top w:val="none" w:sz="0" w:space="0" w:color="auto"/>
                <w:left w:val="none" w:sz="0" w:space="0" w:color="auto"/>
                <w:bottom w:val="none" w:sz="0" w:space="0" w:color="auto"/>
                <w:right w:val="none" w:sz="0" w:space="0" w:color="auto"/>
              </w:divBdr>
            </w:div>
            <w:div w:id="1253851776">
              <w:marLeft w:val="0"/>
              <w:marRight w:val="0"/>
              <w:marTop w:val="0"/>
              <w:marBottom w:val="0"/>
              <w:divBdr>
                <w:top w:val="none" w:sz="0" w:space="0" w:color="auto"/>
                <w:left w:val="none" w:sz="0" w:space="0" w:color="auto"/>
                <w:bottom w:val="none" w:sz="0" w:space="0" w:color="auto"/>
                <w:right w:val="none" w:sz="0" w:space="0" w:color="auto"/>
              </w:divBdr>
            </w:div>
            <w:div w:id="1356731935">
              <w:marLeft w:val="0"/>
              <w:marRight w:val="0"/>
              <w:marTop w:val="0"/>
              <w:marBottom w:val="0"/>
              <w:divBdr>
                <w:top w:val="none" w:sz="0" w:space="0" w:color="auto"/>
                <w:left w:val="none" w:sz="0" w:space="0" w:color="auto"/>
                <w:bottom w:val="none" w:sz="0" w:space="0" w:color="auto"/>
                <w:right w:val="none" w:sz="0" w:space="0" w:color="auto"/>
              </w:divBdr>
            </w:div>
            <w:div w:id="1938295474">
              <w:marLeft w:val="0"/>
              <w:marRight w:val="0"/>
              <w:marTop w:val="0"/>
              <w:marBottom w:val="0"/>
              <w:divBdr>
                <w:top w:val="none" w:sz="0" w:space="0" w:color="auto"/>
                <w:left w:val="none" w:sz="0" w:space="0" w:color="auto"/>
                <w:bottom w:val="none" w:sz="0" w:space="0" w:color="auto"/>
                <w:right w:val="none" w:sz="0" w:space="0" w:color="auto"/>
              </w:divBdr>
            </w:div>
          </w:divsChild>
        </w:div>
        <w:div w:id="1300845314">
          <w:marLeft w:val="0"/>
          <w:marRight w:val="0"/>
          <w:marTop w:val="0"/>
          <w:marBottom w:val="0"/>
          <w:divBdr>
            <w:top w:val="none" w:sz="0" w:space="0" w:color="auto"/>
            <w:left w:val="none" w:sz="0" w:space="0" w:color="auto"/>
            <w:bottom w:val="none" w:sz="0" w:space="0" w:color="auto"/>
            <w:right w:val="none" w:sz="0" w:space="0" w:color="auto"/>
          </w:divBdr>
          <w:divsChild>
            <w:div w:id="1409422766">
              <w:marLeft w:val="0"/>
              <w:marRight w:val="0"/>
              <w:marTop w:val="0"/>
              <w:marBottom w:val="0"/>
              <w:divBdr>
                <w:top w:val="none" w:sz="0" w:space="0" w:color="auto"/>
                <w:left w:val="none" w:sz="0" w:space="0" w:color="auto"/>
                <w:bottom w:val="none" w:sz="0" w:space="0" w:color="auto"/>
                <w:right w:val="none" w:sz="0" w:space="0" w:color="auto"/>
              </w:divBdr>
            </w:div>
            <w:div w:id="1430853231">
              <w:marLeft w:val="0"/>
              <w:marRight w:val="0"/>
              <w:marTop w:val="0"/>
              <w:marBottom w:val="0"/>
              <w:divBdr>
                <w:top w:val="none" w:sz="0" w:space="0" w:color="auto"/>
                <w:left w:val="none" w:sz="0" w:space="0" w:color="auto"/>
                <w:bottom w:val="none" w:sz="0" w:space="0" w:color="auto"/>
                <w:right w:val="none" w:sz="0" w:space="0" w:color="auto"/>
              </w:divBdr>
            </w:div>
            <w:div w:id="1467042420">
              <w:marLeft w:val="0"/>
              <w:marRight w:val="0"/>
              <w:marTop w:val="0"/>
              <w:marBottom w:val="0"/>
              <w:divBdr>
                <w:top w:val="none" w:sz="0" w:space="0" w:color="auto"/>
                <w:left w:val="none" w:sz="0" w:space="0" w:color="auto"/>
                <w:bottom w:val="none" w:sz="0" w:space="0" w:color="auto"/>
                <w:right w:val="none" w:sz="0" w:space="0" w:color="auto"/>
              </w:divBdr>
            </w:div>
            <w:div w:id="1482384570">
              <w:marLeft w:val="0"/>
              <w:marRight w:val="0"/>
              <w:marTop w:val="0"/>
              <w:marBottom w:val="0"/>
              <w:divBdr>
                <w:top w:val="none" w:sz="0" w:space="0" w:color="auto"/>
                <w:left w:val="none" w:sz="0" w:space="0" w:color="auto"/>
                <w:bottom w:val="none" w:sz="0" w:space="0" w:color="auto"/>
                <w:right w:val="none" w:sz="0" w:space="0" w:color="auto"/>
              </w:divBdr>
            </w:div>
            <w:div w:id="2102949134">
              <w:marLeft w:val="0"/>
              <w:marRight w:val="0"/>
              <w:marTop w:val="0"/>
              <w:marBottom w:val="0"/>
              <w:divBdr>
                <w:top w:val="none" w:sz="0" w:space="0" w:color="auto"/>
                <w:left w:val="none" w:sz="0" w:space="0" w:color="auto"/>
                <w:bottom w:val="none" w:sz="0" w:space="0" w:color="auto"/>
                <w:right w:val="none" w:sz="0" w:space="0" w:color="auto"/>
              </w:divBdr>
            </w:div>
          </w:divsChild>
        </w:div>
        <w:div w:id="1302998623">
          <w:marLeft w:val="0"/>
          <w:marRight w:val="0"/>
          <w:marTop w:val="0"/>
          <w:marBottom w:val="0"/>
          <w:divBdr>
            <w:top w:val="none" w:sz="0" w:space="0" w:color="auto"/>
            <w:left w:val="none" w:sz="0" w:space="0" w:color="auto"/>
            <w:bottom w:val="none" w:sz="0" w:space="0" w:color="auto"/>
            <w:right w:val="none" w:sz="0" w:space="0" w:color="auto"/>
          </w:divBdr>
        </w:div>
        <w:div w:id="1480417676">
          <w:marLeft w:val="0"/>
          <w:marRight w:val="0"/>
          <w:marTop w:val="0"/>
          <w:marBottom w:val="0"/>
          <w:divBdr>
            <w:top w:val="none" w:sz="0" w:space="0" w:color="auto"/>
            <w:left w:val="none" w:sz="0" w:space="0" w:color="auto"/>
            <w:bottom w:val="none" w:sz="0" w:space="0" w:color="auto"/>
            <w:right w:val="none" w:sz="0" w:space="0" w:color="auto"/>
          </w:divBdr>
        </w:div>
        <w:div w:id="1538466723">
          <w:marLeft w:val="0"/>
          <w:marRight w:val="0"/>
          <w:marTop w:val="0"/>
          <w:marBottom w:val="0"/>
          <w:divBdr>
            <w:top w:val="none" w:sz="0" w:space="0" w:color="auto"/>
            <w:left w:val="none" w:sz="0" w:space="0" w:color="auto"/>
            <w:bottom w:val="none" w:sz="0" w:space="0" w:color="auto"/>
            <w:right w:val="none" w:sz="0" w:space="0" w:color="auto"/>
          </w:divBdr>
        </w:div>
        <w:div w:id="1563755508">
          <w:marLeft w:val="0"/>
          <w:marRight w:val="0"/>
          <w:marTop w:val="0"/>
          <w:marBottom w:val="0"/>
          <w:divBdr>
            <w:top w:val="none" w:sz="0" w:space="0" w:color="auto"/>
            <w:left w:val="none" w:sz="0" w:space="0" w:color="auto"/>
            <w:bottom w:val="none" w:sz="0" w:space="0" w:color="auto"/>
            <w:right w:val="none" w:sz="0" w:space="0" w:color="auto"/>
          </w:divBdr>
          <w:divsChild>
            <w:div w:id="1264803078">
              <w:marLeft w:val="0"/>
              <w:marRight w:val="0"/>
              <w:marTop w:val="0"/>
              <w:marBottom w:val="0"/>
              <w:divBdr>
                <w:top w:val="none" w:sz="0" w:space="0" w:color="auto"/>
                <w:left w:val="none" w:sz="0" w:space="0" w:color="auto"/>
                <w:bottom w:val="none" w:sz="0" w:space="0" w:color="auto"/>
                <w:right w:val="none" w:sz="0" w:space="0" w:color="auto"/>
              </w:divBdr>
            </w:div>
          </w:divsChild>
        </w:div>
        <w:div w:id="1722710391">
          <w:marLeft w:val="0"/>
          <w:marRight w:val="0"/>
          <w:marTop w:val="0"/>
          <w:marBottom w:val="0"/>
          <w:divBdr>
            <w:top w:val="none" w:sz="0" w:space="0" w:color="auto"/>
            <w:left w:val="none" w:sz="0" w:space="0" w:color="auto"/>
            <w:bottom w:val="none" w:sz="0" w:space="0" w:color="auto"/>
            <w:right w:val="none" w:sz="0" w:space="0" w:color="auto"/>
          </w:divBdr>
        </w:div>
        <w:div w:id="1757021025">
          <w:marLeft w:val="0"/>
          <w:marRight w:val="0"/>
          <w:marTop w:val="0"/>
          <w:marBottom w:val="0"/>
          <w:divBdr>
            <w:top w:val="none" w:sz="0" w:space="0" w:color="auto"/>
            <w:left w:val="none" w:sz="0" w:space="0" w:color="auto"/>
            <w:bottom w:val="none" w:sz="0" w:space="0" w:color="auto"/>
            <w:right w:val="none" w:sz="0" w:space="0" w:color="auto"/>
          </w:divBdr>
        </w:div>
        <w:div w:id="1849782957">
          <w:marLeft w:val="0"/>
          <w:marRight w:val="0"/>
          <w:marTop w:val="0"/>
          <w:marBottom w:val="0"/>
          <w:divBdr>
            <w:top w:val="none" w:sz="0" w:space="0" w:color="auto"/>
            <w:left w:val="none" w:sz="0" w:space="0" w:color="auto"/>
            <w:bottom w:val="none" w:sz="0" w:space="0" w:color="auto"/>
            <w:right w:val="none" w:sz="0" w:space="0" w:color="auto"/>
          </w:divBdr>
        </w:div>
        <w:div w:id="1881625150">
          <w:marLeft w:val="0"/>
          <w:marRight w:val="0"/>
          <w:marTop w:val="0"/>
          <w:marBottom w:val="0"/>
          <w:divBdr>
            <w:top w:val="none" w:sz="0" w:space="0" w:color="auto"/>
            <w:left w:val="none" w:sz="0" w:space="0" w:color="auto"/>
            <w:bottom w:val="none" w:sz="0" w:space="0" w:color="auto"/>
            <w:right w:val="none" w:sz="0" w:space="0" w:color="auto"/>
          </w:divBdr>
          <w:divsChild>
            <w:div w:id="1083642202">
              <w:marLeft w:val="0"/>
              <w:marRight w:val="0"/>
              <w:marTop w:val="0"/>
              <w:marBottom w:val="0"/>
              <w:divBdr>
                <w:top w:val="none" w:sz="0" w:space="0" w:color="auto"/>
                <w:left w:val="none" w:sz="0" w:space="0" w:color="auto"/>
                <w:bottom w:val="none" w:sz="0" w:space="0" w:color="auto"/>
                <w:right w:val="none" w:sz="0" w:space="0" w:color="auto"/>
              </w:divBdr>
            </w:div>
            <w:div w:id="1092431804">
              <w:marLeft w:val="0"/>
              <w:marRight w:val="0"/>
              <w:marTop w:val="0"/>
              <w:marBottom w:val="0"/>
              <w:divBdr>
                <w:top w:val="none" w:sz="0" w:space="0" w:color="auto"/>
                <w:left w:val="none" w:sz="0" w:space="0" w:color="auto"/>
                <w:bottom w:val="none" w:sz="0" w:space="0" w:color="auto"/>
                <w:right w:val="none" w:sz="0" w:space="0" w:color="auto"/>
              </w:divBdr>
            </w:div>
            <w:div w:id="1362633603">
              <w:marLeft w:val="0"/>
              <w:marRight w:val="0"/>
              <w:marTop w:val="0"/>
              <w:marBottom w:val="0"/>
              <w:divBdr>
                <w:top w:val="none" w:sz="0" w:space="0" w:color="auto"/>
                <w:left w:val="none" w:sz="0" w:space="0" w:color="auto"/>
                <w:bottom w:val="none" w:sz="0" w:space="0" w:color="auto"/>
                <w:right w:val="none" w:sz="0" w:space="0" w:color="auto"/>
              </w:divBdr>
            </w:div>
            <w:div w:id="1443643635">
              <w:marLeft w:val="0"/>
              <w:marRight w:val="0"/>
              <w:marTop w:val="0"/>
              <w:marBottom w:val="0"/>
              <w:divBdr>
                <w:top w:val="none" w:sz="0" w:space="0" w:color="auto"/>
                <w:left w:val="none" w:sz="0" w:space="0" w:color="auto"/>
                <w:bottom w:val="none" w:sz="0" w:space="0" w:color="auto"/>
                <w:right w:val="none" w:sz="0" w:space="0" w:color="auto"/>
              </w:divBdr>
            </w:div>
            <w:div w:id="1514301542">
              <w:marLeft w:val="0"/>
              <w:marRight w:val="0"/>
              <w:marTop w:val="0"/>
              <w:marBottom w:val="0"/>
              <w:divBdr>
                <w:top w:val="none" w:sz="0" w:space="0" w:color="auto"/>
                <w:left w:val="none" w:sz="0" w:space="0" w:color="auto"/>
                <w:bottom w:val="none" w:sz="0" w:space="0" w:color="auto"/>
                <w:right w:val="none" w:sz="0" w:space="0" w:color="auto"/>
              </w:divBdr>
            </w:div>
          </w:divsChild>
        </w:div>
        <w:div w:id="1915624239">
          <w:marLeft w:val="0"/>
          <w:marRight w:val="0"/>
          <w:marTop w:val="0"/>
          <w:marBottom w:val="0"/>
          <w:divBdr>
            <w:top w:val="none" w:sz="0" w:space="0" w:color="auto"/>
            <w:left w:val="none" w:sz="0" w:space="0" w:color="auto"/>
            <w:bottom w:val="none" w:sz="0" w:space="0" w:color="auto"/>
            <w:right w:val="none" w:sz="0" w:space="0" w:color="auto"/>
          </w:divBdr>
        </w:div>
        <w:div w:id="1965235923">
          <w:marLeft w:val="0"/>
          <w:marRight w:val="0"/>
          <w:marTop w:val="0"/>
          <w:marBottom w:val="0"/>
          <w:divBdr>
            <w:top w:val="none" w:sz="0" w:space="0" w:color="auto"/>
            <w:left w:val="none" w:sz="0" w:space="0" w:color="auto"/>
            <w:bottom w:val="none" w:sz="0" w:space="0" w:color="auto"/>
            <w:right w:val="none" w:sz="0" w:space="0" w:color="auto"/>
          </w:divBdr>
        </w:div>
        <w:div w:id="2033146411">
          <w:marLeft w:val="0"/>
          <w:marRight w:val="0"/>
          <w:marTop w:val="0"/>
          <w:marBottom w:val="0"/>
          <w:divBdr>
            <w:top w:val="none" w:sz="0" w:space="0" w:color="auto"/>
            <w:left w:val="none" w:sz="0" w:space="0" w:color="auto"/>
            <w:bottom w:val="none" w:sz="0" w:space="0" w:color="auto"/>
            <w:right w:val="none" w:sz="0" w:space="0" w:color="auto"/>
          </w:divBdr>
          <w:divsChild>
            <w:div w:id="341129406">
              <w:marLeft w:val="0"/>
              <w:marRight w:val="0"/>
              <w:marTop w:val="0"/>
              <w:marBottom w:val="0"/>
              <w:divBdr>
                <w:top w:val="none" w:sz="0" w:space="0" w:color="auto"/>
                <w:left w:val="none" w:sz="0" w:space="0" w:color="auto"/>
                <w:bottom w:val="none" w:sz="0" w:space="0" w:color="auto"/>
                <w:right w:val="none" w:sz="0" w:space="0" w:color="auto"/>
              </w:divBdr>
            </w:div>
            <w:div w:id="718282609">
              <w:marLeft w:val="0"/>
              <w:marRight w:val="0"/>
              <w:marTop w:val="0"/>
              <w:marBottom w:val="0"/>
              <w:divBdr>
                <w:top w:val="none" w:sz="0" w:space="0" w:color="auto"/>
                <w:left w:val="none" w:sz="0" w:space="0" w:color="auto"/>
                <w:bottom w:val="none" w:sz="0" w:space="0" w:color="auto"/>
                <w:right w:val="none" w:sz="0" w:space="0" w:color="auto"/>
              </w:divBdr>
            </w:div>
            <w:div w:id="947128842">
              <w:marLeft w:val="0"/>
              <w:marRight w:val="0"/>
              <w:marTop w:val="0"/>
              <w:marBottom w:val="0"/>
              <w:divBdr>
                <w:top w:val="none" w:sz="0" w:space="0" w:color="auto"/>
                <w:left w:val="none" w:sz="0" w:space="0" w:color="auto"/>
                <w:bottom w:val="none" w:sz="0" w:space="0" w:color="auto"/>
                <w:right w:val="none" w:sz="0" w:space="0" w:color="auto"/>
              </w:divBdr>
            </w:div>
            <w:div w:id="1094786587">
              <w:marLeft w:val="0"/>
              <w:marRight w:val="0"/>
              <w:marTop w:val="0"/>
              <w:marBottom w:val="0"/>
              <w:divBdr>
                <w:top w:val="none" w:sz="0" w:space="0" w:color="auto"/>
                <w:left w:val="none" w:sz="0" w:space="0" w:color="auto"/>
                <w:bottom w:val="none" w:sz="0" w:space="0" w:color="auto"/>
                <w:right w:val="none" w:sz="0" w:space="0" w:color="auto"/>
              </w:divBdr>
            </w:div>
            <w:div w:id="1701316376">
              <w:marLeft w:val="0"/>
              <w:marRight w:val="0"/>
              <w:marTop w:val="0"/>
              <w:marBottom w:val="0"/>
              <w:divBdr>
                <w:top w:val="none" w:sz="0" w:space="0" w:color="auto"/>
                <w:left w:val="none" w:sz="0" w:space="0" w:color="auto"/>
                <w:bottom w:val="none" w:sz="0" w:space="0" w:color="auto"/>
                <w:right w:val="none" w:sz="0" w:space="0" w:color="auto"/>
              </w:divBdr>
            </w:div>
          </w:divsChild>
        </w:div>
        <w:div w:id="2062366012">
          <w:marLeft w:val="0"/>
          <w:marRight w:val="0"/>
          <w:marTop w:val="0"/>
          <w:marBottom w:val="0"/>
          <w:divBdr>
            <w:top w:val="none" w:sz="0" w:space="0" w:color="auto"/>
            <w:left w:val="none" w:sz="0" w:space="0" w:color="auto"/>
            <w:bottom w:val="none" w:sz="0" w:space="0" w:color="auto"/>
            <w:right w:val="none" w:sz="0" w:space="0" w:color="auto"/>
          </w:divBdr>
          <w:divsChild>
            <w:div w:id="113908286">
              <w:marLeft w:val="0"/>
              <w:marRight w:val="0"/>
              <w:marTop w:val="0"/>
              <w:marBottom w:val="0"/>
              <w:divBdr>
                <w:top w:val="none" w:sz="0" w:space="0" w:color="auto"/>
                <w:left w:val="none" w:sz="0" w:space="0" w:color="auto"/>
                <w:bottom w:val="none" w:sz="0" w:space="0" w:color="auto"/>
                <w:right w:val="none" w:sz="0" w:space="0" w:color="auto"/>
              </w:divBdr>
            </w:div>
            <w:div w:id="629559743">
              <w:marLeft w:val="0"/>
              <w:marRight w:val="0"/>
              <w:marTop w:val="0"/>
              <w:marBottom w:val="0"/>
              <w:divBdr>
                <w:top w:val="none" w:sz="0" w:space="0" w:color="auto"/>
                <w:left w:val="none" w:sz="0" w:space="0" w:color="auto"/>
                <w:bottom w:val="none" w:sz="0" w:space="0" w:color="auto"/>
                <w:right w:val="none" w:sz="0" w:space="0" w:color="auto"/>
              </w:divBdr>
            </w:div>
            <w:div w:id="1380393793">
              <w:marLeft w:val="0"/>
              <w:marRight w:val="0"/>
              <w:marTop w:val="0"/>
              <w:marBottom w:val="0"/>
              <w:divBdr>
                <w:top w:val="none" w:sz="0" w:space="0" w:color="auto"/>
                <w:left w:val="none" w:sz="0" w:space="0" w:color="auto"/>
                <w:bottom w:val="none" w:sz="0" w:space="0" w:color="auto"/>
                <w:right w:val="none" w:sz="0" w:space="0" w:color="auto"/>
              </w:divBdr>
            </w:div>
            <w:div w:id="1386219076">
              <w:marLeft w:val="0"/>
              <w:marRight w:val="0"/>
              <w:marTop w:val="0"/>
              <w:marBottom w:val="0"/>
              <w:divBdr>
                <w:top w:val="none" w:sz="0" w:space="0" w:color="auto"/>
                <w:left w:val="none" w:sz="0" w:space="0" w:color="auto"/>
                <w:bottom w:val="none" w:sz="0" w:space="0" w:color="auto"/>
                <w:right w:val="none" w:sz="0" w:space="0" w:color="auto"/>
              </w:divBdr>
            </w:div>
            <w:div w:id="14163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45065">
      <w:bodyDiv w:val="1"/>
      <w:marLeft w:val="0"/>
      <w:marRight w:val="0"/>
      <w:marTop w:val="0"/>
      <w:marBottom w:val="0"/>
      <w:divBdr>
        <w:top w:val="none" w:sz="0" w:space="0" w:color="auto"/>
        <w:left w:val="none" w:sz="0" w:space="0" w:color="auto"/>
        <w:bottom w:val="none" w:sz="0" w:space="0" w:color="auto"/>
        <w:right w:val="none" w:sz="0" w:space="0" w:color="auto"/>
      </w:divBdr>
      <w:divsChild>
        <w:div w:id="64650088">
          <w:marLeft w:val="0"/>
          <w:marRight w:val="0"/>
          <w:marTop w:val="0"/>
          <w:marBottom w:val="0"/>
          <w:divBdr>
            <w:top w:val="none" w:sz="0" w:space="0" w:color="auto"/>
            <w:left w:val="none" w:sz="0" w:space="0" w:color="auto"/>
            <w:bottom w:val="none" w:sz="0" w:space="0" w:color="auto"/>
            <w:right w:val="none" w:sz="0" w:space="0" w:color="auto"/>
          </w:divBdr>
          <w:divsChild>
            <w:div w:id="674647928">
              <w:marLeft w:val="0"/>
              <w:marRight w:val="0"/>
              <w:marTop w:val="0"/>
              <w:marBottom w:val="0"/>
              <w:divBdr>
                <w:top w:val="none" w:sz="0" w:space="0" w:color="auto"/>
                <w:left w:val="none" w:sz="0" w:space="0" w:color="auto"/>
                <w:bottom w:val="none" w:sz="0" w:space="0" w:color="auto"/>
                <w:right w:val="none" w:sz="0" w:space="0" w:color="auto"/>
              </w:divBdr>
            </w:div>
            <w:div w:id="833642580">
              <w:marLeft w:val="0"/>
              <w:marRight w:val="0"/>
              <w:marTop w:val="0"/>
              <w:marBottom w:val="0"/>
              <w:divBdr>
                <w:top w:val="none" w:sz="0" w:space="0" w:color="auto"/>
                <w:left w:val="none" w:sz="0" w:space="0" w:color="auto"/>
                <w:bottom w:val="none" w:sz="0" w:space="0" w:color="auto"/>
                <w:right w:val="none" w:sz="0" w:space="0" w:color="auto"/>
              </w:divBdr>
            </w:div>
            <w:div w:id="1127510227">
              <w:marLeft w:val="0"/>
              <w:marRight w:val="0"/>
              <w:marTop w:val="0"/>
              <w:marBottom w:val="0"/>
              <w:divBdr>
                <w:top w:val="none" w:sz="0" w:space="0" w:color="auto"/>
                <w:left w:val="none" w:sz="0" w:space="0" w:color="auto"/>
                <w:bottom w:val="none" w:sz="0" w:space="0" w:color="auto"/>
                <w:right w:val="none" w:sz="0" w:space="0" w:color="auto"/>
              </w:divBdr>
            </w:div>
            <w:div w:id="1487551011">
              <w:marLeft w:val="0"/>
              <w:marRight w:val="0"/>
              <w:marTop w:val="0"/>
              <w:marBottom w:val="0"/>
              <w:divBdr>
                <w:top w:val="none" w:sz="0" w:space="0" w:color="auto"/>
                <w:left w:val="none" w:sz="0" w:space="0" w:color="auto"/>
                <w:bottom w:val="none" w:sz="0" w:space="0" w:color="auto"/>
                <w:right w:val="none" w:sz="0" w:space="0" w:color="auto"/>
              </w:divBdr>
            </w:div>
            <w:div w:id="1645425491">
              <w:marLeft w:val="0"/>
              <w:marRight w:val="0"/>
              <w:marTop w:val="0"/>
              <w:marBottom w:val="0"/>
              <w:divBdr>
                <w:top w:val="none" w:sz="0" w:space="0" w:color="auto"/>
                <w:left w:val="none" w:sz="0" w:space="0" w:color="auto"/>
                <w:bottom w:val="none" w:sz="0" w:space="0" w:color="auto"/>
                <w:right w:val="none" w:sz="0" w:space="0" w:color="auto"/>
              </w:divBdr>
            </w:div>
          </w:divsChild>
        </w:div>
        <w:div w:id="80180835">
          <w:marLeft w:val="0"/>
          <w:marRight w:val="0"/>
          <w:marTop w:val="0"/>
          <w:marBottom w:val="0"/>
          <w:divBdr>
            <w:top w:val="none" w:sz="0" w:space="0" w:color="auto"/>
            <w:left w:val="none" w:sz="0" w:space="0" w:color="auto"/>
            <w:bottom w:val="none" w:sz="0" w:space="0" w:color="auto"/>
            <w:right w:val="none" w:sz="0" w:space="0" w:color="auto"/>
          </w:divBdr>
        </w:div>
        <w:div w:id="98186345">
          <w:marLeft w:val="0"/>
          <w:marRight w:val="0"/>
          <w:marTop w:val="0"/>
          <w:marBottom w:val="0"/>
          <w:divBdr>
            <w:top w:val="none" w:sz="0" w:space="0" w:color="auto"/>
            <w:left w:val="none" w:sz="0" w:space="0" w:color="auto"/>
            <w:bottom w:val="none" w:sz="0" w:space="0" w:color="auto"/>
            <w:right w:val="none" w:sz="0" w:space="0" w:color="auto"/>
          </w:divBdr>
        </w:div>
        <w:div w:id="269245361">
          <w:marLeft w:val="0"/>
          <w:marRight w:val="0"/>
          <w:marTop w:val="0"/>
          <w:marBottom w:val="0"/>
          <w:divBdr>
            <w:top w:val="none" w:sz="0" w:space="0" w:color="auto"/>
            <w:left w:val="none" w:sz="0" w:space="0" w:color="auto"/>
            <w:bottom w:val="none" w:sz="0" w:space="0" w:color="auto"/>
            <w:right w:val="none" w:sz="0" w:space="0" w:color="auto"/>
          </w:divBdr>
        </w:div>
        <w:div w:id="345720273">
          <w:marLeft w:val="0"/>
          <w:marRight w:val="0"/>
          <w:marTop w:val="0"/>
          <w:marBottom w:val="0"/>
          <w:divBdr>
            <w:top w:val="none" w:sz="0" w:space="0" w:color="auto"/>
            <w:left w:val="none" w:sz="0" w:space="0" w:color="auto"/>
            <w:bottom w:val="none" w:sz="0" w:space="0" w:color="auto"/>
            <w:right w:val="none" w:sz="0" w:space="0" w:color="auto"/>
          </w:divBdr>
        </w:div>
        <w:div w:id="350382033">
          <w:marLeft w:val="0"/>
          <w:marRight w:val="0"/>
          <w:marTop w:val="0"/>
          <w:marBottom w:val="0"/>
          <w:divBdr>
            <w:top w:val="none" w:sz="0" w:space="0" w:color="auto"/>
            <w:left w:val="none" w:sz="0" w:space="0" w:color="auto"/>
            <w:bottom w:val="none" w:sz="0" w:space="0" w:color="auto"/>
            <w:right w:val="none" w:sz="0" w:space="0" w:color="auto"/>
          </w:divBdr>
          <w:divsChild>
            <w:div w:id="407772900">
              <w:marLeft w:val="0"/>
              <w:marRight w:val="0"/>
              <w:marTop w:val="0"/>
              <w:marBottom w:val="0"/>
              <w:divBdr>
                <w:top w:val="none" w:sz="0" w:space="0" w:color="auto"/>
                <w:left w:val="none" w:sz="0" w:space="0" w:color="auto"/>
                <w:bottom w:val="none" w:sz="0" w:space="0" w:color="auto"/>
                <w:right w:val="none" w:sz="0" w:space="0" w:color="auto"/>
              </w:divBdr>
            </w:div>
            <w:div w:id="515271798">
              <w:marLeft w:val="0"/>
              <w:marRight w:val="0"/>
              <w:marTop w:val="0"/>
              <w:marBottom w:val="0"/>
              <w:divBdr>
                <w:top w:val="none" w:sz="0" w:space="0" w:color="auto"/>
                <w:left w:val="none" w:sz="0" w:space="0" w:color="auto"/>
                <w:bottom w:val="none" w:sz="0" w:space="0" w:color="auto"/>
                <w:right w:val="none" w:sz="0" w:space="0" w:color="auto"/>
              </w:divBdr>
            </w:div>
            <w:div w:id="1600141383">
              <w:marLeft w:val="0"/>
              <w:marRight w:val="0"/>
              <w:marTop w:val="0"/>
              <w:marBottom w:val="0"/>
              <w:divBdr>
                <w:top w:val="none" w:sz="0" w:space="0" w:color="auto"/>
                <w:left w:val="none" w:sz="0" w:space="0" w:color="auto"/>
                <w:bottom w:val="none" w:sz="0" w:space="0" w:color="auto"/>
                <w:right w:val="none" w:sz="0" w:space="0" w:color="auto"/>
              </w:divBdr>
            </w:div>
            <w:div w:id="2008903620">
              <w:marLeft w:val="0"/>
              <w:marRight w:val="0"/>
              <w:marTop w:val="0"/>
              <w:marBottom w:val="0"/>
              <w:divBdr>
                <w:top w:val="none" w:sz="0" w:space="0" w:color="auto"/>
                <w:left w:val="none" w:sz="0" w:space="0" w:color="auto"/>
                <w:bottom w:val="none" w:sz="0" w:space="0" w:color="auto"/>
                <w:right w:val="none" w:sz="0" w:space="0" w:color="auto"/>
              </w:divBdr>
            </w:div>
            <w:div w:id="2130738772">
              <w:marLeft w:val="0"/>
              <w:marRight w:val="0"/>
              <w:marTop w:val="0"/>
              <w:marBottom w:val="0"/>
              <w:divBdr>
                <w:top w:val="none" w:sz="0" w:space="0" w:color="auto"/>
                <w:left w:val="none" w:sz="0" w:space="0" w:color="auto"/>
                <w:bottom w:val="none" w:sz="0" w:space="0" w:color="auto"/>
                <w:right w:val="none" w:sz="0" w:space="0" w:color="auto"/>
              </w:divBdr>
            </w:div>
          </w:divsChild>
        </w:div>
        <w:div w:id="394476053">
          <w:marLeft w:val="0"/>
          <w:marRight w:val="0"/>
          <w:marTop w:val="0"/>
          <w:marBottom w:val="0"/>
          <w:divBdr>
            <w:top w:val="none" w:sz="0" w:space="0" w:color="auto"/>
            <w:left w:val="none" w:sz="0" w:space="0" w:color="auto"/>
            <w:bottom w:val="none" w:sz="0" w:space="0" w:color="auto"/>
            <w:right w:val="none" w:sz="0" w:space="0" w:color="auto"/>
          </w:divBdr>
        </w:div>
        <w:div w:id="470560472">
          <w:marLeft w:val="0"/>
          <w:marRight w:val="0"/>
          <w:marTop w:val="0"/>
          <w:marBottom w:val="0"/>
          <w:divBdr>
            <w:top w:val="none" w:sz="0" w:space="0" w:color="auto"/>
            <w:left w:val="none" w:sz="0" w:space="0" w:color="auto"/>
            <w:bottom w:val="none" w:sz="0" w:space="0" w:color="auto"/>
            <w:right w:val="none" w:sz="0" w:space="0" w:color="auto"/>
          </w:divBdr>
          <w:divsChild>
            <w:div w:id="71123159">
              <w:marLeft w:val="0"/>
              <w:marRight w:val="0"/>
              <w:marTop w:val="0"/>
              <w:marBottom w:val="0"/>
              <w:divBdr>
                <w:top w:val="none" w:sz="0" w:space="0" w:color="auto"/>
                <w:left w:val="none" w:sz="0" w:space="0" w:color="auto"/>
                <w:bottom w:val="none" w:sz="0" w:space="0" w:color="auto"/>
                <w:right w:val="none" w:sz="0" w:space="0" w:color="auto"/>
              </w:divBdr>
            </w:div>
            <w:div w:id="403183355">
              <w:marLeft w:val="0"/>
              <w:marRight w:val="0"/>
              <w:marTop w:val="0"/>
              <w:marBottom w:val="0"/>
              <w:divBdr>
                <w:top w:val="none" w:sz="0" w:space="0" w:color="auto"/>
                <w:left w:val="none" w:sz="0" w:space="0" w:color="auto"/>
                <w:bottom w:val="none" w:sz="0" w:space="0" w:color="auto"/>
                <w:right w:val="none" w:sz="0" w:space="0" w:color="auto"/>
              </w:divBdr>
            </w:div>
            <w:div w:id="965622875">
              <w:marLeft w:val="0"/>
              <w:marRight w:val="0"/>
              <w:marTop w:val="0"/>
              <w:marBottom w:val="0"/>
              <w:divBdr>
                <w:top w:val="none" w:sz="0" w:space="0" w:color="auto"/>
                <w:left w:val="none" w:sz="0" w:space="0" w:color="auto"/>
                <w:bottom w:val="none" w:sz="0" w:space="0" w:color="auto"/>
                <w:right w:val="none" w:sz="0" w:space="0" w:color="auto"/>
              </w:divBdr>
            </w:div>
            <w:div w:id="1749375572">
              <w:marLeft w:val="0"/>
              <w:marRight w:val="0"/>
              <w:marTop w:val="0"/>
              <w:marBottom w:val="0"/>
              <w:divBdr>
                <w:top w:val="none" w:sz="0" w:space="0" w:color="auto"/>
                <w:left w:val="none" w:sz="0" w:space="0" w:color="auto"/>
                <w:bottom w:val="none" w:sz="0" w:space="0" w:color="auto"/>
                <w:right w:val="none" w:sz="0" w:space="0" w:color="auto"/>
              </w:divBdr>
            </w:div>
            <w:div w:id="2046247108">
              <w:marLeft w:val="0"/>
              <w:marRight w:val="0"/>
              <w:marTop w:val="0"/>
              <w:marBottom w:val="0"/>
              <w:divBdr>
                <w:top w:val="none" w:sz="0" w:space="0" w:color="auto"/>
                <w:left w:val="none" w:sz="0" w:space="0" w:color="auto"/>
                <w:bottom w:val="none" w:sz="0" w:space="0" w:color="auto"/>
                <w:right w:val="none" w:sz="0" w:space="0" w:color="auto"/>
              </w:divBdr>
            </w:div>
          </w:divsChild>
        </w:div>
        <w:div w:id="487675997">
          <w:marLeft w:val="0"/>
          <w:marRight w:val="0"/>
          <w:marTop w:val="0"/>
          <w:marBottom w:val="0"/>
          <w:divBdr>
            <w:top w:val="none" w:sz="0" w:space="0" w:color="auto"/>
            <w:left w:val="none" w:sz="0" w:space="0" w:color="auto"/>
            <w:bottom w:val="none" w:sz="0" w:space="0" w:color="auto"/>
            <w:right w:val="none" w:sz="0" w:space="0" w:color="auto"/>
          </w:divBdr>
        </w:div>
        <w:div w:id="532616631">
          <w:marLeft w:val="0"/>
          <w:marRight w:val="0"/>
          <w:marTop w:val="0"/>
          <w:marBottom w:val="0"/>
          <w:divBdr>
            <w:top w:val="none" w:sz="0" w:space="0" w:color="auto"/>
            <w:left w:val="none" w:sz="0" w:space="0" w:color="auto"/>
            <w:bottom w:val="none" w:sz="0" w:space="0" w:color="auto"/>
            <w:right w:val="none" w:sz="0" w:space="0" w:color="auto"/>
          </w:divBdr>
        </w:div>
        <w:div w:id="755901114">
          <w:marLeft w:val="0"/>
          <w:marRight w:val="0"/>
          <w:marTop w:val="0"/>
          <w:marBottom w:val="0"/>
          <w:divBdr>
            <w:top w:val="none" w:sz="0" w:space="0" w:color="auto"/>
            <w:left w:val="none" w:sz="0" w:space="0" w:color="auto"/>
            <w:bottom w:val="none" w:sz="0" w:space="0" w:color="auto"/>
            <w:right w:val="none" w:sz="0" w:space="0" w:color="auto"/>
          </w:divBdr>
        </w:div>
        <w:div w:id="762922039">
          <w:marLeft w:val="0"/>
          <w:marRight w:val="0"/>
          <w:marTop w:val="0"/>
          <w:marBottom w:val="0"/>
          <w:divBdr>
            <w:top w:val="none" w:sz="0" w:space="0" w:color="auto"/>
            <w:left w:val="none" w:sz="0" w:space="0" w:color="auto"/>
            <w:bottom w:val="none" w:sz="0" w:space="0" w:color="auto"/>
            <w:right w:val="none" w:sz="0" w:space="0" w:color="auto"/>
          </w:divBdr>
        </w:div>
        <w:div w:id="782460993">
          <w:marLeft w:val="0"/>
          <w:marRight w:val="0"/>
          <w:marTop w:val="0"/>
          <w:marBottom w:val="0"/>
          <w:divBdr>
            <w:top w:val="none" w:sz="0" w:space="0" w:color="auto"/>
            <w:left w:val="none" w:sz="0" w:space="0" w:color="auto"/>
            <w:bottom w:val="none" w:sz="0" w:space="0" w:color="auto"/>
            <w:right w:val="none" w:sz="0" w:space="0" w:color="auto"/>
          </w:divBdr>
          <w:divsChild>
            <w:div w:id="748426463">
              <w:marLeft w:val="0"/>
              <w:marRight w:val="0"/>
              <w:marTop w:val="0"/>
              <w:marBottom w:val="0"/>
              <w:divBdr>
                <w:top w:val="none" w:sz="0" w:space="0" w:color="auto"/>
                <w:left w:val="none" w:sz="0" w:space="0" w:color="auto"/>
                <w:bottom w:val="none" w:sz="0" w:space="0" w:color="auto"/>
                <w:right w:val="none" w:sz="0" w:space="0" w:color="auto"/>
              </w:divBdr>
            </w:div>
          </w:divsChild>
        </w:div>
        <w:div w:id="839739253">
          <w:marLeft w:val="0"/>
          <w:marRight w:val="0"/>
          <w:marTop w:val="0"/>
          <w:marBottom w:val="0"/>
          <w:divBdr>
            <w:top w:val="none" w:sz="0" w:space="0" w:color="auto"/>
            <w:left w:val="none" w:sz="0" w:space="0" w:color="auto"/>
            <w:bottom w:val="none" w:sz="0" w:space="0" w:color="auto"/>
            <w:right w:val="none" w:sz="0" w:space="0" w:color="auto"/>
          </w:divBdr>
        </w:div>
        <w:div w:id="854417829">
          <w:marLeft w:val="0"/>
          <w:marRight w:val="0"/>
          <w:marTop w:val="0"/>
          <w:marBottom w:val="0"/>
          <w:divBdr>
            <w:top w:val="none" w:sz="0" w:space="0" w:color="auto"/>
            <w:left w:val="none" w:sz="0" w:space="0" w:color="auto"/>
            <w:bottom w:val="none" w:sz="0" w:space="0" w:color="auto"/>
            <w:right w:val="none" w:sz="0" w:space="0" w:color="auto"/>
          </w:divBdr>
        </w:div>
        <w:div w:id="862984376">
          <w:marLeft w:val="0"/>
          <w:marRight w:val="0"/>
          <w:marTop w:val="0"/>
          <w:marBottom w:val="0"/>
          <w:divBdr>
            <w:top w:val="none" w:sz="0" w:space="0" w:color="auto"/>
            <w:left w:val="none" w:sz="0" w:space="0" w:color="auto"/>
            <w:bottom w:val="none" w:sz="0" w:space="0" w:color="auto"/>
            <w:right w:val="none" w:sz="0" w:space="0" w:color="auto"/>
          </w:divBdr>
        </w:div>
        <w:div w:id="950209450">
          <w:marLeft w:val="0"/>
          <w:marRight w:val="0"/>
          <w:marTop w:val="0"/>
          <w:marBottom w:val="0"/>
          <w:divBdr>
            <w:top w:val="none" w:sz="0" w:space="0" w:color="auto"/>
            <w:left w:val="none" w:sz="0" w:space="0" w:color="auto"/>
            <w:bottom w:val="none" w:sz="0" w:space="0" w:color="auto"/>
            <w:right w:val="none" w:sz="0" w:space="0" w:color="auto"/>
          </w:divBdr>
          <w:divsChild>
            <w:div w:id="264925124">
              <w:marLeft w:val="0"/>
              <w:marRight w:val="0"/>
              <w:marTop w:val="0"/>
              <w:marBottom w:val="0"/>
              <w:divBdr>
                <w:top w:val="none" w:sz="0" w:space="0" w:color="auto"/>
                <w:left w:val="none" w:sz="0" w:space="0" w:color="auto"/>
                <w:bottom w:val="none" w:sz="0" w:space="0" w:color="auto"/>
                <w:right w:val="none" w:sz="0" w:space="0" w:color="auto"/>
              </w:divBdr>
            </w:div>
            <w:div w:id="1163815126">
              <w:marLeft w:val="0"/>
              <w:marRight w:val="0"/>
              <w:marTop w:val="0"/>
              <w:marBottom w:val="0"/>
              <w:divBdr>
                <w:top w:val="none" w:sz="0" w:space="0" w:color="auto"/>
                <w:left w:val="none" w:sz="0" w:space="0" w:color="auto"/>
                <w:bottom w:val="none" w:sz="0" w:space="0" w:color="auto"/>
                <w:right w:val="none" w:sz="0" w:space="0" w:color="auto"/>
              </w:divBdr>
            </w:div>
            <w:div w:id="1581870613">
              <w:marLeft w:val="0"/>
              <w:marRight w:val="0"/>
              <w:marTop w:val="0"/>
              <w:marBottom w:val="0"/>
              <w:divBdr>
                <w:top w:val="none" w:sz="0" w:space="0" w:color="auto"/>
                <w:left w:val="none" w:sz="0" w:space="0" w:color="auto"/>
                <w:bottom w:val="none" w:sz="0" w:space="0" w:color="auto"/>
                <w:right w:val="none" w:sz="0" w:space="0" w:color="auto"/>
              </w:divBdr>
            </w:div>
            <w:div w:id="1862666878">
              <w:marLeft w:val="0"/>
              <w:marRight w:val="0"/>
              <w:marTop w:val="0"/>
              <w:marBottom w:val="0"/>
              <w:divBdr>
                <w:top w:val="none" w:sz="0" w:space="0" w:color="auto"/>
                <w:left w:val="none" w:sz="0" w:space="0" w:color="auto"/>
                <w:bottom w:val="none" w:sz="0" w:space="0" w:color="auto"/>
                <w:right w:val="none" w:sz="0" w:space="0" w:color="auto"/>
              </w:divBdr>
            </w:div>
            <w:div w:id="2142066715">
              <w:marLeft w:val="0"/>
              <w:marRight w:val="0"/>
              <w:marTop w:val="0"/>
              <w:marBottom w:val="0"/>
              <w:divBdr>
                <w:top w:val="none" w:sz="0" w:space="0" w:color="auto"/>
                <w:left w:val="none" w:sz="0" w:space="0" w:color="auto"/>
                <w:bottom w:val="none" w:sz="0" w:space="0" w:color="auto"/>
                <w:right w:val="none" w:sz="0" w:space="0" w:color="auto"/>
              </w:divBdr>
            </w:div>
          </w:divsChild>
        </w:div>
        <w:div w:id="1054348724">
          <w:marLeft w:val="0"/>
          <w:marRight w:val="0"/>
          <w:marTop w:val="0"/>
          <w:marBottom w:val="0"/>
          <w:divBdr>
            <w:top w:val="none" w:sz="0" w:space="0" w:color="auto"/>
            <w:left w:val="none" w:sz="0" w:space="0" w:color="auto"/>
            <w:bottom w:val="none" w:sz="0" w:space="0" w:color="auto"/>
            <w:right w:val="none" w:sz="0" w:space="0" w:color="auto"/>
          </w:divBdr>
        </w:div>
        <w:div w:id="1068771198">
          <w:marLeft w:val="0"/>
          <w:marRight w:val="0"/>
          <w:marTop w:val="0"/>
          <w:marBottom w:val="0"/>
          <w:divBdr>
            <w:top w:val="none" w:sz="0" w:space="0" w:color="auto"/>
            <w:left w:val="none" w:sz="0" w:space="0" w:color="auto"/>
            <w:bottom w:val="none" w:sz="0" w:space="0" w:color="auto"/>
            <w:right w:val="none" w:sz="0" w:space="0" w:color="auto"/>
          </w:divBdr>
        </w:div>
        <w:div w:id="1084034973">
          <w:marLeft w:val="0"/>
          <w:marRight w:val="0"/>
          <w:marTop w:val="0"/>
          <w:marBottom w:val="0"/>
          <w:divBdr>
            <w:top w:val="none" w:sz="0" w:space="0" w:color="auto"/>
            <w:left w:val="none" w:sz="0" w:space="0" w:color="auto"/>
            <w:bottom w:val="none" w:sz="0" w:space="0" w:color="auto"/>
            <w:right w:val="none" w:sz="0" w:space="0" w:color="auto"/>
          </w:divBdr>
        </w:div>
        <w:div w:id="1291089187">
          <w:marLeft w:val="0"/>
          <w:marRight w:val="0"/>
          <w:marTop w:val="0"/>
          <w:marBottom w:val="0"/>
          <w:divBdr>
            <w:top w:val="none" w:sz="0" w:space="0" w:color="auto"/>
            <w:left w:val="none" w:sz="0" w:space="0" w:color="auto"/>
            <w:bottom w:val="none" w:sz="0" w:space="0" w:color="auto"/>
            <w:right w:val="none" w:sz="0" w:space="0" w:color="auto"/>
          </w:divBdr>
        </w:div>
        <w:div w:id="1407802700">
          <w:marLeft w:val="0"/>
          <w:marRight w:val="0"/>
          <w:marTop w:val="0"/>
          <w:marBottom w:val="0"/>
          <w:divBdr>
            <w:top w:val="none" w:sz="0" w:space="0" w:color="auto"/>
            <w:left w:val="none" w:sz="0" w:space="0" w:color="auto"/>
            <w:bottom w:val="none" w:sz="0" w:space="0" w:color="auto"/>
            <w:right w:val="none" w:sz="0" w:space="0" w:color="auto"/>
          </w:divBdr>
          <w:divsChild>
            <w:div w:id="193004716">
              <w:marLeft w:val="0"/>
              <w:marRight w:val="0"/>
              <w:marTop w:val="0"/>
              <w:marBottom w:val="0"/>
              <w:divBdr>
                <w:top w:val="none" w:sz="0" w:space="0" w:color="auto"/>
                <w:left w:val="none" w:sz="0" w:space="0" w:color="auto"/>
                <w:bottom w:val="none" w:sz="0" w:space="0" w:color="auto"/>
                <w:right w:val="none" w:sz="0" w:space="0" w:color="auto"/>
              </w:divBdr>
            </w:div>
            <w:div w:id="315106467">
              <w:marLeft w:val="0"/>
              <w:marRight w:val="0"/>
              <w:marTop w:val="0"/>
              <w:marBottom w:val="0"/>
              <w:divBdr>
                <w:top w:val="none" w:sz="0" w:space="0" w:color="auto"/>
                <w:left w:val="none" w:sz="0" w:space="0" w:color="auto"/>
                <w:bottom w:val="none" w:sz="0" w:space="0" w:color="auto"/>
                <w:right w:val="none" w:sz="0" w:space="0" w:color="auto"/>
              </w:divBdr>
            </w:div>
            <w:div w:id="616571626">
              <w:marLeft w:val="0"/>
              <w:marRight w:val="0"/>
              <w:marTop w:val="0"/>
              <w:marBottom w:val="0"/>
              <w:divBdr>
                <w:top w:val="none" w:sz="0" w:space="0" w:color="auto"/>
                <w:left w:val="none" w:sz="0" w:space="0" w:color="auto"/>
                <w:bottom w:val="none" w:sz="0" w:space="0" w:color="auto"/>
                <w:right w:val="none" w:sz="0" w:space="0" w:color="auto"/>
              </w:divBdr>
            </w:div>
            <w:div w:id="927926082">
              <w:marLeft w:val="0"/>
              <w:marRight w:val="0"/>
              <w:marTop w:val="0"/>
              <w:marBottom w:val="0"/>
              <w:divBdr>
                <w:top w:val="none" w:sz="0" w:space="0" w:color="auto"/>
                <w:left w:val="none" w:sz="0" w:space="0" w:color="auto"/>
                <w:bottom w:val="none" w:sz="0" w:space="0" w:color="auto"/>
                <w:right w:val="none" w:sz="0" w:space="0" w:color="auto"/>
              </w:divBdr>
            </w:div>
            <w:div w:id="1945653572">
              <w:marLeft w:val="0"/>
              <w:marRight w:val="0"/>
              <w:marTop w:val="0"/>
              <w:marBottom w:val="0"/>
              <w:divBdr>
                <w:top w:val="none" w:sz="0" w:space="0" w:color="auto"/>
                <w:left w:val="none" w:sz="0" w:space="0" w:color="auto"/>
                <w:bottom w:val="none" w:sz="0" w:space="0" w:color="auto"/>
                <w:right w:val="none" w:sz="0" w:space="0" w:color="auto"/>
              </w:divBdr>
            </w:div>
          </w:divsChild>
        </w:div>
        <w:div w:id="1455906374">
          <w:marLeft w:val="0"/>
          <w:marRight w:val="0"/>
          <w:marTop w:val="0"/>
          <w:marBottom w:val="0"/>
          <w:divBdr>
            <w:top w:val="none" w:sz="0" w:space="0" w:color="auto"/>
            <w:left w:val="none" w:sz="0" w:space="0" w:color="auto"/>
            <w:bottom w:val="none" w:sz="0" w:space="0" w:color="auto"/>
            <w:right w:val="none" w:sz="0" w:space="0" w:color="auto"/>
          </w:divBdr>
        </w:div>
        <w:div w:id="1606771513">
          <w:marLeft w:val="0"/>
          <w:marRight w:val="0"/>
          <w:marTop w:val="0"/>
          <w:marBottom w:val="0"/>
          <w:divBdr>
            <w:top w:val="none" w:sz="0" w:space="0" w:color="auto"/>
            <w:left w:val="none" w:sz="0" w:space="0" w:color="auto"/>
            <w:bottom w:val="none" w:sz="0" w:space="0" w:color="auto"/>
            <w:right w:val="none" w:sz="0" w:space="0" w:color="auto"/>
          </w:divBdr>
        </w:div>
        <w:div w:id="1613628579">
          <w:marLeft w:val="0"/>
          <w:marRight w:val="0"/>
          <w:marTop w:val="0"/>
          <w:marBottom w:val="0"/>
          <w:divBdr>
            <w:top w:val="none" w:sz="0" w:space="0" w:color="auto"/>
            <w:left w:val="none" w:sz="0" w:space="0" w:color="auto"/>
            <w:bottom w:val="none" w:sz="0" w:space="0" w:color="auto"/>
            <w:right w:val="none" w:sz="0" w:space="0" w:color="auto"/>
          </w:divBdr>
          <w:divsChild>
            <w:div w:id="1126238995">
              <w:marLeft w:val="0"/>
              <w:marRight w:val="0"/>
              <w:marTop w:val="0"/>
              <w:marBottom w:val="0"/>
              <w:divBdr>
                <w:top w:val="none" w:sz="0" w:space="0" w:color="auto"/>
                <w:left w:val="none" w:sz="0" w:space="0" w:color="auto"/>
                <w:bottom w:val="none" w:sz="0" w:space="0" w:color="auto"/>
                <w:right w:val="none" w:sz="0" w:space="0" w:color="auto"/>
              </w:divBdr>
            </w:div>
          </w:divsChild>
        </w:div>
        <w:div w:id="1656370081">
          <w:marLeft w:val="0"/>
          <w:marRight w:val="0"/>
          <w:marTop w:val="0"/>
          <w:marBottom w:val="0"/>
          <w:divBdr>
            <w:top w:val="none" w:sz="0" w:space="0" w:color="auto"/>
            <w:left w:val="none" w:sz="0" w:space="0" w:color="auto"/>
            <w:bottom w:val="none" w:sz="0" w:space="0" w:color="auto"/>
            <w:right w:val="none" w:sz="0" w:space="0" w:color="auto"/>
          </w:divBdr>
        </w:div>
        <w:div w:id="1679430135">
          <w:marLeft w:val="0"/>
          <w:marRight w:val="0"/>
          <w:marTop w:val="0"/>
          <w:marBottom w:val="0"/>
          <w:divBdr>
            <w:top w:val="none" w:sz="0" w:space="0" w:color="auto"/>
            <w:left w:val="none" w:sz="0" w:space="0" w:color="auto"/>
            <w:bottom w:val="none" w:sz="0" w:space="0" w:color="auto"/>
            <w:right w:val="none" w:sz="0" w:space="0" w:color="auto"/>
          </w:divBdr>
          <w:divsChild>
            <w:div w:id="50689070">
              <w:marLeft w:val="0"/>
              <w:marRight w:val="0"/>
              <w:marTop w:val="0"/>
              <w:marBottom w:val="0"/>
              <w:divBdr>
                <w:top w:val="none" w:sz="0" w:space="0" w:color="auto"/>
                <w:left w:val="none" w:sz="0" w:space="0" w:color="auto"/>
                <w:bottom w:val="none" w:sz="0" w:space="0" w:color="auto"/>
                <w:right w:val="none" w:sz="0" w:space="0" w:color="auto"/>
              </w:divBdr>
            </w:div>
            <w:div w:id="529344829">
              <w:marLeft w:val="0"/>
              <w:marRight w:val="0"/>
              <w:marTop w:val="0"/>
              <w:marBottom w:val="0"/>
              <w:divBdr>
                <w:top w:val="none" w:sz="0" w:space="0" w:color="auto"/>
                <w:left w:val="none" w:sz="0" w:space="0" w:color="auto"/>
                <w:bottom w:val="none" w:sz="0" w:space="0" w:color="auto"/>
                <w:right w:val="none" w:sz="0" w:space="0" w:color="auto"/>
              </w:divBdr>
            </w:div>
            <w:div w:id="575289256">
              <w:marLeft w:val="0"/>
              <w:marRight w:val="0"/>
              <w:marTop w:val="0"/>
              <w:marBottom w:val="0"/>
              <w:divBdr>
                <w:top w:val="none" w:sz="0" w:space="0" w:color="auto"/>
                <w:left w:val="none" w:sz="0" w:space="0" w:color="auto"/>
                <w:bottom w:val="none" w:sz="0" w:space="0" w:color="auto"/>
                <w:right w:val="none" w:sz="0" w:space="0" w:color="auto"/>
              </w:divBdr>
            </w:div>
            <w:div w:id="665518486">
              <w:marLeft w:val="0"/>
              <w:marRight w:val="0"/>
              <w:marTop w:val="0"/>
              <w:marBottom w:val="0"/>
              <w:divBdr>
                <w:top w:val="none" w:sz="0" w:space="0" w:color="auto"/>
                <w:left w:val="none" w:sz="0" w:space="0" w:color="auto"/>
                <w:bottom w:val="none" w:sz="0" w:space="0" w:color="auto"/>
                <w:right w:val="none" w:sz="0" w:space="0" w:color="auto"/>
              </w:divBdr>
            </w:div>
            <w:div w:id="1325628180">
              <w:marLeft w:val="0"/>
              <w:marRight w:val="0"/>
              <w:marTop w:val="0"/>
              <w:marBottom w:val="0"/>
              <w:divBdr>
                <w:top w:val="none" w:sz="0" w:space="0" w:color="auto"/>
                <w:left w:val="none" w:sz="0" w:space="0" w:color="auto"/>
                <w:bottom w:val="none" w:sz="0" w:space="0" w:color="auto"/>
                <w:right w:val="none" w:sz="0" w:space="0" w:color="auto"/>
              </w:divBdr>
            </w:div>
          </w:divsChild>
        </w:div>
        <w:div w:id="1709448724">
          <w:marLeft w:val="0"/>
          <w:marRight w:val="0"/>
          <w:marTop w:val="0"/>
          <w:marBottom w:val="0"/>
          <w:divBdr>
            <w:top w:val="none" w:sz="0" w:space="0" w:color="auto"/>
            <w:left w:val="none" w:sz="0" w:space="0" w:color="auto"/>
            <w:bottom w:val="none" w:sz="0" w:space="0" w:color="auto"/>
            <w:right w:val="none" w:sz="0" w:space="0" w:color="auto"/>
          </w:divBdr>
        </w:div>
        <w:div w:id="1819222482">
          <w:marLeft w:val="0"/>
          <w:marRight w:val="0"/>
          <w:marTop w:val="0"/>
          <w:marBottom w:val="0"/>
          <w:divBdr>
            <w:top w:val="none" w:sz="0" w:space="0" w:color="auto"/>
            <w:left w:val="none" w:sz="0" w:space="0" w:color="auto"/>
            <w:bottom w:val="none" w:sz="0" w:space="0" w:color="auto"/>
            <w:right w:val="none" w:sz="0" w:space="0" w:color="auto"/>
          </w:divBdr>
        </w:div>
        <w:div w:id="1900480250">
          <w:marLeft w:val="0"/>
          <w:marRight w:val="0"/>
          <w:marTop w:val="0"/>
          <w:marBottom w:val="0"/>
          <w:divBdr>
            <w:top w:val="none" w:sz="0" w:space="0" w:color="auto"/>
            <w:left w:val="none" w:sz="0" w:space="0" w:color="auto"/>
            <w:bottom w:val="none" w:sz="0" w:space="0" w:color="auto"/>
            <w:right w:val="none" w:sz="0" w:space="0" w:color="auto"/>
          </w:divBdr>
          <w:divsChild>
            <w:div w:id="166481363">
              <w:marLeft w:val="0"/>
              <w:marRight w:val="0"/>
              <w:marTop w:val="0"/>
              <w:marBottom w:val="0"/>
              <w:divBdr>
                <w:top w:val="none" w:sz="0" w:space="0" w:color="auto"/>
                <w:left w:val="none" w:sz="0" w:space="0" w:color="auto"/>
                <w:bottom w:val="none" w:sz="0" w:space="0" w:color="auto"/>
                <w:right w:val="none" w:sz="0" w:space="0" w:color="auto"/>
              </w:divBdr>
            </w:div>
            <w:div w:id="310408593">
              <w:marLeft w:val="0"/>
              <w:marRight w:val="0"/>
              <w:marTop w:val="0"/>
              <w:marBottom w:val="0"/>
              <w:divBdr>
                <w:top w:val="none" w:sz="0" w:space="0" w:color="auto"/>
                <w:left w:val="none" w:sz="0" w:space="0" w:color="auto"/>
                <w:bottom w:val="none" w:sz="0" w:space="0" w:color="auto"/>
                <w:right w:val="none" w:sz="0" w:space="0" w:color="auto"/>
              </w:divBdr>
            </w:div>
            <w:div w:id="744574436">
              <w:marLeft w:val="0"/>
              <w:marRight w:val="0"/>
              <w:marTop w:val="0"/>
              <w:marBottom w:val="0"/>
              <w:divBdr>
                <w:top w:val="none" w:sz="0" w:space="0" w:color="auto"/>
                <w:left w:val="none" w:sz="0" w:space="0" w:color="auto"/>
                <w:bottom w:val="none" w:sz="0" w:space="0" w:color="auto"/>
                <w:right w:val="none" w:sz="0" w:space="0" w:color="auto"/>
              </w:divBdr>
            </w:div>
            <w:div w:id="813764477">
              <w:marLeft w:val="0"/>
              <w:marRight w:val="0"/>
              <w:marTop w:val="0"/>
              <w:marBottom w:val="0"/>
              <w:divBdr>
                <w:top w:val="none" w:sz="0" w:space="0" w:color="auto"/>
                <w:left w:val="none" w:sz="0" w:space="0" w:color="auto"/>
                <w:bottom w:val="none" w:sz="0" w:space="0" w:color="auto"/>
                <w:right w:val="none" w:sz="0" w:space="0" w:color="auto"/>
              </w:divBdr>
            </w:div>
            <w:div w:id="1048915170">
              <w:marLeft w:val="0"/>
              <w:marRight w:val="0"/>
              <w:marTop w:val="0"/>
              <w:marBottom w:val="0"/>
              <w:divBdr>
                <w:top w:val="none" w:sz="0" w:space="0" w:color="auto"/>
                <w:left w:val="none" w:sz="0" w:space="0" w:color="auto"/>
                <w:bottom w:val="none" w:sz="0" w:space="0" w:color="auto"/>
                <w:right w:val="none" w:sz="0" w:space="0" w:color="auto"/>
              </w:divBdr>
            </w:div>
          </w:divsChild>
        </w:div>
        <w:div w:id="2061241936">
          <w:marLeft w:val="0"/>
          <w:marRight w:val="0"/>
          <w:marTop w:val="0"/>
          <w:marBottom w:val="0"/>
          <w:divBdr>
            <w:top w:val="none" w:sz="0" w:space="0" w:color="auto"/>
            <w:left w:val="none" w:sz="0" w:space="0" w:color="auto"/>
            <w:bottom w:val="none" w:sz="0" w:space="0" w:color="auto"/>
            <w:right w:val="none" w:sz="0" w:space="0" w:color="auto"/>
          </w:divBdr>
          <w:divsChild>
            <w:div w:id="100074270">
              <w:marLeft w:val="0"/>
              <w:marRight w:val="0"/>
              <w:marTop w:val="0"/>
              <w:marBottom w:val="0"/>
              <w:divBdr>
                <w:top w:val="none" w:sz="0" w:space="0" w:color="auto"/>
                <w:left w:val="none" w:sz="0" w:space="0" w:color="auto"/>
                <w:bottom w:val="none" w:sz="0" w:space="0" w:color="auto"/>
                <w:right w:val="none" w:sz="0" w:space="0" w:color="auto"/>
              </w:divBdr>
            </w:div>
            <w:div w:id="312106795">
              <w:marLeft w:val="0"/>
              <w:marRight w:val="0"/>
              <w:marTop w:val="0"/>
              <w:marBottom w:val="0"/>
              <w:divBdr>
                <w:top w:val="none" w:sz="0" w:space="0" w:color="auto"/>
                <w:left w:val="none" w:sz="0" w:space="0" w:color="auto"/>
                <w:bottom w:val="none" w:sz="0" w:space="0" w:color="auto"/>
                <w:right w:val="none" w:sz="0" w:space="0" w:color="auto"/>
              </w:divBdr>
            </w:div>
            <w:div w:id="526258233">
              <w:marLeft w:val="0"/>
              <w:marRight w:val="0"/>
              <w:marTop w:val="0"/>
              <w:marBottom w:val="0"/>
              <w:divBdr>
                <w:top w:val="none" w:sz="0" w:space="0" w:color="auto"/>
                <w:left w:val="none" w:sz="0" w:space="0" w:color="auto"/>
                <w:bottom w:val="none" w:sz="0" w:space="0" w:color="auto"/>
                <w:right w:val="none" w:sz="0" w:space="0" w:color="auto"/>
              </w:divBdr>
            </w:div>
            <w:div w:id="726152090">
              <w:marLeft w:val="0"/>
              <w:marRight w:val="0"/>
              <w:marTop w:val="0"/>
              <w:marBottom w:val="0"/>
              <w:divBdr>
                <w:top w:val="none" w:sz="0" w:space="0" w:color="auto"/>
                <w:left w:val="none" w:sz="0" w:space="0" w:color="auto"/>
                <w:bottom w:val="none" w:sz="0" w:space="0" w:color="auto"/>
                <w:right w:val="none" w:sz="0" w:space="0" w:color="auto"/>
              </w:divBdr>
            </w:div>
            <w:div w:id="920135866">
              <w:marLeft w:val="0"/>
              <w:marRight w:val="0"/>
              <w:marTop w:val="0"/>
              <w:marBottom w:val="0"/>
              <w:divBdr>
                <w:top w:val="none" w:sz="0" w:space="0" w:color="auto"/>
                <w:left w:val="none" w:sz="0" w:space="0" w:color="auto"/>
                <w:bottom w:val="none" w:sz="0" w:space="0" w:color="auto"/>
                <w:right w:val="none" w:sz="0" w:space="0" w:color="auto"/>
              </w:divBdr>
            </w:div>
          </w:divsChild>
        </w:div>
        <w:div w:id="2101216244">
          <w:marLeft w:val="0"/>
          <w:marRight w:val="0"/>
          <w:marTop w:val="0"/>
          <w:marBottom w:val="0"/>
          <w:divBdr>
            <w:top w:val="none" w:sz="0" w:space="0" w:color="auto"/>
            <w:left w:val="none" w:sz="0" w:space="0" w:color="auto"/>
            <w:bottom w:val="none" w:sz="0" w:space="0" w:color="auto"/>
            <w:right w:val="none" w:sz="0" w:space="0" w:color="auto"/>
          </w:divBdr>
        </w:div>
        <w:div w:id="2101871459">
          <w:marLeft w:val="0"/>
          <w:marRight w:val="0"/>
          <w:marTop w:val="0"/>
          <w:marBottom w:val="0"/>
          <w:divBdr>
            <w:top w:val="none" w:sz="0" w:space="0" w:color="auto"/>
            <w:left w:val="none" w:sz="0" w:space="0" w:color="auto"/>
            <w:bottom w:val="none" w:sz="0" w:space="0" w:color="auto"/>
            <w:right w:val="none" w:sz="0" w:space="0" w:color="auto"/>
          </w:divBdr>
        </w:div>
      </w:divsChild>
    </w:div>
    <w:div w:id="1823888972">
      <w:bodyDiv w:val="1"/>
      <w:marLeft w:val="0"/>
      <w:marRight w:val="0"/>
      <w:marTop w:val="0"/>
      <w:marBottom w:val="0"/>
      <w:divBdr>
        <w:top w:val="none" w:sz="0" w:space="0" w:color="auto"/>
        <w:left w:val="none" w:sz="0" w:space="0" w:color="auto"/>
        <w:bottom w:val="none" w:sz="0" w:space="0" w:color="auto"/>
        <w:right w:val="none" w:sz="0" w:space="0" w:color="auto"/>
      </w:divBdr>
      <w:divsChild>
        <w:div w:id="278025238">
          <w:marLeft w:val="0"/>
          <w:marRight w:val="0"/>
          <w:marTop w:val="0"/>
          <w:marBottom w:val="0"/>
          <w:divBdr>
            <w:top w:val="none" w:sz="0" w:space="0" w:color="auto"/>
            <w:left w:val="none" w:sz="0" w:space="0" w:color="auto"/>
            <w:bottom w:val="none" w:sz="0" w:space="0" w:color="auto"/>
            <w:right w:val="none" w:sz="0" w:space="0" w:color="auto"/>
          </w:divBdr>
        </w:div>
        <w:div w:id="403996456">
          <w:marLeft w:val="0"/>
          <w:marRight w:val="0"/>
          <w:marTop w:val="0"/>
          <w:marBottom w:val="0"/>
          <w:divBdr>
            <w:top w:val="none" w:sz="0" w:space="0" w:color="auto"/>
            <w:left w:val="none" w:sz="0" w:space="0" w:color="auto"/>
            <w:bottom w:val="none" w:sz="0" w:space="0" w:color="auto"/>
            <w:right w:val="none" w:sz="0" w:space="0" w:color="auto"/>
          </w:divBdr>
        </w:div>
        <w:div w:id="674500473">
          <w:marLeft w:val="0"/>
          <w:marRight w:val="0"/>
          <w:marTop w:val="0"/>
          <w:marBottom w:val="0"/>
          <w:divBdr>
            <w:top w:val="none" w:sz="0" w:space="0" w:color="auto"/>
            <w:left w:val="none" w:sz="0" w:space="0" w:color="auto"/>
            <w:bottom w:val="none" w:sz="0" w:space="0" w:color="auto"/>
            <w:right w:val="none" w:sz="0" w:space="0" w:color="auto"/>
          </w:divBdr>
          <w:divsChild>
            <w:div w:id="56905817">
              <w:marLeft w:val="0"/>
              <w:marRight w:val="0"/>
              <w:marTop w:val="0"/>
              <w:marBottom w:val="0"/>
              <w:divBdr>
                <w:top w:val="none" w:sz="0" w:space="0" w:color="auto"/>
                <w:left w:val="none" w:sz="0" w:space="0" w:color="auto"/>
                <w:bottom w:val="none" w:sz="0" w:space="0" w:color="auto"/>
                <w:right w:val="none" w:sz="0" w:space="0" w:color="auto"/>
              </w:divBdr>
            </w:div>
            <w:div w:id="289826238">
              <w:marLeft w:val="0"/>
              <w:marRight w:val="0"/>
              <w:marTop w:val="0"/>
              <w:marBottom w:val="0"/>
              <w:divBdr>
                <w:top w:val="none" w:sz="0" w:space="0" w:color="auto"/>
                <w:left w:val="none" w:sz="0" w:space="0" w:color="auto"/>
                <w:bottom w:val="none" w:sz="0" w:space="0" w:color="auto"/>
                <w:right w:val="none" w:sz="0" w:space="0" w:color="auto"/>
              </w:divBdr>
            </w:div>
            <w:div w:id="675159459">
              <w:marLeft w:val="0"/>
              <w:marRight w:val="0"/>
              <w:marTop w:val="0"/>
              <w:marBottom w:val="0"/>
              <w:divBdr>
                <w:top w:val="none" w:sz="0" w:space="0" w:color="auto"/>
                <w:left w:val="none" w:sz="0" w:space="0" w:color="auto"/>
                <w:bottom w:val="none" w:sz="0" w:space="0" w:color="auto"/>
                <w:right w:val="none" w:sz="0" w:space="0" w:color="auto"/>
              </w:divBdr>
            </w:div>
            <w:div w:id="1615359046">
              <w:marLeft w:val="0"/>
              <w:marRight w:val="0"/>
              <w:marTop w:val="0"/>
              <w:marBottom w:val="0"/>
              <w:divBdr>
                <w:top w:val="none" w:sz="0" w:space="0" w:color="auto"/>
                <w:left w:val="none" w:sz="0" w:space="0" w:color="auto"/>
                <w:bottom w:val="none" w:sz="0" w:space="0" w:color="auto"/>
                <w:right w:val="none" w:sz="0" w:space="0" w:color="auto"/>
              </w:divBdr>
            </w:div>
            <w:div w:id="1943799966">
              <w:marLeft w:val="0"/>
              <w:marRight w:val="0"/>
              <w:marTop w:val="0"/>
              <w:marBottom w:val="0"/>
              <w:divBdr>
                <w:top w:val="none" w:sz="0" w:space="0" w:color="auto"/>
                <w:left w:val="none" w:sz="0" w:space="0" w:color="auto"/>
                <w:bottom w:val="none" w:sz="0" w:space="0" w:color="auto"/>
                <w:right w:val="none" w:sz="0" w:space="0" w:color="auto"/>
              </w:divBdr>
            </w:div>
          </w:divsChild>
        </w:div>
        <w:div w:id="1194417410">
          <w:marLeft w:val="0"/>
          <w:marRight w:val="0"/>
          <w:marTop w:val="0"/>
          <w:marBottom w:val="0"/>
          <w:divBdr>
            <w:top w:val="none" w:sz="0" w:space="0" w:color="auto"/>
            <w:left w:val="none" w:sz="0" w:space="0" w:color="auto"/>
            <w:bottom w:val="none" w:sz="0" w:space="0" w:color="auto"/>
            <w:right w:val="none" w:sz="0" w:space="0" w:color="auto"/>
          </w:divBdr>
          <w:divsChild>
            <w:div w:id="366608549">
              <w:marLeft w:val="0"/>
              <w:marRight w:val="0"/>
              <w:marTop w:val="0"/>
              <w:marBottom w:val="0"/>
              <w:divBdr>
                <w:top w:val="none" w:sz="0" w:space="0" w:color="auto"/>
                <w:left w:val="none" w:sz="0" w:space="0" w:color="auto"/>
                <w:bottom w:val="none" w:sz="0" w:space="0" w:color="auto"/>
                <w:right w:val="none" w:sz="0" w:space="0" w:color="auto"/>
              </w:divBdr>
            </w:div>
            <w:div w:id="733510635">
              <w:marLeft w:val="0"/>
              <w:marRight w:val="0"/>
              <w:marTop w:val="0"/>
              <w:marBottom w:val="0"/>
              <w:divBdr>
                <w:top w:val="none" w:sz="0" w:space="0" w:color="auto"/>
                <w:left w:val="none" w:sz="0" w:space="0" w:color="auto"/>
                <w:bottom w:val="none" w:sz="0" w:space="0" w:color="auto"/>
                <w:right w:val="none" w:sz="0" w:space="0" w:color="auto"/>
              </w:divBdr>
            </w:div>
            <w:div w:id="735394642">
              <w:marLeft w:val="0"/>
              <w:marRight w:val="0"/>
              <w:marTop w:val="0"/>
              <w:marBottom w:val="0"/>
              <w:divBdr>
                <w:top w:val="none" w:sz="0" w:space="0" w:color="auto"/>
                <w:left w:val="none" w:sz="0" w:space="0" w:color="auto"/>
                <w:bottom w:val="none" w:sz="0" w:space="0" w:color="auto"/>
                <w:right w:val="none" w:sz="0" w:space="0" w:color="auto"/>
              </w:divBdr>
            </w:div>
            <w:div w:id="746148858">
              <w:marLeft w:val="0"/>
              <w:marRight w:val="0"/>
              <w:marTop w:val="0"/>
              <w:marBottom w:val="0"/>
              <w:divBdr>
                <w:top w:val="none" w:sz="0" w:space="0" w:color="auto"/>
                <w:left w:val="none" w:sz="0" w:space="0" w:color="auto"/>
                <w:bottom w:val="none" w:sz="0" w:space="0" w:color="auto"/>
                <w:right w:val="none" w:sz="0" w:space="0" w:color="auto"/>
              </w:divBdr>
            </w:div>
            <w:div w:id="1093480184">
              <w:marLeft w:val="0"/>
              <w:marRight w:val="0"/>
              <w:marTop w:val="0"/>
              <w:marBottom w:val="0"/>
              <w:divBdr>
                <w:top w:val="none" w:sz="0" w:space="0" w:color="auto"/>
                <w:left w:val="none" w:sz="0" w:space="0" w:color="auto"/>
                <w:bottom w:val="none" w:sz="0" w:space="0" w:color="auto"/>
                <w:right w:val="none" w:sz="0" w:space="0" w:color="auto"/>
              </w:divBdr>
            </w:div>
          </w:divsChild>
        </w:div>
        <w:div w:id="1830905177">
          <w:marLeft w:val="0"/>
          <w:marRight w:val="0"/>
          <w:marTop w:val="0"/>
          <w:marBottom w:val="0"/>
          <w:divBdr>
            <w:top w:val="none" w:sz="0" w:space="0" w:color="auto"/>
            <w:left w:val="none" w:sz="0" w:space="0" w:color="auto"/>
            <w:bottom w:val="none" w:sz="0" w:space="0" w:color="auto"/>
            <w:right w:val="none" w:sz="0" w:space="0" w:color="auto"/>
          </w:divBdr>
          <w:divsChild>
            <w:div w:id="518154667">
              <w:marLeft w:val="0"/>
              <w:marRight w:val="0"/>
              <w:marTop w:val="0"/>
              <w:marBottom w:val="0"/>
              <w:divBdr>
                <w:top w:val="none" w:sz="0" w:space="0" w:color="auto"/>
                <w:left w:val="none" w:sz="0" w:space="0" w:color="auto"/>
                <w:bottom w:val="none" w:sz="0" w:space="0" w:color="auto"/>
                <w:right w:val="none" w:sz="0" w:space="0" w:color="auto"/>
              </w:divBdr>
            </w:div>
            <w:div w:id="1078475737">
              <w:marLeft w:val="0"/>
              <w:marRight w:val="0"/>
              <w:marTop w:val="0"/>
              <w:marBottom w:val="0"/>
              <w:divBdr>
                <w:top w:val="none" w:sz="0" w:space="0" w:color="auto"/>
                <w:left w:val="none" w:sz="0" w:space="0" w:color="auto"/>
                <w:bottom w:val="none" w:sz="0" w:space="0" w:color="auto"/>
                <w:right w:val="none" w:sz="0" w:space="0" w:color="auto"/>
              </w:divBdr>
            </w:div>
            <w:div w:id="1402562880">
              <w:marLeft w:val="0"/>
              <w:marRight w:val="0"/>
              <w:marTop w:val="0"/>
              <w:marBottom w:val="0"/>
              <w:divBdr>
                <w:top w:val="none" w:sz="0" w:space="0" w:color="auto"/>
                <w:left w:val="none" w:sz="0" w:space="0" w:color="auto"/>
                <w:bottom w:val="none" w:sz="0" w:space="0" w:color="auto"/>
                <w:right w:val="none" w:sz="0" w:space="0" w:color="auto"/>
              </w:divBdr>
            </w:div>
            <w:div w:id="1428043081">
              <w:marLeft w:val="0"/>
              <w:marRight w:val="0"/>
              <w:marTop w:val="0"/>
              <w:marBottom w:val="0"/>
              <w:divBdr>
                <w:top w:val="none" w:sz="0" w:space="0" w:color="auto"/>
                <w:left w:val="none" w:sz="0" w:space="0" w:color="auto"/>
                <w:bottom w:val="none" w:sz="0" w:space="0" w:color="auto"/>
                <w:right w:val="none" w:sz="0" w:space="0" w:color="auto"/>
              </w:divBdr>
            </w:div>
            <w:div w:id="1586920872">
              <w:marLeft w:val="0"/>
              <w:marRight w:val="0"/>
              <w:marTop w:val="0"/>
              <w:marBottom w:val="0"/>
              <w:divBdr>
                <w:top w:val="none" w:sz="0" w:space="0" w:color="auto"/>
                <w:left w:val="none" w:sz="0" w:space="0" w:color="auto"/>
                <w:bottom w:val="none" w:sz="0" w:space="0" w:color="auto"/>
                <w:right w:val="none" w:sz="0" w:space="0" w:color="auto"/>
              </w:divBdr>
            </w:div>
          </w:divsChild>
        </w:div>
        <w:div w:id="1997495265">
          <w:marLeft w:val="0"/>
          <w:marRight w:val="0"/>
          <w:marTop w:val="0"/>
          <w:marBottom w:val="0"/>
          <w:divBdr>
            <w:top w:val="none" w:sz="0" w:space="0" w:color="auto"/>
            <w:left w:val="none" w:sz="0" w:space="0" w:color="auto"/>
            <w:bottom w:val="none" w:sz="0" w:space="0" w:color="auto"/>
            <w:right w:val="none" w:sz="0" w:space="0" w:color="auto"/>
          </w:divBdr>
        </w:div>
      </w:divsChild>
    </w:div>
    <w:div w:id="2124301041">
      <w:bodyDiv w:val="1"/>
      <w:marLeft w:val="0"/>
      <w:marRight w:val="0"/>
      <w:marTop w:val="0"/>
      <w:marBottom w:val="0"/>
      <w:divBdr>
        <w:top w:val="none" w:sz="0" w:space="0" w:color="auto"/>
        <w:left w:val="none" w:sz="0" w:space="0" w:color="auto"/>
        <w:bottom w:val="none" w:sz="0" w:space="0" w:color="auto"/>
        <w:right w:val="none" w:sz="0" w:space="0" w:color="auto"/>
      </w:divBdr>
      <w:divsChild>
        <w:div w:id="665285364">
          <w:marLeft w:val="0"/>
          <w:marRight w:val="0"/>
          <w:marTop w:val="0"/>
          <w:marBottom w:val="0"/>
          <w:divBdr>
            <w:top w:val="none" w:sz="0" w:space="0" w:color="auto"/>
            <w:left w:val="none" w:sz="0" w:space="0" w:color="auto"/>
            <w:bottom w:val="none" w:sz="0" w:space="0" w:color="auto"/>
            <w:right w:val="none" w:sz="0" w:space="0" w:color="auto"/>
          </w:divBdr>
          <w:divsChild>
            <w:div w:id="190338734">
              <w:marLeft w:val="0"/>
              <w:marRight w:val="0"/>
              <w:marTop w:val="0"/>
              <w:marBottom w:val="0"/>
              <w:divBdr>
                <w:top w:val="none" w:sz="0" w:space="0" w:color="auto"/>
                <w:left w:val="none" w:sz="0" w:space="0" w:color="auto"/>
                <w:bottom w:val="none" w:sz="0" w:space="0" w:color="auto"/>
                <w:right w:val="none" w:sz="0" w:space="0" w:color="auto"/>
              </w:divBdr>
            </w:div>
            <w:div w:id="1103383341">
              <w:marLeft w:val="0"/>
              <w:marRight w:val="0"/>
              <w:marTop w:val="0"/>
              <w:marBottom w:val="0"/>
              <w:divBdr>
                <w:top w:val="none" w:sz="0" w:space="0" w:color="auto"/>
                <w:left w:val="none" w:sz="0" w:space="0" w:color="auto"/>
                <w:bottom w:val="none" w:sz="0" w:space="0" w:color="auto"/>
                <w:right w:val="none" w:sz="0" w:space="0" w:color="auto"/>
              </w:divBdr>
            </w:div>
            <w:div w:id="1431393844">
              <w:marLeft w:val="0"/>
              <w:marRight w:val="0"/>
              <w:marTop w:val="0"/>
              <w:marBottom w:val="0"/>
              <w:divBdr>
                <w:top w:val="none" w:sz="0" w:space="0" w:color="auto"/>
                <w:left w:val="none" w:sz="0" w:space="0" w:color="auto"/>
                <w:bottom w:val="none" w:sz="0" w:space="0" w:color="auto"/>
                <w:right w:val="none" w:sz="0" w:space="0" w:color="auto"/>
              </w:divBdr>
            </w:div>
            <w:div w:id="1635284712">
              <w:marLeft w:val="0"/>
              <w:marRight w:val="0"/>
              <w:marTop w:val="0"/>
              <w:marBottom w:val="0"/>
              <w:divBdr>
                <w:top w:val="none" w:sz="0" w:space="0" w:color="auto"/>
                <w:left w:val="none" w:sz="0" w:space="0" w:color="auto"/>
                <w:bottom w:val="none" w:sz="0" w:space="0" w:color="auto"/>
                <w:right w:val="none" w:sz="0" w:space="0" w:color="auto"/>
              </w:divBdr>
            </w:div>
            <w:div w:id="2120644021">
              <w:marLeft w:val="0"/>
              <w:marRight w:val="0"/>
              <w:marTop w:val="0"/>
              <w:marBottom w:val="0"/>
              <w:divBdr>
                <w:top w:val="none" w:sz="0" w:space="0" w:color="auto"/>
                <w:left w:val="none" w:sz="0" w:space="0" w:color="auto"/>
                <w:bottom w:val="none" w:sz="0" w:space="0" w:color="auto"/>
                <w:right w:val="none" w:sz="0" w:space="0" w:color="auto"/>
              </w:divBdr>
            </w:div>
          </w:divsChild>
        </w:div>
        <w:div w:id="689524813">
          <w:marLeft w:val="0"/>
          <w:marRight w:val="0"/>
          <w:marTop w:val="0"/>
          <w:marBottom w:val="0"/>
          <w:divBdr>
            <w:top w:val="none" w:sz="0" w:space="0" w:color="auto"/>
            <w:left w:val="none" w:sz="0" w:space="0" w:color="auto"/>
            <w:bottom w:val="none" w:sz="0" w:space="0" w:color="auto"/>
            <w:right w:val="none" w:sz="0" w:space="0" w:color="auto"/>
          </w:divBdr>
        </w:div>
        <w:div w:id="786460955">
          <w:marLeft w:val="0"/>
          <w:marRight w:val="0"/>
          <w:marTop w:val="0"/>
          <w:marBottom w:val="0"/>
          <w:divBdr>
            <w:top w:val="none" w:sz="0" w:space="0" w:color="auto"/>
            <w:left w:val="none" w:sz="0" w:space="0" w:color="auto"/>
            <w:bottom w:val="none" w:sz="0" w:space="0" w:color="auto"/>
            <w:right w:val="none" w:sz="0" w:space="0" w:color="auto"/>
          </w:divBdr>
          <w:divsChild>
            <w:div w:id="482428227">
              <w:marLeft w:val="0"/>
              <w:marRight w:val="0"/>
              <w:marTop w:val="0"/>
              <w:marBottom w:val="0"/>
              <w:divBdr>
                <w:top w:val="none" w:sz="0" w:space="0" w:color="auto"/>
                <w:left w:val="none" w:sz="0" w:space="0" w:color="auto"/>
                <w:bottom w:val="none" w:sz="0" w:space="0" w:color="auto"/>
                <w:right w:val="none" w:sz="0" w:space="0" w:color="auto"/>
              </w:divBdr>
            </w:div>
            <w:div w:id="834881453">
              <w:marLeft w:val="0"/>
              <w:marRight w:val="0"/>
              <w:marTop w:val="0"/>
              <w:marBottom w:val="0"/>
              <w:divBdr>
                <w:top w:val="none" w:sz="0" w:space="0" w:color="auto"/>
                <w:left w:val="none" w:sz="0" w:space="0" w:color="auto"/>
                <w:bottom w:val="none" w:sz="0" w:space="0" w:color="auto"/>
                <w:right w:val="none" w:sz="0" w:space="0" w:color="auto"/>
              </w:divBdr>
            </w:div>
            <w:div w:id="925964860">
              <w:marLeft w:val="0"/>
              <w:marRight w:val="0"/>
              <w:marTop w:val="0"/>
              <w:marBottom w:val="0"/>
              <w:divBdr>
                <w:top w:val="none" w:sz="0" w:space="0" w:color="auto"/>
                <w:left w:val="none" w:sz="0" w:space="0" w:color="auto"/>
                <w:bottom w:val="none" w:sz="0" w:space="0" w:color="auto"/>
                <w:right w:val="none" w:sz="0" w:space="0" w:color="auto"/>
              </w:divBdr>
            </w:div>
            <w:div w:id="989140868">
              <w:marLeft w:val="0"/>
              <w:marRight w:val="0"/>
              <w:marTop w:val="0"/>
              <w:marBottom w:val="0"/>
              <w:divBdr>
                <w:top w:val="none" w:sz="0" w:space="0" w:color="auto"/>
                <w:left w:val="none" w:sz="0" w:space="0" w:color="auto"/>
                <w:bottom w:val="none" w:sz="0" w:space="0" w:color="auto"/>
                <w:right w:val="none" w:sz="0" w:space="0" w:color="auto"/>
              </w:divBdr>
            </w:div>
            <w:div w:id="1159690536">
              <w:marLeft w:val="0"/>
              <w:marRight w:val="0"/>
              <w:marTop w:val="0"/>
              <w:marBottom w:val="0"/>
              <w:divBdr>
                <w:top w:val="none" w:sz="0" w:space="0" w:color="auto"/>
                <w:left w:val="none" w:sz="0" w:space="0" w:color="auto"/>
                <w:bottom w:val="none" w:sz="0" w:space="0" w:color="auto"/>
                <w:right w:val="none" w:sz="0" w:space="0" w:color="auto"/>
              </w:divBdr>
            </w:div>
          </w:divsChild>
        </w:div>
        <w:div w:id="904291946">
          <w:marLeft w:val="0"/>
          <w:marRight w:val="0"/>
          <w:marTop w:val="0"/>
          <w:marBottom w:val="0"/>
          <w:divBdr>
            <w:top w:val="none" w:sz="0" w:space="0" w:color="auto"/>
            <w:left w:val="none" w:sz="0" w:space="0" w:color="auto"/>
            <w:bottom w:val="none" w:sz="0" w:space="0" w:color="auto"/>
            <w:right w:val="none" w:sz="0" w:space="0" w:color="auto"/>
          </w:divBdr>
          <w:divsChild>
            <w:div w:id="341444121">
              <w:marLeft w:val="0"/>
              <w:marRight w:val="0"/>
              <w:marTop w:val="0"/>
              <w:marBottom w:val="0"/>
              <w:divBdr>
                <w:top w:val="none" w:sz="0" w:space="0" w:color="auto"/>
                <w:left w:val="none" w:sz="0" w:space="0" w:color="auto"/>
                <w:bottom w:val="none" w:sz="0" w:space="0" w:color="auto"/>
                <w:right w:val="none" w:sz="0" w:space="0" w:color="auto"/>
              </w:divBdr>
            </w:div>
            <w:div w:id="1062171663">
              <w:marLeft w:val="0"/>
              <w:marRight w:val="0"/>
              <w:marTop w:val="0"/>
              <w:marBottom w:val="0"/>
              <w:divBdr>
                <w:top w:val="none" w:sz="0" w:space="0" w:color="auto"/>
                <w:left w:val="none" w:sz="0" w:space="0" w:color="auto"/>
                <w:bottom w:val="none" w:sz="0" w:space="0" w:color="auto"/>
                <w:right w:val="none" w:sz="0" w:space="0" w:color="auto"/>
              </w:divBdr>
            </w:div>
            <w:div w:id="1225721514">
              <w:marLeft w:val="0"/>
              <w:marRight w:val="0"/>
              <w:marTop w:val="0"/>
              <w:marBottom w:val="0"/>
              <w:divBdr>
                <w:top w:val="none" w:sz="0" w:space="0" w:color="auto"/>
                <w:left w:val="none" w:sz="0" w:space="0" w:color="auto"/>
                <w:bottom w:val="none" w:sz="0" w:space="0" w:color="auto"/>
                <w:right w:val="none" w:sz="0" w:space="0" w:color="auto"/>
              </w:divBdr>
            </w:div>
            <w:div w:id="1287930971">
              <w:marLeft w:val="0"/>
              <w:marRight w:val="0"/>
              <w:marTop w:val="0"/>
              <w:marBottom w:val="0"/>
              <w:divBdr>
                <w:top w:val="none" w:sz="0" w:space="0" w:color="auto"/>
                <w:left w:val="none" w:sz="0" w:space="0" w:color="auto"/>
                <w:bottom w:val="none" w:sz="0" w:space="0" w:color="auto"/>
                <w:right w:val="none" w:sz="0" w:space="0" w:color="auto"/>
              </w:divBdr>
            </w:div>
            <w:div w:id="2024938442">
              <w:marLeft w:val="0"/>
              <w:marRight w:val="0"/>
              <w:marTop w:val="0"/>
              <w:marBottom w:val="0"/>
              <w:divBdr>
                <w:top w:val="none" w:sz="0" w:space="0" w:color="auto"/>
                <w:left w:val="none" w:sz="0" w:space="0" w:color="auto"/>
                <w:bottom w:val="none" w:sz="0" w:space="0" w:color="auto"/>
                <w:right w:val="none" w:sz="0" w:space="0" w:color="auto"/>
              </w:divBdr>
            </w:div>
          </w:divsChild>
        </w:div>
        <w:div w:id="1192458869">
          <w:marLeft w:val="0"/>
          <w:marRight w:val="0"/>
          <w:marTop w:val="0"/>
          <w:marBottom w:val="0"/>
          <w:divBdr>
            <w:top w:val="none" w:sz="0" w:space="0" w:color="auto"/>
            <w:left w:val="none" w:sz="0" w:space="0" w:color="auto"/>
            <w:bottom w:val="none" w:sz="0" w:space="0" w:color="auto"/>
            <w:right w:val="none" w:sz="0" w:space="0" w:color="auto"/>
          </w:divBdr>
        </w:div>
        <w:div w:id="152660273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https://rainbow-europe.org/annual-review" TargetMode="External"/><Relationship Id="rId21" Type="http://schemas.openxmlformats.org/officeDocument/2006/relationships/footer" Target="footer6.xml"/><Relationship Id="rId34" Type="http://schemas.openxmlformats.org/officeDocument/2006/relationships/image" Target="media/image9.jpe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footer" Target="footer7.xml"/><Relationship Id="rId33" Type="http://schemas.openxmlformats.org/officeDocument/2006/relationships/footer" Target="footer1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curia.europa.eu/juris/document/document.jsf?text=&amp;docid=262081&amp;pageIndex=0&amp;doclang=en&amp;mode=lst&amp;dir=&amp;occ=first&amp;part=1&amp;cid=524337" TargetMode="External"/><Relationship Id="rId32" Type="http://schemas.openxmlformats.org/officeDocument/2006/relationships/footer" Target="footer11.xml"/><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hyperlink" Target="https://rainbow-europe.org/annual-review" TargetMode="External"/><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ilga-europe.org/report/rainbow-europe-2023/" TargetMode="Externa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footer" Target="footer8.xml"/><Relationship Id="rId30" Type="http://schemas.openxmlformats.org/officeDocument/2006/relationships/footer" Target="footer10.xml"/><Relationship Id="rId35" Type="http://schemas.openxmlformats.org/officeDocument/2006/relationships/footer" Target="footer13.xml"/><Relationship Id="rId8" Type="http://schemas.openxmlformats.org/officeDocument/2006/relationships/settings" Target="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hudoc.echr.coe.int/eng" TargetMode="External"/><Relationship Id="rId13" Type="http://schemas.openxmlformats.org/officeDocument/2006/relationships/hyperlink" Target="https://hudoc.echr.coe.int/eng" TargetMode="External"/><Relationship Id="rId18" Type="http://schemas.openxmlformats.org/officeDocument/2006/relationships/hyperlink" Target="http://rainbow-europe.org/about" TargetMode="External"/><Relationship Id="rId26" Type="http://schemas.openxmlformats.org/officeDocument/2006/relationships/hyperlink" Target="https://www.europarl.europa.eu/cmsdata/257913/IPOL_STU(2021)671505_EN.pdf" TargetMode="External"/><Relationship Id="rId3" Type="http://schemas.openxmlformats.org/officeDocument/2006/relationships/hyperlink" Target="https://eur-lex.europa.eu/legal-content/EN/TXT/?uri=celex%3A52022PC0695" TargetMode="External"/><Relationship Id="rId21" Type="http://schemas.openxmlformats.org/officeDocument/2006/relationships/hyperlink" Target="http://rainbow-europe.org/annual-review" TargetMode="External"/><Relationship Id="rId7" Type="http://schemas.openxmlformats.org/officeDocument/2006/relationships/hyperlink" Target="https://hudoc.echr.coe.int/eng" TargetMode="External"/><Relationship Id="rId12" Type="http://schemas.openxmlformats.org/officeDocument/2006/relationships/hyperlink" Target="https://hudoc.echr.coe.int/eng" TargetMode="External"/><Relationship Id="rId17" Type="http://schemas.openxmlformats.org/officeDocument/2006/relationships/hyperlink" Target="https://hudoc.echr.coe.int/eng" TargetMode="External"/><Relationship Id="rId25" Type="http://schemas.openxmlformats.org/officeDocument/2006/relationships/hyperlink" Target="http://rainbow-europe.org/annual-review" TargetMode="External"/><Relationship Id="rId2" Type="http://schemas.openxmlformats.org/officeDocument/2006/relationships/hyperlink" Target="https://eur-lex.europa.eu/legal-content/EN/TXT/?uri=celex%3A52022PC0695" TargetMode="External"/><Relationship Id="rId16" Type="http://schemas.openxmlformats.org/officeDocument/2006/relationships/hyperlink" Target="https://hudoc.echr.coe.int/eng" TargetMode="External"/><Relationship Id="rId20" Type="http://schemas.openxmlformats.org/officeDocument/2006/relationships/hyperlink" Target="http://rainbow-europe.org/country-ranking" TargetMode="External"/><Relationship Id="rId1" Type="http://schemas.openxmlformats.org/officeDocument/2006/relationships/hyperlink" Target="https://www.bing.com/ck/a?!&amp;&amp;p=8fa6ec9679debd41JmltdHM9MTY3ODU3OTIwMCZpZ3VpZD0wNDhiOWVmOC02ZGE2LTZjMjctMDhlZC04Yzk1NmM5MTZkZDImaW5zaWQ9NTE2NA&amp;ptn=3&amp;hsh=3&amp;fclid=048b9ef8-6da6-6c27-08ed-8c956c916dd2&amp;psq=eu+guidelines+on+free+movement+2009&amp;u=a1aHR0cHM6Ly9lYy5ldXJvcGEuZXUvY29tbWlzc2lvbi9wcmVzc2Nvcm5lci9hcGkvZmlsZXMvZG9jdW1lbnQvcHJpbnQvZW4vbWVtb18wOV8zMTEvTUVNT18wOV8zMTFfRU4ucGRm&amp;ntb=1" TargetMode="External"/><Relationship Id="rId6" Type="http://schemas.openxmlformats.org/officeDocument/2006/relationships/hyperlink" Target="https://hudoc.echr.coe.int/eng" TargetMode="External"/><Relationship Id="rId11" Type="http://schemas.openxmlformats.org/officeDocument/2006/relationships/hyperlink" Target="https://hudoc.echr.coe.int/eng" TargetMode="External"/><Relationship Id="rId24" Type="http://schemas.openxmlformats.org/officeDocument/2006/relationships/hyperlink" Target="https://hudoc.echr.coe.int/eng" TargetMode="External"/><Relationship Id="rId5" Type="http://schemas.openxmlformats.org/officeDocument/2006/relationships/hyperlink" Target="https://search.coe.int/cm/Pages/result_details.aspx?ObjectId=09000016809f9ba0" TargetMode="External"/><Relationship Id="rId15" Type="http://schemas.openxmlformats.org/officeDocument/2006/relationships/hyperlink" Target="https://hudoc.echr.coe.int/eng" TargetMode="External"/><Relationship Id="rId23" Type="http://schemas.openxmlformats.org/officeDocument/2006/relationships/hyperlink" Target="https://hudoc.echr.coe.int/eng" TargetMode="External"/><Relationship Id="rId10" Type="http://schemas.openxmlformats.org/officeDocument/2006/relationships/hyperlink" Target="https://hudoc.echr.coe.int/fre" TargetMode="External"/><Relationship Id="rId19" Type="http://schemas.openxmlformats.org/officeDocument/2006/relationships/hyperlink" Target="http://rainbow-europe.org/about" TargetMode="External"/><Relationship Id="rId4" Type="http://schemas.openxmlformats.org/officeDocument/2006/relationships/hyperlink" Target="https://search.coe.int/cm/Pages/result_details.aspx?ObjectID=09000016805cf40a" TargetMode="External"/><Relationship Id="rId9" Type="http://schemas.openxmlformats.org/officeDocument/2006/relationships/hyperlink" Target="https://hudoc.echr.coe.int/eng" TargetMode="External"/><Relationship Id="rId14" Type="http://schemas.openxmlformats.org/officeDocument/2006/relationships/hyperlink" Target="https://hudoc.echr.coe.int/eng" TargetMode="External"/><Relationship Id="rId22" Type="http://schemas.openxmlformats.org/officeDocument/2006/relationships/hyperlink" Target="https://hudoc.echr.coe.int/en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le\Downloads\003_ISBN%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036AF12B7E34A65A53073C66C88CD3F"/>
        <w:category>
          <w:name w:val="General"/>
          <w:gallery w:val="placeholder"/>
        </w:category>
        <w:types>
          <w:type w:val="bbPlcHdr"/>
        </w:types>
        <w:behaviors>
          <w:behavior w:val="content"/>
        </w:behaviors>
        <w:guid w:val="{D39E5893-0AE8-41A2-853D-32D537F3A338}"/>
      </w:docPartPr>
      <w:docPartBody>
        <w:p w:rsidR="00910529" w:rsidRDefault="00910529" w:rsidP="00910529">
          <w:pPr>
            <w:pStyle w:val="4036AF12B7E34A65A53073C66C88CD3F"/>
          </w:pPr>
          <w:r w:rsidRPr="005C0653">
            <w:rPr>
              <w:rStyle w:val="Formfield"/>
              <w:lang w:val="de-DE"/>
            </w:rPr>
            <w:t>ENTER ISBN NUMBER</w:t>
          </w:r>
        </w:p>
      </w:docPartBody>
    </w:docPart>
    <w:docPart>
      <w:docPartPr>
        <w:name w:val="31519FB6E856416A9AD260683659433C"/>
        <w:category>
          <w:name w:val="General"/>
          <w:gallery w:val="placeholder"/>
        </w:category>
        <w:types>
          <w:type w:val="bbPlcHdr"/>
        </w:types>
        <w:behaviors>
          <w:behavior w:val="content"/>
        </w:behaviors>
        <w:guid w:val="{4CBC0A49-8605-4317-957B-3F17C4B9E4DB}"/>
      </w:docPartPr>
      <w:docPartBody>
        <w:p w:rsidR="00910529" w:rsidRDefault="00910529" w:rsidP="00910529">
          <w:pPr>
            <w:pStyle w:val="31519FB6E856416A9AD260683659433C"/>
          </w:pPr>
          <w:r w:rsidRPr="005C0653">
            <w:rPr>
              <w:rStyle w:val="Formfield"/>
            </w:rPr>
            <w:t>PUBLICATION YEAR</w:t>
          </w:r>
        </w:p>
      </w:docPartBody>
    </w:docPart>
    <w:docPart>
      <w:docPartPr>
        <w:name w:val="3D4F0BF7E3594845B5AC4B2922104654"/>
        <w:category>
          <w:name w:val="General"/>
          <w:gallery w:val="placeholder"/>
        </w:category>
        <w:types>
          <w:type w:val="bbPlcHdr"/>
        </w:types>
        <w:behaviors>
          <w:behavior w:val="content"/>
        </w:behaviors>
        <w:guid w:val="{5737E46E-EAE9-4551-A670-DD71A4A4B297}"/>
      </w:docPartPr>
      <w:docPartBody>
        <w:p w:rsidR="00910529" w:rsidRDefault="00910529" w:rsidP="00910529">
          <w:pPr>
            <w:pStyle w:val="3D4F0BF7E3594845B5AC4B2922104654"/>
          </w:pPr>
          <w:r w:rsidRPr="005C0653">
            <w:rPr>
              <w:rStyle w:val="Formfield"/>
              <w:rFonts w:eastAsia="Segoe UI"/>
            </w:rPr>
            <w:t xml:space="preserve">NAME OF </w:t>
          </w:r>
          <w:r w:rsidRPr="005C0653">
            <w:rPr>
              <w:rStyle w:val="Formfield"/>
            </w:rPr>
            <w:t>WORKING GROUP/CLUSTER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INPro-Bold">
    <w:panose1 w:val="02000503030000020004"/>
    <w:charset w:val="00"/>
    <w:family w:val="modern"/>
    <w:notTrueType/>
    <w:pitch w:val="variable"/>
    <w:sig w:usb0="800002AF" w:usb1="4000206A" w:usb2="00000000" w:usb3="00000000" w:csb0="0000009F" w:csb1="00000000"/>
  </w:font>
  <w:font w:name="DINPro-Regular">
    <w:panose1 w:val="02000503030000020004"/>
    <w:charset w:val="00"/>
    <w:family w:val="modern"/>
    <w:notTrueType/>
    <w:pitch w:val="variable"/>
    <w:sig w:usb0="800002AF" w:usb1="4000206A"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DINPro-Light">
    <w:panose1 w:val="02000504040000020003"/>
    <w:charset w:val="00"/>
    <w:family w:val="modern"/>
    <w:notTrueType/>
    <w:pitch w:val="variable"/>
    <w:sig w:usb0="800002AF" w:usb1="4000206A" w:usb2="00000000" w:usb3="00000000" w:csb0="0000009F" w:csb1="00000000"/>
  </w:font>
  <w:font w:name="DIN-LightItalicAlt">
    <w:panose1 w:val="00000000000000000000"/>
    <w:charset w:val="00"/>
    <w:family w:val="modern"/>
    <w:notTrueType/>
    <w:pitch w:val="variable"/>
    <w:sig w:usb0="A000002F" w:usb1="4000004A" w:usb2="00000000" w:usb3="00000000" w:csb0="00000111" w:csb1="00000000"/>
  </w:font>
  <w:font w:name="Yu Mincho">
    <w:charset w:val="80"/>
    <w:family w:val="roman"/>
    <w:pitch w:val="variable"/>
    <w:sig w:usb0="800002E7" w:usb1="2AC7FCFF" w:usb2="00000012" w:usb3="00000000" w:csb0="0002009F" w:csb1="00000000"/>
  </w:font>
  <w:font w:name="Roboto">
    <w:panose1 w:val="02000000000000000000"/>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42D"/>
    <w:rsid w:val="000548E8"/>
    <w:rsid w:val="00081420"/>
    <w:rsid w:val="00130903"/>
    <w:rsid w:val="00133805"/>
    <w:rsid w:val="0025750D"/>
    <w:rsid w:val="002E1BA9"/>
    <w:rsid w:val="004918D7"/>
    <w:rsid w:val="005542AE"/>
    <w:rsid w:val="005B056E"/>
    <w:rsid w:val="0075226E"/>
    <w:rsid w:val="007874D2"/>
    <w:rsid w:val="00910529"/>
    <w:rsid w:val="00952294"/>
    <w:rsid w:val="00BD242D"/>
    <w:rsid w:val="00C34EF0"/>
    <w:rsid w:val="00C8621C"/>
    <w:rsid w:val="00D54401"/>
    <w:rsid w:val="00E238E6"/>
    <w:rsid w:val="00EE4422"/>
    <w:rsid w:val="00FD3534"/>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rmfield">
    <w:name w:val="Form field"/>
    <w:basedOn w:val="DefaultParagraphFont"/>
    <w:uiPriority w:val="1"/>
    <w:qFormat/>
    <w:rsid w:val="00910529"/>
    <w:rPr>
      <w:rFonts w:asciiTheme="minorHAnsi" w:hAnsiTheme="minorHAnsi"/>
      <w:caps/>
      <w:smallCaps w:val="0"/>
      <w:color w:val="C00000"/>
    </w:rPr>
  </w:style>
  <w:style w:type="paragraph" w:customStyle="1" w:styleId="4036AF12B7E34A65A53073C66C88CD3F">
    <w:name w:val="4036AF12B7E34A65A53073C66C88CD3F"/>
    <w:rsid w:val="00910529"/>
    <w:rPr>
      <w:kern w:val="2"/>
      <w:lang w:val="en-US" w:eastAsia="en-US"/>
    </w:rPr>
  </w:style>
  <w:style w:type="paragraph" w:customStyle="1" w:styleId="31519FB6E856416A9AD260683659433C">
    <w:name w:val="31519FB6E856416A9AD260683659433C"/>
    <w:rsid w:val="00910529"/>
    <w:rPr>
      <w:kern w:val="2"/>
      <w:lang w:val="en-US" w:eastAsia="en-US"/>
    </w:rPr>
  </w:style>
  <w:style w:type="paragraph" w:customStyle="1" w:styleId="3D4F0BF7E3594845B5AC4B2922104654">
    <w:name w:val="3D4F0BF7E3594845B5AC4B2922104654"/>
    <w:rsid w:val="00910529"/>
    <w:rPr>
      <w:kern w:val="2"/>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fbf4851-1fe8-4378-a6d9-5967d98f316b" xsi:nil="true"/>
    <lcf76f155ced4ddcb4097134ff3c332f xmlns="5dcaf206-b009-4658-99e1-4d638e44d8f5">
      <Terms xmlns="http://schemas.microsoft.com/office/infopath/2007/PartnerControls"/>
    </lcf76f155ced4ddcb4097134ff3c332f>
    <URL xmlns="5dcaf206-b009-4658-99e1-4d638e44d8f5">
      <Url xsi:nil="true"/>
      <Description xsi:nil="true"/>
    </URL>
  </documentManagement>
</p:properties>
</file>

<file path=customXml/item3.xml>��< ? x m l   v e r s i o n = " 1 . 0 "   e n c o d i n g = " u t f - 1 6 " ? > < A r r a y O f D o c u m e n t L i n k   x m l n s : x s d = " h t t p : / / w w w . w 3 . o r g / 2 0 0 1 / X M L S c h e m a "   x m l n s : x s i = " h t t p : / / w w w . w 3 . o r g / 2 0 0 1 / X M L S c h e m a - i n s t a n c e " / > 
</file>

<file path=customXml/item4.xml><?xml version="1.0" encoding="utf-8"?>
<ct:contentTypeSchema xmlns:ct="http://schemas.microsoft.com/office/2006/metadata/contentType" xmlns:ma="http://schemas.microsoft.com/office/2006/metadata/properties/metaAttributes" ct:_="" ma:_="" ma:contentTypeName="Document" ma:contentTypeID="0x01010008820D3E3E695243A18602BCD7DE657A" ma:contentTypeVersion="19" ma:contentTypeDescription="Create a new document." ma:contentTypeScope="" ma:versionID="24c4f0fb971506cb32eded772314e1fc">
  <xsd:schema xmlns:xsd="http://www.w3.org/2001/XMLSchema" xmlns:xs="http://www.w3.org/2001/XMLSchema" xmlns:p="http://schemas.microsoft.com/office/2006/metadata/properties" xmlns:ns2="5dcaf206-b009-4658-99e1-4d638e44d8f5" xmlns:ns3="1fbf4851-1fe8-4378-a6d9-5967d98f316b" targetNamespace="http://schemas.microsoft.com/office/2006/metadata/properties" ma:root="true" ma:fieldsID="6de88571e738abf75a08d6972eb71fed" ns2:_="" ns3:_="">
    <xsd:import namespace="5dcaf206-b009-4658-99e1-4d638e44d8f5"/>
    <xsd:import namespace="1fbf4851-1fe8-4378-a6d9-5967d98f316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URL"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caf206-b009-4658-99e1-4d638e44d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URL" ma:index="20" nillable="true" ma:displayName="URL" ma:format="Hyperlink"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91b2610-8ca3-4954-baf1-f497d7f4fe9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fbf4851-1fe8-4378-a6d9-5967d98f316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a178bd2-4b36-41f2-9a25-ef564fee8ee7}" ma:internalName="TaxCatchAll" ma:showField="CatchAllData" ma:web="1fbf4851-1fe8-4378-a6d9-5967d98f31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1F6978-FD94-4C7A-9F0B-CC3FBF584AEA}">
  <ds:schemaRefs>
    <ds:schemaRef ds:uri="http://schemas.microsoft.com/sharepoint/v3/contenttype/forms"/>
  </ds:schemaRefs>
</ds:datastoreItem>
</file>

<file path=customXml/itemProps2.xml><?xml version="1.0" encoding="utf-8"?>
<ds:datastoreItem xmlns:ds="http://schemas.openxmlformats.org/officeDocument/2006/customXml" ds:itemID="{C5D72419-FB27-4174-9E58-C6A1575AE96F}">
  <ds:schemaRefs>
    <ds:schemaRef ds:uri="http://schemas.microsoft.com/office/2006/metadata/properties"/>
    <ds:schemaRef ds:uri="http://schemas.microsoft.com/office/infopath/2007/PartnerControls"/>
    <ds:schemaRef ds:uri="1fbf4851-1fe8-4378-a6d9-5967d98f316b"/>
    <ds:schemaRef ds:uri="5dcaf206-b009-4658-99e1-4d638e44d8f5"/>
  </ds:schemaRefs>
</ds:datastoreItem>
</file>

<file path=customXml/itemProps3.xml><?xml version="1.0" encoding="utf-8"?>
<ds:datastoreItem xmlns:ds="http://schemas.openxmlformats.org/officeDocument/2006/customXml" ds:itemID="{4AADE91F-1817-4A65-AC2A-2D922A084A27}">
  <ds:schemaRefs>
    <ds:schemaRef ds:uri="http://www.w3.org/2001/XMLSchema"/>
  </ds:schemaRefs>
</ds:datastoreItem>
</file>

<file path=customXml/itemProps4.xml><?xml version="1.0" encoding="utf-8"?>
<ds:datastoreItem xmlns:ds="http://schemas.openxmlformats.org/officeDocument/2006/customXml" ds:itemID="{0E75875A-98F6-4C63-A7C5-68B6574996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caf206-b009-4658-99e1-4d638e44d8f5"/>
    <ds:schemaRef ds:uri="1fbf4851-1fe8-4378-a6d9-5967d98f31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0E1EAD1-DFB7-4D56-961B-3872353AE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003_ISBN template</Template>
  <TotalTime>0</TotalTime>
  <Pages>40</Pages>
  <Words>10884</Words>
  <Characters>59211</Characters>
  <Application>Microsoft Office Word</Application>
  <DocSecurity>0</DocSecurity>
  <Lines>910</Lines>
  <Paragraphs>197</Paragraphs>
  <ScaleCrop>false</ScaleCrop>
  <Company/>
  <LinksUpToDate>false</LinksUpToDate>
  <CharactersWithSpaces>69898</CharactersWithSpaces>
  <SharedDoc>false</SharedDoc>
  <HLinks>
    <vt:vector size="288" baseType="variant">
      <vt:variant>
        <vt:i4>1245260</vt:i4>
      </vt:variant>
      <vt:variant>
        <vt:i4>126</vt:i4>
      </vt:variant>
      <vt:variant>
        <vt:i4>0</vt:i4>
      </vt:variant>
      <vt:variant>
        <vt:i4>5</vt:i4>
      </vt:variant>
      <vt:variant>
        <vt:lpwstr>https://rainbow-europe.org/annual-review</vt:lpwstr>
      </vt:variant>
      <vt:variant>
        <vt:lpwstr/>
      </vt:variant>
      <vt:variant>
        <vt:i4>1245260</vt:i4>
      </vt:variant>
      <vt:variant>
        <vt:i4>120</vt:i4>
      </vt:variant>
      <vt:variant>
        <vt:i4>0</vt:i4>
      </vt:variant>
      <vt:variant>
        <vt:i4>5</vt:i4>
      </vt:variant>
      <vt:variant>
        <vt:lpwstr>https://rainbow-europe.org/annual-review</vt:lpwstr>
      </vt:variant>
      <vt:variant>
        <vt:lpwstr/>
      </vt:variant>
      <vt:variant>
        <vt:i4>6815865</vt:i4>
      </vt:variant>
      <vt:variant>
        <vt:i4>117</vt:i4>
      </vt:variant>
      <vt:variant>
        <vt:i4>0</vt:i4>
      </vt:variant>
      <vt:variant>
        <vt:i4>5</vt:i4>
      </vt:variant>
      <vt:variant>
        <vt:lpwstr>https://www.ilga-europe.org/report/rainbow-europe-2023/</vt:lpwstr>
      </vt:variant>
      <vt:variant>
        <vt:lpwstr/>
      </vt:variant>
      <vt:variant>
        <vt:i4>1245247</vt:i4>
      </vt:variant>
      <vt:variant>
        <vt:i4>110</vt:i4>
      </vt:variant>
      <vt:variant>
        <vt:i4>0</vt:i4>
      </vt:variant>
      <vt:variant>
        <vt:i4>5</vt:i4>
      </vt:variant>
      <vt:variant>
        <vt:lpwstr/>
      </vt:variant>
      <vt:variant>
        <vt:lpwstr>_Toc157782143</vt:lpwstr>
      </vt:variant>
      <vt:variant>
        <vt:i4>1245247</vt:i4>
      </vt:variant>
      <vt:variant>
        <vt:i4>104</vt:i4>
      </vt:variant>
      <vt:variant>
        <vt:i4>0</vt:i4>
      </vt:variant>
      <vt:variant>
        <vt:i4>5</vt:i4>
      </vt:variant>
      <vt:variant>
        <vt:lpwstr/>
      </vt:variant>
      <vt:variant>
        <vt:lpwstr>_Toc157782142</vt:lpwstr>
      </vt:variant>
      <vt:variant>
        <vt:i4>1245247</vt:i4>
      </vt:variant>
      <vt:variant>
        <vt:i4>98</vt:i4>
      </vt:variant>
      <vt:variant>
        <vt:i4>0</vt:i4>
      </vt:variant>
      <vt:variant>
        <vt:i4>5</vt:i4>
      </vt:variant>
      <vt:variant>
        <vt:lpwstr/>
      </vt:variant>
      <vt:variant>
        <vt:lpwstr>_Toc157782141</vt:lpwstr>
      </vt:variant>
      <vt:variant>
        <vt:i4>1245247</vt:i4>
      </vt:variant>
      <vt:variant>
        <vt:i4>92</vt:i4>
      </vt:variant>
      <vt:variant>
        <vt:i4>0</vt:i4>
      </vt:variant>
      <vt:variant>
        <vt:i4>5</vt:i4>
      </vt:variant>
      <vt:variant>
        <vt:lpwstr/>
      </vt:variant>
      <vt:variant>
        <vt:lpwstr>_Toc157782140</vt:lpwstr>
      </vt:variant>
      <vt:variant>
        <vt:i4>1310783</vt:i4>
      </vt:variant>
      <vt:variant>
        <vt:i4>86</vt:i4>
      </vt:variant>
      <vt:variant>
        <vt:i4>0</vt:i4>
      </vt:variant>
      <vt:variant>
        <vt:i4>5</vt:i4>
      </vt:variant>
      <vt:variant>
        <vt:lpwstr/>
      </vt:variant>
      <vt:variant>
        <vt:lpwstr>_Toc157782139</vt:lpwstr>
      </vt:variant>
      <vt:variant>
        <vt:i4>1310783</vt:i4>
      </vt:variant>
      <vt:variant>
        <vt:i4>80</vt:i4>
      </vt:variant>
      <vt:variant>
        <vt:i4>0</vt:i4>
      </vt:variant>
      <vt:variant>
        <vt:i4>5</vt:i4>
      </vt:variant>
      <vt:variant>
        <vt:lpwstr/>
      </vt:variant>
      <vt:variant>
        <vt:lpwstr>_Toc157782138</vt:lpwstr>
      </vt:variant>
      <vt:variant>
        <vt:i4>1310783</vt:i4>
      </vt:variant>
      <vt:variant>
        <vt:i4>74</vt:i4>
      </vt:variant>
      <vt:variant>
        <vt:i4>0</vt:i4>
      </vt:variant>
      <vt:variant>
        <vt:i4>5</vt:i4>
      </vt:variant>
      <vt:variant>
        <vt:lpwstr/>
      </vt:variant>
      <vt:variant>
        <vt:lpwstr>_Toc157782137</vt:lpwstr>
      </vt:variant>
      <vt:variant>
        <vt:i4>1310783</vt:i4>
      </vt:variant>
      <vt:variant>
        <vt:i4>68</vt:i4>
      </vt:variant>
      <vt:variant>
        <vt:i4>0</vt:i4>
      </vt:variant>
      <vt:variant>
        <vt:i4>5</vt:i4>
      </vt:variant>
      <vt:variant>
        <vt:lpwstr/>
      </vt:variant>
      <vt:variant>
        <vt:lpwstr>_Toc157782136</vt:lpwstr>
      </vt:variant>
      <vt:variant>
        <vt:i4>1310783</vt:i4>
      </vt:variant>
      <vt:variant>
        <vt:i4>62</vt:i4>
      </vt:variant>
      <vt:variant>
        <vt:i4>0</vt:i4>
      </vt:variant>
      <vt:variant>
        <vt:i4>5</vt:i4>
      </vt:variant>
      <vt:variant>
        <vt:lpwstr/>
      </vt:variant>
      <vt:variant>
        <vt:lpwstr>_Toc157782135</vt:lpwstr>
      </vt:variant>
      <vt:variant>
        <vt:i4>1310783</vt:i4>
      </vt:variant>
      <vt:variant>
        <vt:i4>56</vt:i4>
      </vt:variant>
      <vt:variant>
        <vt:i4>0</vt:i4>
      </vt:variant>
      <vt:variant>
        <vt:i4>5</vt:i4>
      </vt:variant>
      <vt:variant>
        <vt:lpwstr/>
      </vt:variant>
      <vt:variant>
        <vt:lpwstr>_Toc157782134</vt:lpwstr>
      </vt:variant>
      <vt:variant>
        <vt:i4>1310783</vt:i4>
      </vt:variant>
      <vt:variant>
        <vt:i4>50</vt:i4>
      </vt:variant>
      <vt:variant>
        <vt:i4>0</vt:i4>
      </vt:variant>
      <vt:variant>
        <vt:i4>5</vt:i4>
      </vt:variant>
      <vt:variant>
        <vt:lpwstr/>
      </vt:variant>
      <vt:variant>
        <vt:lpwstr>_Toc157782133</vt:lpwstr>
      </vt:variant>
      <vt:variant>
        <vt:i4>1310783</vt:i4>
      </vt:variant>
      <vt:variant>
        <vt:i4>44</vt:i4>
      </vt:variant>
      <vt:variant>
        <vt:i4>0</vt:i4>
      </vt:variant>
      <vt:variant>
        <vt:i4>5</vt:i4>
      </vt:variant>
      <vt:variant>
        <vt:lpwstr/>
      </vt:variant>
      <vt:variant>
        <vt:lpwstr>_Toc157782132</vt:lpwstr>
      </vt:variant>
      <vt:variant>
        <vt:i4>1310783</vt:i4>
      </vt:variant>
      <vt:variant>
        <vt:i4>38</vt:i4>
      </vt:variant>
      <vt:variant>
        <vt:i4>0</vt:i4>
      </vt:variant>
      <vt:variant>
        <vt:i4>5</vt:i4>
      </vt:variant>
      <vt:variant>
        <vt:lpwstr/>
      </vt:variant>
      <vt:variant>
        <vt:lpwstr>_Toc157782131</vt:lpwstr>
      </vt:variant>
      <vt:variant>
        <vt:i4>1310783</vt:i4>
      </vt:variant>
      <vt:variant>
        <vt:i4>32</vt:i4>
      </vt:variant>
      <vt:variant>
        <vt:i4>0</vt:i4>
      </vt:variant>
      <vt:variant>
        <vt:i4>5</vt:i4>
      </vt:variant>
      <vt:variant>
        <vt:lpwstr/>
      </vt:variant>
      <vt:variant>
        <vt:lpwstr>_Toc157782130</vt:lpwstr>
      </vt:variant>
      <vt:variant>
        <vt:i4>1376319</vt:i4>
      </vt:variant>
      <vt:variant>
        <vt:i4>26</vt:i4>
      </vt:variant>
      <vt:variant>
        <vt:i4>0</vt:i4>
      </vt:variant>
      <vt:variant>
        <vt:i4>5</vt:i4>
      </vt:variant>
      <vt:variant>
        <vt:lpwstr/>
      </vt:variant>
      <vt:variant>
        <vt:lpwstr>_Toc157782129</vt:lpwstr>
      </vt:variant>
      <vt:variant>
        <vt:i4>1376319</vt:i4>
      </vt:variant>
      <vt:variant>
        <vt:i4>20</vt:i4>
      </vt:variant>
      <vt:variant>
        <vt:i4>0</vt:i4>
      </vt:variant>
      <vt:variant>
        <vt:i4>5</vt:i4>
      </vt:variant>
      <vt:variant>
        <vt:lpwstr/>
      </vt:variant>
      <vt:variant>
        <vt:lpwstr>_Toc157782128</vt:lpwstr>
      </vt:variant>
      <vt:variant>
        <vt:i4>1376319</vt:i4>
      </vt:variant>
      <vt:variant>
        <vt:i4>14</vt:i4>
      </vt:variant>
      <vt:variant>
        <vt:i4>0</vt:i4>
      </vt:variant>
      <vt:variant>
        <vt:i4>5</vt:i4>
      </vt:variant>
      <vt:variant>
        <vt:lpwstr/>
      </vt:variant>
      <vt:variant>
        <vt:lpwstr>_Toc157782127</vt:lpwstr>
      </vt:variant>
      <vt:variant>
        <vt:i4>1376319</vt:i4>
      </vt:variant>
      <vt:variant>
        <vt:i4>8</vt:i4>
      </vt:variant>
      <vt:variant>
        <vt:i4>0</vt:i4>
      </vt:variant>
      <vt:variant>
        <vt:i4>5</vt:i4>
      </vt:variant>
      <vt:variant>
        <vt:lpwstr/>
      </vt:variant>
      <vt:variant>
        <vt:lpwstr>_Toc157782126</vt:lpwstr>
      </vt:variant>
      <vt:variant>
        <vt:i4>1376319</vt:i4>
      </vt:variant>
      <vt:variant>
        <vt:i4>2</vt:i4>
      </vt:variant>
      <vt:variant>
        <vt:i4>0</vt:i4>
      </vt:variant>
      <vt:variant>
        <vt:i4>5</vt:i4>
      </vt:variant>
      <vt:variant>
        <vt:lpwstr/>
      </vt:variant>
      <vt:variant>
        <vt:lpwstr>_Toc157782125</vt:lpwstr>
      </vt:variant>
      <vt:variant>
        <vt:i4>4390997</vt:i4>
      </vt:variant>
      <vt:variant>
        <vt:i4>75</vt:i4>
      </vt:variant>
      <vt:variant>
        <vt:i4>0</vt:i4>
      </vt:variant>
      <vt:variant>
        <vt:i4>5</vt:i4>
      </vt:variant>
      <vt:variant>
        <vt:lpwstr>https://www.europarl.europa.eu/cmsdata/257913/IPOL_STU(2021)671505_EN.pdf</vt:lpwstr>
      </vt:variant>
      <vt:variant>
        <vt:lpwstr/>
      </vt:variant>
      <vt:variant>
        <vt:i4>2556028</vt:i4>
      </vt:variant>
      <vt:variant>
        <vt:i4>72</vt:i4>
      </vt:variant>
      <vt:variant>
        <vt:i4>0</vt:i4>
      </vt:variant>
      <vt:variant>
        <vt:i4>5</vt:i4>
      </vt:variant>
      <vt:variant>
        <vt:lpwstr>http://rainbow-europe.org/annual-review</vt:lpwstr>
      </vt:variant>
      <vt:variant>
        <vt:lpwstr/>
      </vt:variant>
      <vt:variant>
        <vt:i4>1376284</vt:i4>
      </vt:variant>
      <vt:variant>
        <vt:i4>69</vt:i4>
      </vt:variant>
      <vt:variant>
        <vt:i4>0</vt:i4>
      </vt:variant>
      <vt:variant>
        <vt:i4>5</vt:i4>
      </vt:variant>
      <vt:variant>
        <vt:lpwstr>https://hudoc.echr.coe.int/eng</vt:lpwstr>
      </vt:variant>
      <vt:variant>
        <vt:lpwstr>{%22itemid%22:[%22001-211799%22]}</vt:lpwstr>
      </vt:variant>
      <vt:variant>
        <vt:i4>1245271</vt:i4>
      </vt:variant>
      <vt:variant>
        <vt:i4>66</vt:i4>
      </vt:variant>
      <vt:variant>
        <vt:i4>0</vt:i4>
      </vt:variant>
      <vt:variant>
        <vt:i4>5</vt:i4>
      </vt:variant>
      <vt:variant>
        <vt:lpwstr>https://hudoc.echr.coe.int/eng</vt:lpwstr>
      </vt:variant>
      <vt:variant>
        <vt:lpwstr>{%22fulltext%22:[%22%22CASE%20OF%20FEDOTOVA%20AND%20OTHERS%20v.%20RUSSIA%22%22],%22documentcollectionid2%22:[%22GRANDCHAMBER%22,%22CHAMBER%22],%22itemid%22:[%22001-222750%22]}</vt:lpwstr>
      </vt:variant>
      <vt:variant>
        <vt:i4>1769491</vt:i4>
      </vt:variant>
      <vt:variant>
        <vt:i4>63</vt:i4>
      </vt:variant>
      <vt:variant>
        <vt:i4>0</vt:i4>
      </vt:variant>
      <vt:variant>
        <vt:i4>5</vt:i4>
      </vt:variant>
      <vt:variant>
        <vt:lpwstr>https://hudoc.echr.coe.int/eng</vt:lpwstr>
      </vt:variant>
      <vt:variant>
        <vt:lpwstr>{%22itemid%22:[%22001-210878%22]}</vt:lpwstr>
      </vt:variant>
      <vt:variant>
        <vt:i4>2556028</vt:i4>
      </vt:variant>
      <vt:variant>
        <vt:i4>60</vt:i4>
      </vt:variant>
      <vt:variant>
        <vt:i4>0</vt:i4>
      </vt:variant>
      <vt:variant>
        <vt:i4>5</vt:i4>
      </vt:variant>
      <vt:variant>
        <vt:lpwstr>http://rainbow-europe.org/annual-review</vt:lpwstr>
      </vt:variant>
      <vt:variant>
        <vt:lpwstr/>
      </vt:variant>
      <vt:variant>
        <vt:i4>720989</vt:i4>
      </vt:variant>
      <vt:variant>
        <vt:i4>57</vt:i4>
      </vt:variant>
      <vt:variant>
        <vt:i4>0</vt:i4>
      </vt:variant>
      <vt:variant>
        <vt:i4>5</vt:i4>
      </vt:variant>
      <vt:variant>
        <vt:lpwstr>http://rainbow-europe.org/country-ranking</vt:lpwstr>
      </vt:variant>
      <vt:variant>
        <vt:lpwstr/>
      </vt:variant>
      <vt:variant>
        <vt:i4>2490429</vt:i4>
      </vt:variant>
      <vt:variant>
        <vt:i4>54</vt:i4>
      </vt:variant>
      <vt:variant>
        <vt:i4>0</vt:i4>
      </vt:variant>
      <vt:variant>
        <vt:i4>5</vt:i4>
      </vt:variant>
      <vt:variant>
        <vt:lpwstr>http://rainbow-europe.org/about</vt:lpwstr>
      </vt:variant>
      <vt:variant>
        <vt:lpwstr/>
      </vt:variant>
      <vt:variant>
        <vt:i4>2490429</vt:i4>
      </vt:variant>
      <vt:variant>
        <vt:i4>51</vt:i4>
      </vt:variant>
      <vt:variant>
        <vt:i4>0</vt:i4>
      </vt:variant>
      <vt:variant>
        <vt:i4>5</vt:i4>
      </vt:variant>
      <vt:variant>
        <vt:lpwstr>http://rainbow-europe.org/about</vt:lpwstr>
      </vt:variant>
      <vt:variant>
        <vt:lpwstr/>
      </vt:variant>
      <vt:variant>
        <vt:i4>1114132</vt:i4>
      </vt:variant>
      <vt:variant>
        <vt:i4>48</vt:i4>
      </vt:variant>
      <vt:variant>
        <vt:i4>0</vt:i4>
      </vt:variant>
      <vt:variant>
        <vt:i4>5</vt:i4>
      </vt:variant>
      <vt:variant>
        <vt:lpwstr>https://hudoc.echr.coe.int/eng</vt:lpwstr>
      </vt:variant>
      <vt:variant>
        <vt:lpwstr>{%22itemid%22:[%22001-145768%22]}</vt:lpwstr>
      </vt:variant>
      <vt:variant>
        <vt:i4>1048594</vt:i4>
      </vt:variant>
      <vt:variant>
        <vt:i4>45</vt:i4>
      </vt:variant>
      <vt:variant>
        <vt:i4>0</vt:i4>
      </vt:variant>
      <vt:variant>
        <vt:i4>5</vt:i4>
      </vt:variant>
      <vt:variant>
        <vt:lpwstr>https://hudoc.echr.coe.int/eng</vt:lpwstr>
      </vt:variant>
      <vt:variant>
        <vt:lpwstr>{%22itemid%22:[%22001-101943%22]}</vt:lpwstr>
      </vt:variant>
      <vt:variant>
        <vt:i4>1769491</vt:i4>
      </vt:variant>
      <vt:variant>
        <vt:i4>42</vt:i4>
      </vt:variant>
      <vt:variant>
        <vt:i4>0</vt:i4>
      </vt:variant>
      <vt:variant>
        <vt:i4>5</vt:i4>
      </vt:variant>
      <vt:variant>
        <vt:lpwstr>https://hudoc.echr.coe.int/eng</vt:lpwstr>
      </vt:variant>
      <vt:variant>
        <vt:lpwstr>{%22itemid%22:[%22001-210878%22]}</vt:lpwstr>
      </vt:variant>
      <vt:variant>
        <vt:i4>917590</vt:i4>
      </vt:variant>
      <vt:variant>
        <vt:i4>39</vt:i4>
      </vt:variant>
      <vt:variant>
        <vt:i4>0</vt:i4>
      </vt:variant>
      <vt:variant>
        <vt:i4>5</vt:i4>
      </vt:variant>
      <vt:variant>
        <vt:lpwstr>https://hudoc.echr.coe.int/eng</vt:lpwstr>
      </vt:variant>
      <vt:variant>
        <vt:lpwstr>{%22fulltext%22:[%2230806/15%22],%22documentcollectionid2%22:[%22GRANDCHAMBER%22,%22CHAMBER%22,%22COMMUNICATEDCASES%22],%22itemid%22:[%22001-192049%22]}</vt:lpwstr>
      </vt:variant>
      <vt:variant>
        <vt:i4>524380</vt:i4>
      </vt:variant>
      <vt:variant>
        <vt:i4>36</vt:i4>
      </vt:variant>
      <vt:variant>
        <vt:i4>0</vt:i4>
      </vt:variant>
      <vt:variant>
        <vt:i4>5</vt:i4>
      </vt:variant>
      <vt:variant>
        <vt:lpwstr>https://hudoc.echr.coe.int/eng</vt:lpwstr>
      </vt:variant>
      <vt:variant>
        <vt:lpwstr>{%22itemid%22:[%22003-6380464-8364383%22]}</vt:lpwstr>
      </vt:variant>
      <vt:variant>
        <vt:i4>3473512</vt:i4>
      </vt:variant>
      <vt:variant>
        <vt:i4>33</vt:i4>
      </vt:variant>
      <vt:variant>
        <vt:i4>0</vt:i4>
      </vt:variant>
      <vt:variant>
        <vt:i4>5</vt:i4>
      </vt:variant>
      <vt:variant>
        <vt:lpwstr>https://hudoc.echr.coe.int/eng</vt:lpwstr>
      </vt:variant>
      <vt:variant>
        <vt:lpwstr>{%22languageisocode%22:[%22FRE%22],%22appno%22:[%2211288/18%22],%22documentcollectionid2%22:[%22CHAMBER%22],%22itemid%22:[%22001-203565%22]}</vt:lpwstr>
      </vt:variant>
      <vt:variant>
        <vt:i4>6553724</vt:i4>
      </vt:variant>
      <vt:variant>
        <vt:i4>30</vt:i4>
      </vt:variant>
      <vt:variant>
        <vt:i4>0</vt:i4>
      </vt:variant>
      <vt:variant>
        <vt:i4>5</vt:i4>
      </vt:variant>
      <vt:variant>
        <vt:lpwstr>https://hudoc.echr.coe.int/eng</vt:lpwstr>
      </vt:variant>
      <vt:variant>
        <vt:lpwstr>{%22fulltext%22:[%22mennesson%22],%22documentcollectionid2%22:[%22GRANDCHAMBER%22,%22CHAMBER%22],%22itemid%22:[%22001-145389%22]}</vt:lpwstr>
      </vt:variant>
      <vt:variant>
        <vt:i4>2949233</vt:i4>
      </vt:variant>
      <vt:variant>
        <vt:i4>27</vt:i4>
      </vt:variant>
      <vt:variant>
        <vt:i4>0</vt:i4>
      </vt:variant>
      <vt:variant>
        <vt:i4>5</vt:i4>
      </vt:variant>
      <vt:variant>
        <vt:lpwstr>https://hudoc.echr.coe.int/fre</vt:lpwstr>
      </vt:variant>
      <vt:variant>
        <vt:lpwstr>{%22itemid%22:[%22001-81328%22]}</vt:lpwstr>
      </vt:variant>
      <vt:variant>
        <vt:i4>6094920</vt:i4>
      </vt:variant>
      <vt:variant>
        <vt:i4>24</vt:i4>
      </vt:variant>
      <vt:variant>
        <vt:i4>0</vt:i4>
      </vt:variant>
      <vt:variant>
        <vt:i4>5</vt:i4>
      </vt:variant>
      <vt:variant>
        <vt:lpwstr>https://hudoc.echr.coe.int/eng</vt:lpwstr>
      </vt:variant>
      <vt:variant>
        <vt:lpwstr>{%22languageisocode%22:[%22ENG%22],%22respondent%22:[%22HRV%22],%22article%22:[%228%22,%2214%22],%22documentcollectionid2%22:[%22GRANDCHAMBER%22,%22CHAMBER%22],%22itemid%22:[%22001-161061%22]}</vt:lpwstr>
      </vt:variant>
      <vt:variant>
        <vt:i4>5832797</vt:i4>
      </vt:variant>
      <vt:variant>
        <vt:i4>21</vt:i4>
      </vt:variant>
      <vt:variant>
        <vt:i4>0</vt:i4>
      </vt:variant>
      <vt:variant>
        <vt:i4>5</vt:i4>
      </vt:variant>
      <vt:variant>
        <vt:lpwstr>https://hudoc.echr.coe.int/eng</vt:lpwstr>
      </vt:variant>
      <vt:variant>
        <vt:lpwstr>{%22languageisocode%22:[%22ENG%22],%22respondent%22:[%22ITA%22],%22article%22:[%228%22,%2214%22],%22documentcollectionid2%22:[%22GRANDCHAMBER%22,%22CHAMBER%22],%22itemid%22:[%22001-164715%22]}</vt:lpwstr>
      </vt:variant>
      <vt:variant>
        <vt:i4>2031642</vt:i4>
      </vt:variant>
      <vt:variant>
        <vt:i4>18</vt:i4>
      </vt:variant>
      <vt:variant>
        <vt:i4>0</vt:i4>
      </vt:variant>
      <vt:variant>
        <vt:i4>5</vt:i4>
      </vt:variant>
      <vt:variant>
        <vt:lpwstr>https://hudoc.echr.coe.int/eng</vt:lpwstr>
      </vt:variant>
      <vt:variant>
        <vt:lpwstr>{%22itemid%22:[%22001-179547%22]}</vt:lpwstr>
      </vt:variant>
      <vt:variant>
        <vt:i4>1572887</vt:i4>
      </vt:variant>
      <vt:variant>
        <vt:i4>15</vt:i4>
      </vt:variant>
      <vt:variant>
        <vt:i4>0</vt:i4>
      </vt:variant>
      <vt:variant>
        <vt:i4>5</vt:i4>
      </vt:variant>
      <vt:variant>
        <vt:lpwstr>https://hudoc.echr.coe.int/eng</vt:lpwstr>
      </vt:variant>
      <vt:variant>
        <vt:lpwstr>{%22itemid%22:[%22001-156265%22]}</vt:lpwstr>
      </vt:variant>
      <vt:variant>
        <vt:i4>589917</vt:i4>
      </vt:variant>
      <vt:variant>
        <vt:i4>12</vt:i4>
      </vt:variant>
      <vt:variant>
        <vt:i4>0</vt:i4>
      </vt:variant>
      <vt:variant>
        <vt:i4>5</vt:i4>
      </vt:variant>
      <vt:variant>
        <vt:lpwstr>https://search.coe.int/cm/Pages/result_details.aspx?ObjectId=09000016809f9ba0</vt:lpwstr>
      </vt:variant>
      <vt:variant>
        <vt:lpwstr>_Toc27649606</vt:lpwstr>
      </vt:variant>
      <vt:variant>
        <vt:i4>2031667</vt:i4>
      </vt:variant>
      <vt:variant>
        <vt:i4>9</vt:i4>
      </vt:variant>
      <vt:variant>
        <vt:i4>0</vt:i4>
      </vt:variant>
      <vt:variant>
        <vt:i4>5</vt:i4>
      </vt:variant>
      <vt:variant>
        <vt:lpwstr>https://search.coe.int/cm/Pages/result_details.aspx?ObjectID=09000016805cf40a</vt:lpwstr>
      </vt:variant>
      <vt:variant>
        <vt:lpwstr/>
      </vt:variant>
      <vt:variant>
        <vt:i4>7798898</vt:i4>
      </vt:variant>
      <vt:variant>
        <vt:i4>6</vt:i4>
      </vt:variant>
      <vt:variant>
        <vt:i4>0</vt:i4>
      </vt:variant>
      <vt:variant>
        <vt:i4>5</vt:i4>
      </vt:variant>
      <vt:variant>
        <vt:lpwstr>https://commission.europa.eu/system/files/2022-12/com_2022_695_1_en_act_part1.pdf</vt:lpwstr>
      </vt:variant>
      <vt:variant>
        <vt:lpwstr/>
      </vt:variant>
      <vt:variant>
        <vt:i4>7798898</vt:i4>
      </vt:variant>
      <vt:variant>
        <vt:i4>3</vt:i4>
      </vt:variant>
      <vt:variant>
        <vt:i4>0</vt:i4>
      </vt:variant>
      <vt:variant>
        <vt:i4>5</vt:i4>
      </vt:variant>
      <vt:variant>
        <vt:lpwstr>https://commission.europa.eu/system/files/2022-12/com_2022_695_1_en_act_part1.pdf</vt:lpwstr>
      </vt:variant>
      <vt:variant>
        <vt:lpwstr/>
      </vt:variant>
      <vt:variant>
        <vt:i4>8192109</vt:i4>
      </vt:variant>
      <vt:variant>
        <vt:i4>0</vt:i4>
      </vt:variant>
      <vt:variant>
        <vt:i4>0</vt:i4>
      </vt:variant>
      <vt:variant>
        <vt:i4>5</vt:i4>
      </vt:variant>
      <vt:variant>
        <vt:lpwstr>https://www.bing.com/ck/a?!&amp;&amp;p=8fa6ec9679debd41JmltdHM9MTY3ODU3OTIwMCZpZ3VpZD0wNDhiOWVmOC02ZGE2LTZjMjctMDhlZC04Yzk1NmM5MTZkZDImaW5zaWQ9NTE2NA&amp;ptn=3&amp;hsh=3&amp;fclid=048b9ef8-6da6-6c27-08ed-8c956c916dd2&amp;psq=eu+guidelines+on+free+movement+2009&amp;u=a1aHR0cHM6Ly9lYy5ldXJvcGEuZXUvY29tbWlzc2lvbi9wcmVzc2Nvcm5lci9hcGkvZmlsZXMvZG9jdW1lbnQvcHJpbnQvZW4vbWVtb18wOV8zMTEvTUVNT18wOV8zMTFfRU4ucGRm&amp;ntb=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Daris Lewis Recio</dc:creator>
  <cp:keywords/>
  <dc:description/>
  <cp:lastModifiedBy>Chiara d'Agni</cp:lastModifiedBy>
  <cp:revision>298</cp:revision>
  <cp:lastPrinted>2024-02-09T16:24:00Z</cp:lastPrinted>
  <dcterms:created xsi:type="dcterms:W3CDTF">2024-01-25T15:30:00Z</dcterms:created>
  <dcterms:modified xsi:type="dcterms:W3CDTF">2024-02-09T16:24:00Z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0x01010008820D3E3E695243A18602BCD7DE657A</vt:lpwstr>
  </property>
  <property fmtid="{D5CDD505-2E9C-101B-9397-08002B2CF9AE}" pid="3" name="MediaServiceImageTags">
    <vt:lpwstr/>
  </property>
  <property fmtid="{D5CDD505-2E9C-101B-9397-08002B2CF9AE}" pid="4" name="GrammarlyDocumentId">
    <vt:lpwstr>da217047f1318a9a330c44f6dac00cd5b6f3aa3a17d1f97d49898a2e4167225e</vt:lpwstr>
  </property>
</Properties>
</file>