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8DDE1" w14:textId="1C910584" w:rsidR="00461C21" w:rsidRDefault="003A20FC" w:rsidP="00194455">
      <w:pPr>
        <w:pStyle w:val="NoSpacing"/>
        <w:spacing w:line="276" w:lineRule="auto"/>
        <w:jc w:val="right"/>
        <w:rPr>
          <w:b/>
          <w:noProof/>
          <w:sz w:val="28"/>
          <w:u w:val="single"/>
          <w:lang w:val="en-GB"/>
        </w:rPr>
      </w:pPr>
      <w:r w:rsidRPr="007F5005">
        <w:rPr>
          <w:noProof/>
          <w:lang w:eastAsia="fr-BE"/>
        </w:rPr>
        <w:drawing>
          <wp:anchor distT="0" distB="0" distL="114300" distR="114300" simplePos="0" relativeHeight="251656704" behindDoc="0" locked="0" layoutInCell="1" allowOverlap="1" wp14:anchorId="506C6519" wp14:editId="7E3508B7">
            <wp:simplePos x="0" y="0"/>
            <wp:positionH relativeFrom="margin">
              <wp:posOffset>-471170</wp:posOffset>
            </wp:positionH>
            <wp:positionV relativeFrom="margin">
              <wp:posOffset>-575945</wp:posOffset>
            </wp:positionV>
            <wp:extent cx="3239135" cy="1028700"/>
            <wp:effectExtent l="0" t="0" r="0" b="0"/>
            <wp:wrapSquare wrapText="bothSides"/>
            <wp:docPr id="4" name="Picture 4" descr="K:\Communications\Logos\EQUINET LOGO\10th Anniversary\Equinet 10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ons\Logos\EQUINET LOGO\10th Anniversary\Equinet 10t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913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8D6383" w14:textId="77777777" w:rsidR="00194455" w:rsidRPr="001D2178" w:rsidRDefault="00194455" w:rsidP="00194455">
      <w:pPr>
        <w:pStyle w:val="NoSpacing"/>
        <w:spacing w:line="276" w:lineRule="auto"/>
        <w:jc w:val="right"/>
        <w:rPr>
          <w:b/>
          <w:noProof/>
          <w:sz w:val="28"/>
          <w:u w:val="single"/>
          <w:lang w:val="en-GB"/>
        </w:rPr>
      </w:pPr>
    </w:p>
    <w:p w14:paraId="22B05FBE" w14:textId="4AB5CF0D" w:rsidR="004A74B9" w:rsidRPr="001D2178" w:rsidRDefault="003A20FC" w:rsidP="00C505FC">
      <w:pPr>
        <w:shd w:val="clear" w:color="auto" w:fill="FFFFFF" w:themeFill="background1"/>
        <w:spacing w:line="276" w:lineRule="auto"/>
        <w:jc w:val="center"/>
        <w:rPr>
          <w:b/>
          <w:sz w:val="36"/>
        </w:rPr>
      </w:pPr>
      <w:r w:rsidRPr="001D2178">
        <w:rPr>
          <w:b/>
          <w:sz w:val="36"/>
        </w:rPr>
        <w:t>Equality Bodies contributing to the List of Actions by the European Commission to advance LGBTI equality</w:t>
      </w:r>
      <w:r w:rsidR="00B404BA" w:rsidRPr="001D2178">
        <w:rPr>
          <w:b/>
          <w:sz w:val="36"/>
        </w:rPr>
        <w:br/>
      </w:r>
      <w:r w:rsidR="00B404BA" w:rsidRPr="001D2178">
        <w:rPr>
          <w:b/>
          <w:color w:val="0070C0"/>
          <w:sz w:val="36"/>
        </w:rPr>
        <w:t>An Equinet Factsheet</w:t>
      </w:r>
    </w:p>
    <w:p w14:paraId="16AEFDA4" w14:textId="5140EC27" w:rsidR="00412DAB" w:rsidRPr="000F3398" w:rsidRDefault="00006808" w:rsidP="000F3398">
      <w:pPr>
        <w:spacing w:line="276" w:lineRule="auto"/>
        <w:jc w:val="right"/>
        <w:rPr>
          <w:b/>
          <w:i/>
          <w:color w:val="0070C0"/>
          <w:szCs w:val="28"/>
        </w:rPr>
      </w:pPr>
      <w:r w:rsidRPr="000F3398">
        <w:rPr>
          <w:b/>
          <w:i/>
          <w:color w:val="0070C0"/>
          <w:szCs w:val="28"/>
        </w:rPr>
        <w:t xml:space="preserve"> </w:t>
      </w:r>
      <w:r w:rsidR="000F3398" w:rsidRPr="000F3398">
        <w:rPr>
          <w:b/>
          <w:i/>
          <w:color w:val="0070C0"/>
          <w:szCs w:val="28"/>
        </w:rPr>
        <w:t>September 2017</w:t>
      </w:r>
    </w:p>
    <w:p w14:paraId="31E9B7E1" w14:textId="09BDC2C3" w:rsidR="00412DAB" w:rsidRPr="001D2178" w:rsidRDefault="00412DAB" w:rsidP="00C505FC">
      <w:pPr>
        <w:shd w:val="clear" w:color="auto" w:fill="F2F2F2" w:themeFill="background1" w:themeFillShade="F2"/>
        <w:spacing w:line="276" w:lineRule="auto"/>
        <w:jc w:val="both"/>
      </w:pPr>
      <w:r w:rsidRPr="001D2178">
        <w:t xml:space="preserve">While there has been progress on legislative protection </w:t>
      </w:r>
      <w:r w:rsidR="008739E7" w:rsidRPr="001D2178">
        <w:t xml:space="preserve">of </w:t>
      </w:r>
      <w:r w:rsidRPr="001D2178">
        <w:t xml:space="preserve">LGBTI </w:t>
      </w:r>
      <w:r w:rsidR="008739E7" w:rsidRPr="001D2178">
        <w:t>people</w:t>
      </w:r>
      <w:r w:rsidRPr="001D2178">
        <w:t xml:space="preserve"> in recent years, they continue to face discrimination in all areas of life across Europe. The prevalence of hate speech and hate crime, threats to LGBTI organisations and activists</w:t>
      </w:r>
      <w:r w:rsidR="00410E29" w:rsidRPr="001D2178">
        <w:t>,</w:t>
      </w:r>
      <w:r w:rsidR="00DF708A" w:rsidRPr="001D2178">
        <w:t xml:space="preserve"> the </w:t>
      </w:r>
      <w:r w:rsidR="00613D99" w:rsidRPr="001D2178">
        <w:t>recent rise in political discourses hostile to equality</w:t>
      </w:r>
      <w:r w:rsidR="00DF708A" w:rsidRPr="001D2178">
        <w:t>,</w:t>
      </w:r>
      <w:r w:rsidR="00410E29" w:rsidRPr="001D2178">
        <w:t xml:space="preserve"> as well as political pressure on the independence of some equality bodies, </w:t>
      </w:r>
      <w:r w:rsidRPr="001D2178">
        <w:t>are worrying trends which unde</w:t>
      </w:r>
      <w:r w:rsidR="00A81983" w:rsidRPr="001D2178">
        <w:t xml:space="preserve">rmine progress on equality for </w:t>
      </w:r>
      <w:r w:rsidRPr="001D2178">
        <w:t xml:space="preserve">LGBTI </w:t>
      </w:r>
      <w:r w:rsidR="00A81983" w:rsidRPr="001D2178">
        <w:t>people</w:t>
      </w:r>
      <w:r w:rsidRPr="001D2178">
        <w:t xml:space="preserve">. </w:t>
      </w:r>
    </w:p>
    <w:p w14:paraId="269A64B2" w14:textId="49D340C0" w:rsidR="00412DAB" w:rsidRPr="001D2178" w:rsidRDefault="00412DAB" w:rsidP="00C505FC">
      <w:pPr>
        <w:shd w:val="clear" w:color="auto" w:fill="F2F2F2" w:themeFill="background1" w:themeFillShade="F2"/>
        <w:spacing w:line="276" w:lineRule="auto"/>
        <w:jc w:val="both"/>
      </w:pPr>
      <w:r w:rsidRPr="001D2178">
        <w:t>The</w:t>
      </w:r>
      <w:r w:rsidR="00390F08">
        <w:t xml:space="preserve"> 2015</w:t>
      </w:r>
      <w:r w:rsidRPr="001D2178">
        <w:t xml:space="preserve"> </w:t>
      </w:r>
      <w:hyperlink r:id="rId9" w:history="1">
        <w:r w:rsidRPr="001D2178">
          <w:rPr>
            <w:rStyle w:val="Hyperlink"/>
          </w:rPr>
          <w:t>List of Actions by the Commission to advance LGBTI equality</w:t>
        </w:r>
      </w:hyperlink>
      <w:r w:rsidR="001F3EEB">
        <w:t xml:space="preserve"> </w:t>
      </w:r>
      <w:r w:rsidRPr="001D2178">
        <w:t xml:space="preserve">is </w:t>
      </w:r>
      <w:r w:rsidR="00957DDE" w:rsidRPr="001D2178">
        <w:t>a welcome</w:t>
      </w:r>
      <w:r w:rsidRPr="001D2178">
        <w:t xml:space="preserve"> policy tool available at EU level</w:t>
      </w:r>
      <w:r w:rsidR="00957DDE" w:rsidRPr="001D2178">
        <w:t xml:space="preserve"> and it is essential to ensure its swift and ambitious implementation</w:t>
      </w:r>
      <w:r w:rsidRPr="001D2178">
        <w:t xml:space="preserve">. </w:t>
      </w:r>
      <w:r w:rsidR="00957DDE" w:rsidRPr="001D2178">
        <w:t xml:space="preserve">Nonetheless, it remains </w:t>
      </w:r>
      <w:r w:rsidR="00E35F9C">
        <w:t>crucial</w:t>
      </w:r>
      <w:r w:rsidR="00E35F9C" w:rsidRPr="001D2178">
        <w:t xml:space="preserve"> </w:t>
      </w:r>
      <w:r w:rsidR="00957DDE" w:rsidRPr="001D2178">
        <w:t>to adopt</w:t>
      </w:r>
      <w:r w:rsidRPr="001D2178">
        <w:t xml:space="preserve"> comprehensive </w:t>
      </w:r>
      <w:r w:rsidR="00957DDE" w:rsidRPr="001D2178">
        <w:t xml:space="preserve">EU </w:t>
      </w:r>
      <w:r w:rsidRPr="001D2178">
        <w:t>legislation to combat discrimination on the ground</w:t>
      </w:r>
      <w:r w:rsidR="00935A55" w:rsidRPr="001D2178">
        <w:t>s</w:t>
      </w:r>
      <w:r w:rsidRPr="001D2178">
        <w:t xml:space="preserve"> of sexual orientation and gender identity, ensuring </w:t>
      </w:r>
      <w:r w:rsidR="00957DDE" w:rsidRPr="001D2178">
        <w:t>full legal protection to all LGBTI people</w:t>
      </w:r>
      <w:r w:rsidR="005A4C3A" w:rsidRPr="001D2178">
        <w:t xml:space="preserve"> in all spheres of life</w:t>
      </w:r>
      <w:r w:rsidRPr="001D2178">
        <w:t>.</w:t>
      </w:r>
    </w:p>
    <w:p w14:paraId="392809AE" w14:textId="067CDB46" w:rsidR="00412DAB" w:rsidRPr="001D2178" w:rsidRDefault="000C5DDD" w:rsidP="00C505FC">
      <w:pPr>
        <w:shd w:val="clear" w:color="auto" w:fill="F2F2F2" w:themeFill="background1" w:themeFillShade="F2"/>
        <w:spacing w:line="276" w:lineRule="auto"/>
        <w:jc w:val="both"/>
        <w:rPr>
          <w:rFonts w:ascii="Times New Roman" w:hAnsi="Times New Roman"/>
          <w:sz w:val="24"/>
          <w:szCs w:val="24"/>
          <w:lang w:eastAsia="fr-BE"/>
        </w:rPr>
      </w:pPr>
      <w:r>
        <w:t>This</w:t>
      </w:r>
      <w:r w:rsidR="00410E29" w:rsidRPr="001D2178">
        <w:t xml:space="preserve"> factsheet aims to highlight some of the ways in which the work of national equality bodies in Europe contribute</w:t>
      </w:r>
      <w:r w:rsidR="003B1D31" w:rsidRPr="001D2178">
        <w:t>s</w:t>
      </w:r>
      <w:r w:rsidR="00410E29" w:rsidRPr="001D2178">
        <w:t xml:space="preserve"> to the implementation of the List of Actions. </w:t>
      </w:r>
      <w:r w:rsidR="00412DAB" w:rsidRPr="001D2178">
        <w:t xml:space="preserve">It focuses </w:t>
      </w:r>
      <w:r w:rsidR="009A417C" w:rsidRPr="001D2178">
        <w:t xml:space="preserve">on </w:t>
      </w:r>
      <w:r w:rsidR="0084778E" w:rsidRPr="001D2178">
        <w:rPr>
          <w:b/>
        </w:rPr>
        <w:t>action n°4 “Supporting key actors responsible to promote and advance equal rights for LGBTI people in the EU</w:t>
      </w:r>
      <w:r w:rsidR="00E11023">
        <w:t xml:space="preserve">”. </w:t>
      </w:r>
      <w:r w:rsidR="00A81983" w:rsidRPr="001D2178">
        <w:t xml:space="preserve">It </w:t>
      </w:r>
      <w:r w:rsidR="00957DDE" w:rsidRPr="001D2178">
        <w:t>seeks to complement</w:t>
      </w:r>
      <w:r w:rsidR="00A81983" w:rsidRPr="001D2178">
        <w:t xml:space="preserve"> the conclusion</w:t>
      </w:r>
      <w:r w:rsidR="00957DDE" w:rsidRPr="001D2178">
        <w:t>s</w:t>
      </w:r>
      <w:r w:rsidR="00A81983" w:rsidRPr="001D2178">
        <w:t xml:space="preserve"> on the </w:t>
      </w:r>
      <w:hyperlink r:id="rId10" w:history="1">
        <w:r w:rsidR="00A81983" w:rsidRPr="001D2178">
          <w:rPr>
            <w:rStyle w:val="Hyperlink"/>
          </w:rPr>
          <w:t>Annual Report 2016 to Advance LGBTI Equality</w:t>
        </w:r>
      </w:hyperlink>
      <w:r w:rsidR="00DF708A" w:rsidRPr="001D2178">
        <w:rPr>
          <w:rStyle w:val="Hyperlink"/>
        </w:rPr>
        <w:t xml:space="preserve"> and contribute to upcoming exchanges of good practices</w:t>
      </w:r>
      <w:r w:rsidR="00A81983" w:rsidRPr="001D2178">
        <w:t>.</w:t>
      </w:r>
    </w:p>
    <w:p w14:paraId="06677853" w14:textId="6C14AEB9" w:rsidR="00412DAB" w:rsidRPr="001D2178" w:rsidRDefault="00412DAB" w:rsidP="00C505FC">
      <w:pPr>
        <w:shd w:val="clear" w:color="auto" w:fill="F2F2F2" w:themeFill="background1" w:themeFillShade="F2"/>
        <w:spacing w:line="276" w:lineRule="auto"/>
        <w:jc w:val="both"/>
      </w:pPr>
      <w:r w:rsidRPr="001D2178">
        <w:t xml:space="preserve">It is based on the input of 21 Equinet members, as well as the 2013 </w:t>
      </w:r>
      <w:r w:rsidRPr="009F1061">
        <w:rPr>
          <w:i/>
        </w:rPr>
        <w:t>Equinet Perspective on equality bodies promoting equality and non-discrimination for LGBTI people</w:t>
      </w:r>
      <w:r w:rsidRPr="001D2178">
        <w:t xml:space="preserve">.  </w:t>
      </w:r>
    </w:p>
    <w:p w14:paraId="20090FC7" w14:textId="77777777" w:rsidR="00412DAB" w:rsidRDefault="00412DAB" w:rsidP="00C505FC">
      <w:pPr>
        <w:shd w:val="clear" w:color="auto" w:fill="FFFFFF" w:themeFill="background1"/>
        <w:spacing w:line="276" w:lineRule="auto"/>
      </w:pPr>
    </w:p>
    <w:p w14:paraId="161581CA" w14:textId="46C7CD3E" w:rsidR="00E35F9C" w:rsidRPr="00E35F9C" w:rsidRDefault="00412DAB" w:rsidP="00C505FC">
      <w:pPr>
        <w:pBdr>
          <w:top w:val="dotted" w:sz="4" w:space="1" w:color="auto"/>
          <w:left w:val="dotted" w:sz="4" w:space="4" w:color="auto"/>
          <w:bottom w:val="dotted" w:sz="4" w:space="1" w:color="auto"/>
          <w:right w:val="dotted" w:sz="4" w:space="4" w:color="auto"/>
        </w:pBdr>
        <w:spacing w:line="276" w:lineRule="auto"/>
        <w:jc w:val="both"/>
        <w:rPr>
          <w:lang w:val="en-US"/>
        </w:rPr>
      </w:pPr>
      <w:r w:rsidRPr="001D2178">
        <w:rPr>
          <w:b/>
        </w:rPr>
        <w:t>National equality bodies</w:t>
      </w:r>
      <w:r w:rsidRPr="001D2178">
        <w:t xml:space="preserve"> are independent public organisations established on the basis of EU equal treatment directives</w:t>
      </w:r>
      <w:r w:rsidRPr="001D2178">
        <w:rPr>
          <w:rStyle w:val="FootnoteReference"/>
        </w:rPr>
        <w:footnoteReference w:id="1"/>
      </w:r>
      <w:r w:rsidRPr="001D2178">
        <w:t xml:space="preserve"> with a mandate to provide independent assistance to victims of discrimination and promoting equality through surveys, reports and recommendations. </w:t>
      </w:r>
    </w:p>
    <w:p w14:paraId="4F5B63E7" w14:textId="77777777" w:rsidR="00BB260B" w:rsidRPr="001D2178" w:rsidRDefault="00961BBC" w:rsidP="00BB260B">
      <w:pPr>
        <w:pBdr>
          <w:top w:val="dotted" w:sz="4" w:space="1" w:color="auto"/>
          <w:left w:val="dotted" w:sz="4" w:space="4" w:color="auto"/>
          <w:bottom w:val="dotted" w:sz="4" w:space="1" w:color="auto"/>
          <w:right w:val="dotted" w:sz="4" w:space="4" w:color="auto"/>
        </w:pBdr>
        <w:spacing w:line="276" w:lineRule="auto"/>
        <w:jc w:val="both"/>
      </w:pPr>
      <w:r>
        <w:t>In 2017</w:t>
      </w:r>
      <w:r w:rsidR="00412DAB" w:rsidRPr="001D2178">
        <w:t xml:space="preserve">, </w:t>
      </w:r>
      <w:r>
        <w:t>34</w:t>
      </w:r>
      <w:r w:rsidR="00412DAB" w:rsidRPr="001D2178">
        <w:t xml:space="preserve"> Equinet members had a mandate to address discrimination on the ground of sexual orientation and </w:t>
      </w:r>
      <w:r>
        <w:t>30</w:t>
      </w:r>
      <w:r w:rsidR="00412DAB" w:rsidRPr="001D2178">
        <w:t xml:space="preserve"> had a mandate to address discrimination on the ground of gender identity in employment or beyond (education, housing, social protection and goods and services). </w:t>
      </w:r>
      <w:r w:rsidR="00BB260B" w:rsidRPr="001D2178">
        <w:t xml:space="preserve">This work includes dealing with complaints, providing legal support, providing guidance to duty bearers (including equality duties), conducting research, pursuing legislative and policy change and raising awareness about discrimination issues. </w:t>
      </w:r>
    </w:p>
    <w:p w14:paraId="669A29F6" w14:textId="00FC2B92" w:rsidR="00961BBC" w:rsidRPr="001D2178" w:rsidRDefault="00E35F9C" w:rsidP="001B33A3">
      <w:pPr>
        <w:pBdr>
          <w:top w:val="dotted" w:sz="4" w:space="1" w:color="auto"/>
          <w:left w:val="dotted" w:sz="4" w:space="4" w:color="auto"/>
          <w:bottom w:val="dotted" w:sz="4" w:space="1" w:color="auto"/>
          <w:right w:val="dotted" w:sz="4" w:space="4" w:color="auto"/>
        </w:pBdr>
        <w:spacing w:line="276" w:lineRule="auto"/>
        <w:jc w:val="both"/>
      </w:pPr>
      <w:r w:rsidRPr="00E35F9C">
        <w:t xml:space="preserve">However, establishing an equality body combating discrimination on the grounds of sexual orientation and gender identity is not an EU requirement. This </w:t>
      </w:r>
      <w:r w:rsidR="00BB260B">
        <w:t>therefore</w:t>
      </w:r>
      <w:r w:rsidRPr="00E35F9C">
        <w:t xml:space="preserve"> risks retrogression as a country c</w:t>
      </w:r>
      <w:r w:rsidR="00BB260B">
        <w:t>ould</w:t>
      </w:r>
      <w:r w:rsidRPr="00E35F9C">
        <w:t xml:space="preserve"> restrict the mandate of an equality body in these areas due to the absence of EU and European legal safeguards. In practice, not all countries covered by Equine</w:t>
      </w:r>
      <w:r w:rsidR="00FF2C50">
        <w:t>t have an</w:t>
      </w:r>
      <w:r w:rsidRPr="00E35F9C">
        <w:t xml:space="preserve"> equality body </w:t>
      </w:r>
      <w:r w:rsidR="00FF2C50">
        <w:t xml:space="preserve">which can deal with </w:t>
      </w:r>
      <w:r w:rsidRPr="00E35F9C">
        <w:t>these grounds of discrimination.</w:t>
      </w:r>
    </w:p>
    <w:p w14:paraId="21399A1E" w14:textId="03F177ED" w:rsidR="006034DE" w:rsidRDefault="006034DE" w:rsidP="00C505FC">
      <w:pPr>
        <w:pStyle w:val="NoSpacing"/>
        <w:spacing w:line="276" w:lineRule="auto"/>
        <w:rPr>
          <w:b/>
          <w:noProof/>
          <w:color w:val="0070C0"/>
          <w:sz w:val="28"/>
          <w:szCs w:val="28"/>
          <w:lang w:val="en-GB"/>
        </w:rPr>
      </w:pPr>
    </w:p>
    <w:p w14:paraId="2A103637" w14:textId="4A00AF4A" w:rsidR="00C60862" w:rsidRPr="001A723A" w:rsidRDefault="00C60862" w:rsidP="00C60862">
      <w:pPr>
        <w:pStyle w:val="NoSpacing"/>
        <w:pBdr>
          <w:top w:val="dotted" w:sz="4" w:space="1" w:color="auto"/>
          <w:left w:val="dotted" w:sz="4" w:space="4" w:color="auto"/>
          <w:bottom w:val="dotted" w:sz="4" w:space="1" w:color="auto"/>
          <w:right w:val="dotted" w:sz="4" w:space="4" w:color="auto"/>
        </w:pBdr>
        <w:spacing w:line="276" w:lineRule="auto"/>
        <w:jc w:val="both"/>
        <w:rPr>
          <w:noProof/>
          <w:lang w:val="en-GB"/>
        </w:rPr>
      </w:pPr>
      <w:r w:rsidRPr="001A723A">
        <w:rPr>
          <w:b/>
          <w:noProof/>
          <w:lang w:val="en-GB"/>
        </w:rPr>
        <w:t>Equinet</w:t>
      </w:r>
      <w:r w:rsidRPr="001A723A">
        <w:rPr>
          <w:noProof/>
          <w:lang w:val="en-GB"/>
        </w:rPr>
        <w:t xml:space="preserve">, the European Network of Equality Bodies, brings together 46 equality bodies from 34 European countries. Since 2007, Equinet supports the work of equality bodies to be independent and effective through </w:t>
      </w:r>
      <w:r w:rsidRPr="001A723A">
        <w:rPr>
          <w:noProof/>
          <w:lang w:val="en-GB"/>
        </w:rPr>
        <w:lastRenderedPageBreak/>
        <w:t>capacity-building and by conveying the voice of equality bodies to European and international policy-makers.</w:t>
      </w:r>
    </w:p>
    <w:p w14:paraId="4AFCAFD3" w14:textId="72E7FA1F" w:rsidR="00C60862" w:rsidRPr="001A723A" w:rsidRDefault="00C60862" w:rsidP="00C60862">
      <w:pPr>
        <w:pStyle w:val="NoSpacing"/>
        <w:pBdr>
          <w:top w:val="dotted" w:sz="4" w:space="1" w:color="auto"/>
          <w:left w:val="dotted" w:sz="4" w:space="4" w:color="auto"/>
          <w:bottom w:val="dotted" w:sz="4" w:space="1" w:color="auto"/>
          <w:right w:val="dotted" w:sz="4" w:space="4" w:color="auto"/>
        </w:pBdr>
        <w:spacing w:line="276" w:lineRule="auto"/>
        <w:jc w:val="both"/>
        <w:rPr>
          <w:noProof/>
          <w:lang w:val="en-GB"/>
        </w:rPr>
      </w:pPr>
    </w:p>
    <w:p w14:paraId="252117C3" w14:textId="54918314" w:rsidR="001F3EEB" w:rsidRPr="001F3EEB" w:rsidRDefault="00C60862" w:rsidP="001F3EEB">
      <w:pPr>
        <w:pBdr>
          <w:top w:val="dotted" w:sz="4" w:space="1" w:color="auto"/>
          <w:left w:val="dotted" w:sz="4" w:space="4" w:color="auto"/>
          <w:bottom w:val="dotted" w:sz="4" w:space="1" w:color="auto"/>
          <w:right w:val="dotted" w:sz="4" w:space="4" w:color="auto"/>
        </w:pBdr>
        <w:spacing w:line="276" w:lineRule="auto"/>
        <w:jc w:val="both"/>
        <w:rPr>
          <w:color w:val="0563C1" w:themeColor="hyperlink"/>
          <w:u w:val="single"/>
        </w:rPr>
      </w:pPr>
      <w:r w:rsidRPr="001A723A">
        <w:t xml:space="preserve">For more information on the work of equality bodies in tackling discrimination against LGBTI people, the </w:t>
      </w:r>
      <w:hyperlink r:id="rId11" w:history="1">
        <w:r w:rsidRPr="001A723A">
          <w:rPr>
            <w:rStyle w:val="Hyperlink"/>
          </w:rPr>
          <w:t>Perspective “Equality bodies promoting equality &amp; non-discrimination for LGBTI people”</w:t>
        </w:r>
      </w:hyperlink>
      <w:r w:rsidRPr="001A723A">
        <w:t xml:space="preserve"> provides an overview of the mandate, challenges and promising practices of equality bodies in this area. </w:t>
      </w:r>
    </w:p>
    <w:p w14:paraId="2C0065D4" w14:textId="77777777" w:rsidR="00C051A8" w:rsidRDefault="00C051A8">
      <w:pPr>
        <w:rPr>
          <w:b/>
          <w:sz w:val="28"/>
          <w:szCs w:val="24"/>
          <w:highlight w:val="yellow"/>
        </w:rPr>
      </w:pPr>
      <w:r>
        <w:rPr>
          <w:b/>
          <w:sz w:val="28"/>
          <w:szCs w:val="24"/>
          <w:highlight w:val="yellow"/>
        </w:rPr>
        <w:br w:type="page"/>
      </w:r>
    </w:p>
    <w:p w14:paraId="2B33CB92" w14:textId="2DD052AC" w:rsidR="00792ACF" w:rsidRPr="007F5005" w:rsidRDefault="008D327E" w:rsidP="00C505FC">
      <w:pPr>
        <w:shd w:val="clear" w:color="auto" w:fill="F2F2F2" w:themeFill="background1" w:themeFillShade="F2"/>
        <w:spacing w:line="276" w:lineRule="auto"/>
        <w:rPr>
          <w:b/>
          <w:sz w:val="28"/>
          <w:szCs w:val="24"/>
        </w:rPr>
      </w:pPr>
      <w:r w:rsidRPr="007A6CF2">
        <w:rPr>
          <w:b/>
          <w:sz w:val="28"/>
          <w:szCs w:val="24"/>
        </w:rPr>
        <w:t>Addressing</w:t>
      </w:r>
      <w:r w:rsidR="00792ACF" w:rsidRPr="007A6CF2">
        <w:rPr>
          <w:b/>
          <w:sz w:val="28"/>
          <w:szCs w:val="24"/>
        </w:rPr>
        <w:t xml:space="preserve"> bullying and harassment of LGBTI people</w:t>
      </w:r>
      <w:r w:rsidR="005D5D44" w:rsidRPr="007A6CF2">
        <w:rPr>
          <w:b/>
          <w:sz w:val="28"/>
          <w:szCs w:val="24"/>
        </w:rPr>
        <w:t xml:space="preserve"> </w:t>
      </w:r>
    </w:p>
    <w:p w14:paraId="5CC42AB3" w14:textId="71092AAF" w:rsidR="00574DAB" w:rsidRPr="007A6CF2" w:rsidRDefault="00503041" w:rsidP="00C505FC">
      <w:pPr>
        <w:spacing w:line="276" w:lineRule="auto"/>
        <w:jc w:val="both"/>
        <w:rPr>
          <w:i/>
        </w:rPr>
      </w:pPr>
      <w:r w:rsidRPr="007A6CF2">
        <w:rPr>
          <w:i/>
        </w:rPr>
        <w:t xml:space="preserve">The List of Actions commits the European Commission </w:t>
      </w:r>
      <w:r w:rsidR="00957DDE" w:rsidRPr="007A6CF2">
        <w:rPr>
          <w:i/>
        </w:rPr>
        <w:t xml:space="preserve">to </w:t>
      </w:r>
      <w:r w:rsidRPr="007A6CF2">
        <w:rPr>
          <w:i/>
        </w:rPr>
        <w:t xml:space="preserve">support </w:t>
      </w:r>
      <w:r w:rsidR="00410E29" w:rsidRPr="007A6CF2">
        <w:rPr>
          <w:i/>
        </w:rPr>
        <w:t xml:space="preserve">EU </w:t>
      </w:r>
      <w:r w:rsidRPr="007A6CF2">
        <w:rPr>
          <w:i/>
        </w:rPr>
        <w:t xml:space="preserve">Member States </w:t>
      </w:r>
      <w:r w:rsidR="00957DDE" w:rsidRPr="007A6CF2">
        <w:rPr>
          <w:i/>
        </w:rPr>
        <w:t>by</w:t>
      </w:r>
      <w:r w:rsidRPr="007A6CF2">
        <w:rPr>
          <w:i/>
        </w:rPr>
        <w:t xml:space="preserve"> organis</w:t>
      </w:r>
      <w:r w:rsidR="00957DDE" w:rsidRPr="007A6CF2">
        <w:rPr>
          <w:i/>
        </w:rPr>
        <w:t>ing</w:t>
      </w:r>
      <w:r w:rsidRPr="007A6CF2">
        <w:rPr>
          <w:i/>
        </w:rPr>
        <w:t xml:space="preserve"> </w:t>
      </w:r>
      <w:r w:rsidR="00957DDE" w:rsidRPr="007A6CF2">
        <w:rPr>
          <w:i/>
        </w:rPr>
        <w:t>good</w:t>
      </w:r>
      <w:r w:rsidRPr="007A6CF2">
        <w:rPr>
          <w:i/>
        </w:rPr>
        <w:t xml:space="preserve"> practice exchange</w:t>
      </w:r>
      <w:r w:rsidR="00410E29" w:rsidRPr="007A6CF2">
        <w:rPr>
          <w:i/>
        </w:rPr>
        <w:t>s</w:t>
      </w:r>
      <w:r w:rsidRPr="007A6CF2">
        <w:rPr>
          <w:i/>
        </w:rPr>
        <w:t xml:space="preserve"> on LGBTI anti-discrimination actions in </w:t>
      </w:r>
      <w:r w:rsidR="004B00B5" w:rsidRPr="007A6CF2">
        <w:rPr>
          <w:i/>
        </w:rPr>
        <w:t>key areas</w:t>
      </w:r>
      <w:r w:rsidRPr="007A6CF2">
        <w:rPr>
          <w:i/>
        </w:rPr>
        <w:t xml:space="preserve">. </w:t>
      </w:r>
      <w:r w:rsidR="001838F5" w:rsidRPr="007A6CF2">
        <w:rPr>
          <w:i/>
        </w:rPr>
        <w:t>The experience of equality bodies in addressing bullying and harassment of LGBTI people in areas such as education and employment</w:t>
      </w:r>
      <w:r w:rsidR="003266BA" w:rsidRPr="007A6CF2">
        <w:rPr>
          <w:i/>
        </w:rPr>
        <w:t xml:space="preserve"> has resulted in some useful </w:t>
      </w:r>
      <w:r w:rsidR="00417F8F" w:rsidRPr="007A6CF2">
        <w:rPr>
          <w:i/>
        </w:rPr>
        <w:t>insights</w:t>
      </w:r>
      <w:r w:rsidR="003266BA" w:rsidRPr="007A6CF2">
        <w:rPr>
          <w:i/>
        </w:rPr>
        <w:t xml:space="preserve">. </w:t>
      </w:r>
      <w:r w:rsidR="001838F5" w:rsidRPr="007A6CF2">
        <w:rPr>
          <w:i/>
        </w:rPr>
        <w:t xml:space="preserve"> </w:t>
      </w:r>
    </w:p>
    <w:p w14:paraId="5A9F17CA" w14:textId="23D26187" w:rsidR="00D71405" w:rsidRPr="007F5005" w:rsidRDefault="00284226" w:rsidP="00C505FC">
      <w:pPr>
        <w:spacing w:line="276" w:lineRule="auto"/>
        <w:rPr>
          <w:b/>
          <w:color w:val="0070C0"/>
          <w:sz w:val="28"/>
        </w:rPr>
      </w:pPr>
      <w:r w:rsidRPr="007A6CF2">
        <w:rPr>
          <w:b/>
          <w:color w:val="0070C0"/>
          <w:sz w:val="28"/>
        </w:rPr>
        <w:t xml:space="preserve">Insights </w:t>
      </w:r>
      <w:r w:rsidR="00412DAB" w:rsidRPr="007A6CF2">
        <w:rPr>
          <w:b/>
          <w:color w:val="0070C0"/>
          <w:sz w:val="28"/>
        </w:rPr>
        <w:t>from the work of equality bodies</w:t>
      </w:r>
    </w:p>
    <w:p w14:paraId="0115E83E" w14:textId="1439EDCE" w:rsidR="00D71405" w:rsidRPr="007F5005" w:rsidRDefault="00B0407F" w:rsidP="00C505FC">
      <w:pPr>
        <w:pStyle w:val="ListParagraph"/>
        <w:numPr>
          <w:ilvl w:val="0"/>
          <w:numId w:val="18"/>
        </w:numPr>
        <w:spacing w:line="276" w:lineRule="auto"/>
        <w:jc w:val="both"/>
      </w:pPr>
      <w:r w:rsidRPr="007A6CF2">
        <w:t xml:space="preserve">Reporting of bullying and harassment cases of LGBTI people to equality bodies </w:t>
      </w:r>
      <w:r w:rsidRPr="007A6CF2">
        <w:rPr>
          <w:b/>
        </w:rPr>
        <w:t>is extremely low</w:t>
      </w:r>
      <w:r w:rsidR="001838F5" w:rsidRPr="007A6CF2">
        <w:t xml:space="preserve">. </w:t>
      </w:r>
      <w:r w:rsidRPr="007A6CF2">
        <w:t xml:space="preserve">Common efforts </w:t>
      </w:r>
      <w:r w:rsidR="00310BA1" w:rsidRPr="007A6CF2">
        <w:t xml:space="preserve">of </w:t>
      </w:r>
      <w:r w:rsidR="00A47975" w:rsidRPr="007A6CF2">
        <w:t xml:space="preserve">decision-makers, public authorities, </w:t>
      </w:r>
      <w:r w:rsidR="00310BA1" w:rsidRPr="007A6CF2">
        <w:t>equality bodies</w:t>
      </w:r>
      <w:r w:rsidR="00A47975" w:rsidRPr="007A6CF2">
        <w:t xml:space="preserve"> and</w:t>
      </w:r>
      <w:r w:rsidR="00310BA1" w:rsidRPr="007A6CF2">
        <w:t xml:space="preserve"> non-governmental organisations could be enhanced </w:t>
      </w:r>
      <w:r w:rsidR="00883DD9" w:rsidRPr="007A6CF2">
        <w:t xml:space="preserve">to improve the impact of awareness raising </w:t>
      </w:r>
      <w:r w:rsidR="00F0223E" w:rsidRPr="007A6CF2">
        <w:t>activities</w:t>
      </w:r>
      <w:r w:rsidR="00883DD9" w:rsidRPr="007A6CF2">
        <w:t xml:space="preserve">. </w:t>
      </w:r>
    </w:p>
    <w:p w14:paraId="57065142" w14:textId="2B152901" w:rsidR="00B0484B" w:rsidRPr="007A6CF2" w:rsidRDefault="00DA420A" w:rsidP="00C505FC">
      <w:pPr>
        <w:pStyle w:val="ListParagraph"/>
        <w:numPr>
          <w:ilvl w:val="0"/>
          <w:numId w:val="18"/>
        </w:numPr>
        <w:spacing w:line="276" w:lineRule="auto"/>
        <w:jc w:val="both"/>
      </w:pPr>
      <w:r w:rsidRPr="007A6CF2">
        <w:t>LGBTI persons report harassment and bullying in all areas of their everyday life. Although</w:t>
      </w:r>
      <w:r w:rsidR="0018027A" w:rsidRPr="007A6CF2">
        <w:t xml:space="preserve"> </w:t>
      </w:r>
      <w:r w:rsidR="00DF6260" w:rsidRPr="007A6CF2">
        <w:t xml:space="preserve">the </w:t>
      </w:r>
      <w:r w:rsidR="0018027A" w:rsidRPr="007A6CF2">
        <w:t xml:space="preserve">main focus </w:t>
      </w:r>
      <w:r w:rsidRPr="007A6CF2">
        <w:t xml:space="preserve">of </w:t>
      </w:r>
      <w:r w:rsidR="001F3B13" w:rsidRPr="007A6CF2">
        <w:t>many</w:t>
      </w:r>
      <w:r w:rsidR="00706009" w:rsidRPr="007A6CF2">
        <w:t xml:space="preserve"> </w:t>
      </w:r>
      <w:r w:rsidRPr="007A6CF2">
        <w:t>equality bodies</w:t>
      </w:r>
      <w:r w:rsidR="00706009" w:rsidRPr="007A6CF2">
        <w:t>’</w:t>
      </w:r>
      <w:r w:rsidRPr="007A6CF2">
        <w:t xml:space="preserve"> work </w:t>
      </w:r>
      <w:r w:rsidR="0018027A" w:rsidRPr="007A6CF2">
        <w:t>remains on homo</w:t>
      </w:r>
      <w:r w:rsidR="001838F5" w:rsidRPr="007A6CF2">
        <w:t>phobic</w:t>
      </w:r>
      <w:r w:rsidR="0018027A" w:rsidRPr="007A6CF2">
        <w:t xml:space="preserve"> and transphobic bullying and harassment </w:t>
      </w:r>
      <w:r w:rsidR="0018027A" w:rsidRPr="007A6CF2">
        <w:rPr>
          <w:b/>
        </w:rPr>
        <w:t>in the education sector</w:t>
      </w:r>
      <w:r w:rsidRPr="007A6CF2">
        <w:t>, g</w:t>
      </w:r>
      <w:r w:rsidR="0018027A" w:rsidRPr="007A6CF2">
        <w:t xml:space="preserve">ood practices from the work done in this area could be implemented to tackle bullying and harassment of LGBTI persons </w:t>
      </w:r>
      <w:r w:rsidR="0018027A" w:rsidRPr="007A6CF2">
        <w:rPr>
          <w:b/>
        </w:rPr>
        <w:t>in other sectors</w:t>
      </w:r>
      <w:r w:rsidR="00DF6260" w:rsidRPr="007A6CF2">
        <w:rPr>
          <w:b/>
        </w:rPr>
        <w:t xml:space="preserve"> </w:t>
      </w:r>
      <w:r w:rsidR="00DF6260" w:rsidRPr="007A6CF2">
        <w:t>such as employment, health care, housing or leisure time</w:t>
      </w:r>
      <w:r w:rsidR="0018027A" w:rsidRPr="007A6CF2">
        <w:t xml:space="preserve">. </w:t>
      </w:r>
    </w:p>
    <w:p w14:paraId="109E2E29" w14:textId="68D39BD4" w:rsidR="00883DD9" w:rsidRPr="007F5005" w:rsidRDefault="00D364F9" w:rsidP="00C505FC">
      <w:pPr>
        <w:pStyle w:val="ListParagraph"/>
        <w:numPr>
          <w:ilvl w:val="0"/>
          <w:numId w:val="18"/>
        </w:numPr>
        <w:spacing w:line="276" w:lineRule="auto"/>
        <w:jc w:val="both"/>
      </w:pPr>
      <w:r w:rsidRPr="007A6CF2">
        <w:t>Experience of equality bodies show</w:t>
      </w:r>
      <w:r w:rsidR="009F23D2" w:rsidRPr="007A6CF2">
        <w:t>s</w:t>
      </w:r>
      <w:r w:rsidRPr="007A6CF2">
        <w:t xml:space="preserve"> </w:t>
      </w:r>
      <w:r w:rsidRPr="007A6CF2">
        <w:rPr>
          <w:b/>
        </w:rPr>
        <w:t>low level</w:t>
      </w:r>
      <w:r w:rsidR="009C7852" w:rsidRPr="007A6CF2">
        <w:rPr>
          <w:b/>
        </w:rPr>
        <w:t>s</w:t>
      </w:r>
      <w:r w:rsidRPr="007A6CF2">
        <w:rPr>
          <w:b/>
        </w:rPr>
        <w:t xml:space="preserve"> of awareness among </w:t>
      </w:r>
      <w:r w:rsidR="00DC5AE6" w:rsidRPr="007A6CF2">
        <w:rPr>
          <w:b/>
        </w:rPr>
        <w:t>teachers</w:t>
      </w:r>
      <w:r w:rsidRPr="007A6CF2">
        <w:t xml:space="preserve">. Targeted measures </w:t>
      </w:r>
      <w:r w:rsidR="00DC5AE6" w:rsidRPr="007A6CF2">
        <w:t>sh</w:t>
      </w:r>
      <w:r w:rsidRPr="007A6CF2">
        <w:t xml:space="preserve">ould </w:t>
      </w:r>
      <w:r w:rsidR="00FD37DE" w:rsidRPr="007A6CF2">
        <w:t>be developed</w:t>
      </w:r>
      <w:r w:rsidR="008A7877" w:rsidRPr="007A6CF2">
        <w:t xml:space="preserve"> </w:t>
      </w:r>
      <w:r w:rsidR="00340660" w:rsidRPr="007A6CF2">
        <w:t xml:space="preserve">by </w:t>
      </w:r>
      <w:r w:rsidR="008A7877" w:rsidRPr="007A6CF2">
        <w:t>and/or supported by governments</w:t>
      </w:r>
      <w:r w:rsidR="00FD37DE" w:rsidRPr="007A6CF2">
        <w:t xml:space="preserve"> </w:t>
      </w:r>
      <w:r w:rsidR="00FD37DE" w:rsidRPr="007F5005">
        <w:t xml:space="preserve">to train </w:t>
      </w:r>
      <w:r w:rsidR="00DC5AE6" w:rsidRPr="007F5005">
        <w:t>education actors to detect and address homo</w:t>
      </w:r>
      <w:r w:rsidR="00706009" w:rsidRPr="007A6CF2">
        <w:t xml:space="preserve">-, bi- </w:t>
      </w:r>
      <w:r w:rsidR="00DC5AE6" w:rsidRPr="007A6CF2">
        <w:t>and transphobic school bullying</w:t>
      </w:r>
      <w:r w:rsidR="00706009" w:rsidRPr="007A6CF2">
        <w:t xml:space="preserve"> and to prevent them through positive measures</w:t>
      </w:r>
      <w:r w:rsidR="00DC5AE6" w:rsidRPr="007A6CF2">
        <w:t xml:space="preserve">. </w:t>
      </w:r>
    </w:p>
    <w:p w14:paraId="7BADF135" w14:textId="67E1F6B6" w:rsidR="00412DAB" w:rsidRPr="007F5005" w:rsidRDefault="00412DAB" w:rsidP="00C505FC">
      <w:pPr>
        <w:spacing w:line="276" w:lineRule="auto"/>
        <w:rPr>
          <w:b/>
          <w:color w:val="0070C0"/>
          <w:sz w:val="28"/>
        </w:rPr>
      </w:pPr>
      <w:r w:rsidRPr="007F5005">
        <w:rPr>
          <w:b/>
          <w:color w:val="0070C0"/>
          <w:sz w:val="28"/>
        </w:rPr>
        <w:t>Equality bodies’ practices</w:t>
      </w:r>
    </w:p>
    <w:p w14:paraId="615F3812" w14:textId="4160878B" w:rsidR="003C708E" w:rsidRPr="007A6CF2" w:rsidRDefault="00D71405" w:rsidP="00C505FC">
      <w:pPr>
        <w:pBdr>
          <w:top w:val="dotted" w:sz="4" w:space="1" w:color="auto"/>
          <w:left w:val="dotted" w:sz="4" w:space="4" w:color="auto"/>
          <w:bottom w:val="dotted" w:sz="4" w:space="1" w:color="auto"/>
          <w:right w:val="dotted" w:sz="4" w:space="4" w:color="auto"/>
        </w:pBdr>
        <w:spacing w:line="276" w:lineRule="auto"/>
        <w:jc w:val="both"/>
      </w:pPr>
      <w:r w:rsidRPr="007A6CF2">
        <w:rPr>
          <w:b/>
          <w:sz w:val="24"/>
        </w:rPr>
        <w:t>Research</w:t>
      </w:r>
      <w:r w:rsidR="001A6AF4" w:rsidRPr="007A6CF2">
        <w:rPr>
          <w:b/>
          <w:sz w:val="24"/>
        </w:rPr>
        <w:br/>
      </w:r>
      <w:r w:rsidR="001A6AF4" w:rsidRPr="007A6CF2">
        <w:t>In 2015, the</w:t>
      </w:r>
      <w:r w:rsidR="001A6AF4" w:rsidRPr="007A6CF2">
        <w:rPr>
          <w:b/>
        </w:rPr>
        <w:t xml:space="preserve"> Office of the Equal Opportunities Ombudsperson of Lithuania</w:t>
      </w:r>
      <w:r w:rsidR="001A6AF4" w:rsidRPr="007A6CF2">
        <w:t xml:space="preserve"> conducted a research on </w:t>
      </w:r>
      <w:r w:rsidR="009F1719" w:rsidRPr="007A6CF2">
        <w:t>“</w:t>
      </w:r>
      <w:r w:rsidR="009F1719" w:rsidRPr="007A6CF2">
        <w:rPr>
          <w:i/>
        </w:rPr>
        <w:t xml:space="preserve">The prevalence of </w:t>
      </w:r>
      <w:r w:rsidR="001E011C" w:rsidRPr="007A6CF2">
        <w:rPr>
          <w:i/>
        </w:rPr>
        <w:t xml:space="preserve">bullying </w:t>
      </w:r>
      <w:r w:rsidR="009F1719" w:rsidRPr="007A6CF2">
        <w:rPr>
          <w:i/>
        </w:rPr>
        <w:t>on various grounds of personal identity in Lithuanian</w:t>
      </w:r>
      <w:r w:rsidR="001A6AF4" w:rsidRPr="007A6CF2">
        <w:rPr>
          <w:i/>
        </w:rPr>
        <w:t xml:space="preserve"> schools</w:t>
      </w:r>
      <w:r w:rsidR="009F1719" w:rsidRPr="007A6CF2">
        <w:t>”</w:t>
      </w:r>
      <w:r w:rsidR="001A6AF4" w:rsidRPr="007A6CF2">
        <w:t xml:space="preserve">. </w:t>
      </w:r>
      <w:r w:rsidR="009F1719" w:rsidRPr="007A6CF2">
        <w:t xml:space="preserve">Collected data showed that LGBT students experience bullying more often than their heterosexual colleagues. </w:t>
      </w:r>
      <w:r w:rsidR="001E011C" w:rsidRPr="007A6CF2">
        <w:t xml:space="preserve">It </w:t>
      </w:r>
      <w:r w:rsidR="009F1719" w:rsidRPr="007A6CF2">
        <w:t xml:space="preserve">showed that bullies tend to mock male students more often than female due to their actual or assumed sexual orientation. </w:t>
      </w:r>
      <w:r w:rsidR="001E011C" w:rsidRPr="007A6CF2">
        <w:t>30.</w:t>
      </w:r>
      <w:r w:rsidR="009F1719" w:rsidRPr="007A6CF2">
        <w:t>5% of students responded that they have noticed bullying in their school, while</w:t>
      </w:r>
      <w:r w:rsidR="001E011C" w:rsidRPr="007A6CF2">
        <w:t xml:space="preserve"> 7.4% of male students and 2.</w:t>
      </w:r>
      <w:r w:rsidR="009F1719" w:rsidRPr="007A6CF2">
        <w:t xml:space="preserve">7% of female students have admitted that they have bullied others due to their LGBT identity. </w:t>
      </w:r>
    </w:p>
    <w:p w14:paraId="70D0750F" w14:textId="1CF6E607" w:rsidR="00435227" w:rsidRPr="007A6CF2" w:rsidRDefault="00435227" w:rsidP="00C505FC">
      <w:pPr>
        <w:pBdr>
          <w:top w:val="dotted" w:sz="4" w:space="1" w:color="auto"/>
          <w:left w:val="dotted" w:sz="4" w:space="4" w:color="auto"/>
          <w:bottom w:val="dotted" w:sz="4" w:space="1" w:color="auto"/>
          <w:right w:val="dotted" w:sz="4" w:space="4" w:color="auto"/>
        </w:pBdr>
        <w:spacing w:line="276" w:lineRule="auto"/>
        <w:jc w:val="both"/>
      </w:pPr>
      <w:r w:rsidRPr="007A6CF2">
        <w:t xml:space="preserve">In its latest </w:t>
      </w:r>
      <w:r w:rsidRPr="007A6CF2">
        <w:rPr>
          <w:i/>
        </w:rPr>
        <w:t>Is Britain Fairer?</w:t>
      </w:r>
      <w:r w:rsidRPr="007A6CF2">
        <w:t xml:space="preserve"> report, the </w:t>
      </w:r>
      <w:r w:rsidRPr="007A6CF2">
        <w:rPr>
          <w:b/>
        </w:rPr>
        <w:t xml:space="preserve">Equality and Human Rights Commission (EHRC) </w:t>
      </w:r>
      <w:r w:rsidRPr="007A6CF2">
        <w:t xml:space="preserve">in Great Britain found out that more than </w:t>
      </w:r>
      <w:r w:rsidRPr="007A6CF2">
        <w:rPr>
          <w:b/>
        </w:rPr>
        <w:t>half of LGB young people</w:t>
      </w:r>
      <w:r w:rsidRPr="007A6CF2">
        <w:t xml:space="preserve"> experience bullying in school. More than half of secondary school teachers said that they did not challenge the use of homophobic language every time they heard it.  </w:t>
      </w:r>
    </w:p>
    <w:p w14:paraId="57BF746B" w14:textId="77777777" w:rsidR="009C7852" w:rsidRPr="001A723A" w:rsidRDefault="009C7852" w:rsidP="00C505FC">
      <w:pPr>
        <w:pStyle w:val="NoSpacing"/>
        <w:spacing w:line="276" w:lineRule="auto"/>
        <w:rPr>
          <w:noProof/>
          <w:lang w:val="en-GB"/>
        </w:rPr>
      </w:pPr>
    </w:p>
    <w:p w14:paraId="1DB593A2" w14:textId="48D55BF2" w:rsidR="003C708E" w:rsidRPr="007A6CF2" w:rsidRDefault="00D71405" w:rsidP="00C505FC">
      <w:pPr>
        <w:pBdr>
          <w:top w:val="dotted" w:sz="4" w:space="1" w:color="auto"/>
          <w:left w:val="dotted" w:sz="4" w:space="4" w:color="auto"/>
          <w:bottom w:val="dotted" w:sz="4" w:space="1" w:color="auto"/>
          <w:right w:val="dotted" w:sz="4" w:space="4" w:color="auto"/>
        </w:pBdr>
        <w:spacing w:line="276" w:lineRule="auto"/>
        <w:jc w:val="both"/>
      </w:pPr>
      <w:r w:rsidRPr="007A6CF2">
        <w:rPr>
          <w:b/>
          <w:sz w:val="24"/>
        </w:rPr>
        <w:t>Casework</w:t>
      </w:r>
      <w:r w:rsidR="009C7852" w:rsidRPr="007A6CF2">
        <w:rPr>
          <w:strike/>
        </w:rPr>
        <w:t xml:space="preserve"> </w:t>
      </w:r>
      <w:r w:rsidR="009C7852" w:rsidRPr="007A6CF2">
        <w:rPr>
          <w:strike/>
        </w:rPr>
        <w:br/>
      </w:r>
      <w:r w:rsidR="009C7852" w:rsidRPr="007A6CF2">
        <w:t xml:space="preserve">The </w:t>
      </w:r>
      <w:r w:rsidR="009C7852" w:rsidRPr="007A6CF2">
        <w:rPr>
          <w:b/>
        </w:rPr>
        <w:t>Hungarian Equal Treatment Authority</w:t>
      </w:r>
      <w:r w:rsidR="009C7852" w:rsidRPr="007A6CF2">
        <w:t xml:space="preserve"> has recently handled a case of a transvestite p</w:t>
      </w:r>
      <w:r w:rsidR="001C7A76">
        <w:t>erson who had been harassed by the</w:t>
      </w:r>
      <w:r w:rsidR="009C7852" w:rsidRPr="007A6CF2">
        <w:t xml:space="preserve"> mayor of his hometown. The Equal Treatment Authority imposed a fine on the mayor and ordered him to restrain from engaging in similar conduct.</w:t>
      </w:r>
    </w:p>
    <w:p w14:paraId="6CC905DA" w14:textId="22043476" w:rsidR="003C35C5" w:rsidRPr="007A6CF2" w:rsidRDefault="003C35C5" w:rsidP="00C505FC">
      <w:pPr>
        <w:pBdr>
          <w:top w:val="dotted" w:sz="4" w:space="1" w:color="auto"/>
          <w:left w:val="dotted" w:sz="4" w:space="4" w:color="auto"/>
          <w:bottom w:val="dotted" w:sz="4" w:space="1" w:color="auto"/>
          <w:right w:val="dotted" w:sz="4" w:space="4" w:color="auto"/>
        </w:pBdr>
        <w:spacing w:line="276" w:lineRule="auto"/>
        <w:jc w:val="both"/>
      </w:pPr>
      <w:r w:rsidRPr="007A6CF2">
        <w:t xml:space="preserve">In 2017, the </w:t>
      </w:r>
      <w:r w:rsidRPr="007A6CF2">
        <w:rPr>
          <w:b/>
        </w:rPr>
        <w:t>Swedish Equality Ombudsman</w:t>
      </w:r>
      <w:r w:rsidR="005B0837">
        <w:rPr>
          <w:b/>
        </w:rPr>
        <w:t xml:space="preserve"> (EO)</w:t>
      </w:r>
      <w:r w:rsidRPr="007A6CF2">
        <w:t xml:space="preserve"> </w:t>
      </w:r>
      <w:r w:rsidR="005B0837">
        <w:t xml:space="preserve">started to </w:t>
      </w:r>
      <w:r w:rsidRPr="007A6CF2">
        <w:t>supervis</w:t>
      </w:r>
      <w:r w:rsidR="005B0837">
        <w:t>e</w:t>
      </w:r>
      <w:r w:rsidRPr="007A6CF2">
        <w:t xml:space="preserve"> a school where a pupil was subjected to ha</w:t>
      </w:r>
      <w:r w:rsidR="00DF6620" w:rsidRPr="007A6CF2">
        <w:t>rassment with reference to the</w:t>
      </w:r>
      <w:r w:rsidRPr="007A6CF2">
        <w:t xml:space="preserve"> transgender identity</w:t>
      </w:r>
      <w:r w:rsidR="00DF6620" w:rsidRPr="007A6CF2">
        <w:t xml:space="preserve"> of </w:t>
      </w:r>
      <w:r w:rsidR="008A7877" w:rsidRPr="007A6CF2">
        <w:t xml:space="preserve">his or her </w:t>
      </w:r>
      <w:r w:rsidR="00DF6620" w:rsidRPr="007F5005">
        <w:t>custodian</w:t>
      </w:r>
      <w:r w:rsidRPr="007F5005">
        <w:t xml:space="preserve">. </w:t>
      </w:r>
      <w:r w:rsidR="00DF6620" w:rsidRPr="007F5005">
        <w:t xml:space="preserve">The EO established that the school was aware of the harassment but did not take action to stop it and therefore breached its obligations under the Discrimination Act. </w:t>
      </w:r>
    </w:p>
    <w:p w14:paraId="4917C738" w14:textId="25D73F73" w:rsidR="00DF6620" w:rsidRPr="007A6CF2" w:rsidRDefault="009A1DE6" w:rsidP="00C505FC">
      <w:pPr>
        <w:pBdr>
          <w:top w:val="dotted" w:sz="4" w:space="1" w:color="auto"/>
          <w:left w:val="dotted" w:sz="4" w:space="4" w:color="auto"/>
          <w:bottom w:val="dotted" w:sz="4" w:space="1" w:color="auto"/>
          <w:right w:val="dotted" w:sz="4" w:space="4" w:color="auto"/>
        </w:pBdr>
        <w:spacing w:line="276" w:lineRule="auto"/>
        <w:jc w:val="both"/>
      </w:pPr>
      <w:r w:rsidRPr="007A6CF2">
        <w:t xml:space="preserve">The </w:t>
      </w:r>
      <w:r w:rsidRPr="007A6CF2">
        <w:rPr>
          <w:b/>
        </w:rPr>
        <w:t>Commissioner for Protection of Equality of Serbia</w:t>
      </w:r>
      <w:r w:rsidRPr="007A6CF2">
        <w:t xml:space="preserve"> issued a public warning to the press condemning homophobic content and emphasizing the necessity to eradicate all forms of hate speech from media. It also issued a public warning condemning an assault on a</w:t>
      </w:r>
      <w:r w:rsidR="005B0837">
        <w:t>n</w:t>
      </w:r>
      <w:r w:rsidRPr="007A6CF2">
        <w:t xml:space="preserve"> LGBT activist, which highlighted the importance of sanctioning perpetrators</w:t>
      </w:r>
      <w:r w:rsidR="005B0837">
        <w:t>, as well as</w:t>
      </w:r>
      <w:r w:rsidRPr="007A6CF2">
        <w:t xml:space="preserve"> adopting adequate measures in order to create a society where </w:t>
      </w:r>
      <w:r w:rsidR="005B0837">
        <w:t xml:space="preserve">the </w:t>
      </w:r>
      <w:r w:rsidRPr="007A6CF2">
        <w:t xml:space="preserve">LGBTI population </w:t>
      </w:r>
      <w:r w:rsidR="005B0837">
        <w:t>feels safe</w:t>
      </w:r>
      <w:r w:rsidRPr="007A6CF2">
        <w:t xml:space="preserve">. </w:t>
      </w:r>
    </w:p>
    <w:p w14:paraId="1762CB07" w14:textId="77777777" w:rsidR="00C505FC" w:rsidRDefault="00C505FC">
      <w:pPr>
        <w:rPr>
          <w:b/>
          <w:sz w:val="28"/>
          <w:szCs w:val="24"/>
          <w:highlight w:val="yellow"/>
        </w:rPr>
      </w:pPr>
      <w:r>
        <w:rPr>
          <w:b/>
          <w:sz w:val="28"/>
          <w:szCs w:val="24"/>
          <w:highlight w:val="yellow"/>
        </w:rPr>
        <w:br w:type="page"/>
      </w:r>
    </w:p>
    <w:p w14:paraId="3D56F625" w14:textId="0AEB0ABF" w:rsidR="00792ACF" w:rsidRPr="007A6CF2" w:rsidRDefault="008D327E" w:rsidP="00C505FC">
      <w:pPr>
        <w:shd w:val="clear" w:color="auto" w:fill="F2F2F2" w:themeFill="background1" w:themeFillShade="F2"/>
        <w:spacing w:line="276" w:lineRule="auto"/>
        <w:rPr>
          <w:b/>
          <w:sz w:val="28"/>
          <w:szCs w:val="24"/>
        </w:rPr>
      </w:pPr>
      <w:r w:rsidRPr="007A6CF2">
        <w:rPr>
          <w:b/>
          <w:sz w:val="28"/>
          <w:szCs w:val="24"/>
        </w:rPr>
        <w:t>Supporting</w:t>
      </w:r>
      <w:r w:rsidR="00792ACF" w:rsidRPr="007A6CF2">
        <w:rPr>
          <w:b/>
          <w:sz w:val="28"/>
          <w:szCs w:val="24"/>
        </w:rPr>
        <w:t xml:space="preserve"> education actors to advance LGBTI equality</w:t>
      </w:r>
    </w:p>
    <w:p w14:paraId="3E67A123" w14:textId="58F4333C" w:rsidR="00503041" w:rsidRPr="001A723A" w:rsidRDefault="00503041" w:rsidP="00C505FC">
      <w:pPr>
        <w:spacing w:after="0" w:line="276" w:lineRule="auto"/>
        <w:jc w:val="both"/>
        <w:rPr>
          <w:rFonts w:eastAsia="Times New Roman" w:cs="Times New Roman"/>
          <w:i/>
          <w:iCs/>
          <w:szCs w:val="28"/>
          <w:lang w:eastAsia="sk-SK"/>
        </w:rPr>
      </w:pPr>
      <w:r w:rsidRPr="001A723A">
        <w:rPr>
          <w:rFonts w:eastAsia="Times New Roman" w:cs="Times New Roman"/>
          <w:i/>
          <w:iCs/>
          <w:szCs w:val="28"/>
          <w:lang w:eastAsia="sk-SK"/>
        </w:rPr>
        <w:t xml:space="preserve">The List of Actions </w:t>
      </w:r>
      <w:r w:rsidR="00414FF4" w:rsidRPr="001A723A">
        <w:rPr>
          <w:rFonts w:eastAsia="Times New Roman" w:cs="Times New Roman"/>
          <w:i/>
          <w:iCs/>
          <w:szCs w:val="28"/>
          <w:lang w:eastAsia="sk-SK"/>
        </w:rPr>
        <w:t>commits to support Member States through the exchange of best practice</w:t>
      </w:r>
      <w:r w:rsidR="00D470D0" w:rsidRPr="001A723A">
        <w:rPr>
          <w:rFonts w:eastAsia="Times New Roman" w:cs="Times New Roman"/>
          <w:i/>
          <w:iCs/>
          <w:szCs w:val="28"/>
          <w:lang w:eastAsia="sk-SK"/>
        </w:rPr>
        <w:t>s</w:t>
      </w:r>
      <w:r w:rsidR="00414FF4" w:rsidRPr="001A723A">
        <w:rPr>
          <w:rFonts w:eastAsia="Times New Roman" w:cs="Times New Roman"/>
          <w:i/>
          <w:iCs/>
          <w:szCs w:val="28"/>
          <w:lang w:eastAsia="sk-SK"/>
        </w:rPr>
        <w:t xml:space="preserve"> of safe school environment</w:t>
      </w:r>
      <w:r w:rsidR="00D470D0" w:rsidRPr="001A723A">
        <w:rPr>
          <w:rFonts w:eastAsia="Times New Roman" w:cs="Times New Roman"/>
          <w:i/>
          <w:iCs/>
          <w:szCs w:val="28"/>
          <w:lang w:eastAsia="sk-SK"/>
        </w:rPr>
        <w:t>s</w:t>
      </w:r>
      <w:r w:rsidR="00414FF4" w:rsidRPr="001A723A">
        <w:rPr>
          <w:rFonts w:eastAsia="Times New Roman" w:cs="Times New Roman"/>
          <w:i/>
          <w:iCs/>
          <w:szCs w:val="28"/>
          <w:lang w:eastAsia="sk-SK"/>
        </w:rPr>
        <w:t xml:space="preserve"> and </w:t>
      </w:r>
      <w:r w:rsidR="00D470D0" w:rsidRPr="001A723A">
        <w:rPr>
          <w:rFonts w:eastAsia="Times New Roman" w:cs="Times New Roman"/>
          <w:i/>
          <w:iCs/>
          <w:szCs w:val="28"/>
          <w:lang w:eastAsia="sk-SK"/>
        </w:rPr>
        <w:t xml:space="preserve">the </w:t>
      </w:r>
      <w:r w:rsidR="00414FF4" w:rsidRPr="001A723A">
        <w:rPr>
          <w:rFonts w:eastAsia="Times New Roman" w:cs="Times New Roman"/>
          <w:i/>
          <w:iCs/>
          <w:szCs w:val="28"/>
          <w:lang w:eastAsia="sk-SK"/>
        </w:rPr>
        <w:t xml:space="preserve">promotion of diversity </w:t>
      </w:r>
      <w:r w:rsidR="00D470D0" w:rsidRPr="001A723A">
        <w:rPr>
          <w:rFonts w:eastAsia="Times New Roman" w:cs="Times New Roman"/>
          <w:i/>
          <w:iCs/>
          <w:szCs w:val="28"/>
          <w:lang w:eastAsia="sk-SK"/>
        </w:rPr>
        <w:t xml:space="preserve">for LGBTI people </w:t>
      </w:r>
      <w:r w:rsidR="00414FF4" w:rsidRPr="001A723A">
        <w:rPr>
          <w:rFonts w:eastAsia="Times New Roman" w:cs="Times New Roman"/>
          <w:i/>
          <w:iCs/>
          <w:szCs w:val="28"/>
          <w:lang w:eastAsia="sk-SK"/>
        </w:rPr>
        <w:t xml:space="preserve">in line with the 2015 Paris Declaration of EU Education Ministers. </w:t>
      </w:r>
      <w:r w:rsidR="00D470D0" w:rsidRPr="001A723A">
        <w:rPr>
          <w:rFonts w:eastAsia="Times New Roman" w:cs="Times New Roman"/>
          <w:i/>
          <w:iCs/>
          <w:szCs w:val="28"/>
          <w:lang w:eastAsia="sk-SK"/>
        </w:rPr>
        <w:t xml:space="preserve">Equality bodies </w:t>
      </w:r>
      <w:r w:rsidR="0071069A" w:rsidRPr="001A723A">
        <w:rPr>
          <w:i/>
          <w:iCs/>
          <w:szCs w:val="28"/>
        </w:rPr>
        <w:t xml:space="preserve">have been working with education actors to advance LGBTI equality and their experience suggests useful </w:t>
      </w:r>
      <w:r w:rsidR="00417F8F" w:rsidRPr="001A723A">
        <w:rPr>
          <w:i/>
          <w:iCs/>
          <w:szCs w:val="28"/>
        </w:rPr>
        <w:t>lessons</w:t>
      </w:r>
      <w:r w:rsidR="0071069A" w:rsidRPr="001A723A">
        <w:rPr>
          <w:i/>
          <w:iCs/>
          <w:szCs w:val="28"/>
        </w:rPr>
        <w:t>.</w:t>
      </w:r>
    </w:p>
    <w:p w14:paraId="418D6E1A" w14:textId="77777777" w:rsidR="00503041" w:rsidRPr="001A723A" w:rsidRDefault="00503041" w:rsidP="00C505FC">
      <w:pPr>
        <w:spacing w:after="0" w:line="276" w:lineRule="auto"/>
        <w:jc w:val="both"/>
        <w:rPr>
          <w:rFonts w:eastAsia="Times New Roman" w:cs="Times New Roman"/>
          <w:iCs/>
          <w:szCs w:val="28"/>
          <w:lang w:eastAsia="sk-SK"/>
        </w:rPr>
      </w:pPr>
    </w:p>
    <w:p w14:paraId="556BF9BB" w14:textId="2B5E71AB" w:rsidR="00C370E5" w:rsidRPr="001A723A" w:rsidRDefault="00284226" w:rsidP="00C505FC">
      <w:pPr>
        <w:spacing w:after="0" w:line="276" w:lineRule="auto"/>
        <w:jc w:val="both"/>
        <w:rPr>
          <w:rFonts w:eastAsia="Times New Roman" w:cs="Times New Roman"/>
          <w:iCs/>
          <w:szCs w:val="28"/>
          <w:lang w:eastAsia="sk-SK"/>
        </w:rPr>
      </w:pPr>
      <w:r w:rsidRPr="001A723A">
        <w:rPr>
          <w:rFonts w:eastAsia="Times New Roman" w:cs="Times New Roman"/>
          <w:b/>
          <w:iCs/>
          <w:color w:val="0070C0"/>
          <w:sz w:val="28"/>
          <w:szCs w:val="28"/>
          <w:lang w:eastAsia="sk-SK"/>
        </w:rPr>
        <w:t xml:space="preserve"> Insights</w:t>
      </w:r>
      <w:r w:rsidR="00417F8F" w:rsidRPr="001A723A">
        <w:rPr>
          <w:rFonts w:eastAsia="Times New Roman" w:cs="Times New Roman"/>
          <w:b/>
          <w:iCs/>
          <w:color w:val="0070C0"/>
          <w:sz w:val="28"/>
          <w:szCs w:val="28"/>
          <w:lang w:eastAsia="sk-SK"/>
        </w:rPr>
        <w:t xml:space="preserve"> </w:t>
      </w:r>
      <w:r w:rsidR="00412DAB" w:rsidRPr="001A723A">
        <w:rPr>
          <w:rFonts w:eastAsia="Times New Roman" w:cs="Times New Roman"/>
          <w:b/>
          <w:iCs/>
          <w:color w:val="0070C0"/>
          <w:sz w:val="28"/>
          <w:szCs w:val="28"/>
          <w:lang w:eastAsia="sk-SK"/>
        </w:rPr>
        <w:t>from the work of equality bodies</w:t>
      </w:r>
    </w:p>
    <w:p w14:paraId="5C34DE01" w14:textId="77777777" w:rsidR="00AB1783" w:rsidRPr="001A723A" w:rsidRDefault="00AB1783" w:rsidP="00C505FC">
      <w:pPr>
        <w:spacing w:after="0" w:line="276" w:lineRule="auto"/>
        <w:jc w:val="both"/>
        <w:rPr>
          <w:rFonts w:eastAsia="Times New Roman" w:cs="Times New Roman"/>
          <w:iCs/>
          <w:szCs w:val="28"/>
          <w:lang w:eastAsia="sk-SK"/>
        </w:rPr>
      </w:pPr>
    </w:p>
    <w:p w14:paraId="3B10FC76" w14:textId="2C05F58B" w:rsidR="00DE6D9F" w:rsidRPr="001A723A" w:rsidRDefault="009A1DE6" w:rsidP="00C505FC">
      <w:pPr>
        <w:pStyle w:val="ListParagraph"/>
        <w:numPr>
          <w:ilvl w:val="0"/>
          <w:numId w:val="19"/>
        </w:numPr>
        <w:spacing w:after="0" w:line="276" w:lineRule="auto"/>
        <w:jc w:val="both"/>
        <w:rPr>
          <w:rFonts w:eastAsia="Times New Roman" w:cs="Times New Roman"/>
          <w:iCs/>
          <w:szCs w:val="28"/>
          <w:lang w:eastAsia="sk-SK"/>
        </w:rPr>
      </w:pPr>
      <w:r w:rsidRPr="001A723A">
        <w:rPr>
          <w:rFonts w:eastAsia="Times New Roman" w:cs="Times New Roman"/>
          <w:iCs/>
          <w:szCs w:val="28"/>
          <w:lang w:eastAsia="sk-SK"/>
        </w:rPr>
        <w:t xml:space="preserve">Targeted </w:t>
      </w:r>
      <w:r w:rsidRPr="001A723A">
        <w:rPr>
          <w:rFonts w:eastAsia="Times New Roman" w:cs="Times New Roman"/>
          <w:b/>
          <w:iCs/>
          <w:szCs w:val="28"/>
          <w:lang w:eastAsia="sk-SK"/>
        </w:rPr>
        <w:t>training and guidance</w:t>
      </w:r>
      <w:r w:rsidRPr="001A723A">
        <w:rPr>
          <w:rFonts w:eastAsia="Times New Roman" w:cs="Times New Roman"/>
          <w:iCs/>
          <w:szCs w:val="28"/>
          <w:lang w:eastAsia="sk-SK"/>
        </w:rPr>
        <w:t xml:space="preserve"> </w:t>
      </w:r>
      <w:r w:rsidRPr="001A723A">
        <w:rPr>
          <w:rFonts w:eastAsia="Times New Roman" w:cs="Times New Roman"/>
          <w:b/>
          <w:iCs/>
          <w:szCs w:val="28"/>
          <w:lang w:eastAsia="sk-SK"/>
        </w:rPr>
        <w:t>for all education actors</w:t>
      </w:r>
      <w:r w:rsidRPr="001A723A">
        <w:rPr>
          <w:rFonts w:eastAsia="Times New Roman" w:cs="Times New Roman"/>
          <w:iCs/>
          <w:szCs w:val="28"/>
          <w:lang w:eastAsia="sk-SK"/>
        </w:rPr>
        <w:t xml:space="preserve"> is crucial to support </w:t>
      </w:r>
      <w:r w:rsidR="009812B0">
        <w:rPr>
          <w:rFonts w:eastAsia="Times New Roman" w:cs="Times New Roman"/>
          <w:iCs/>
          <w:szCs w:val="28"/>
          <w:lang w:eastAsia="sk-SK"/>
        </w:rPr>
        <w:t xml:space="preserve">an </w:t>
      </w:r>
      <w:r w:rsidRPr="001A723A">
        <w:rPr>
          <w:rFonts w:eastAsia="Times New Roman" w:cs="Times New Roman"/>
          <w:iCs/>
          <w:szCs w:val="28"/>
          <w:lang w:eastAsia="sk-SK"/>
        </w:rPr>
        <w:t xml:space="preserve">LGBTI-inclusive </w:t>
      </w:r>
      <w:r w:rsidR="00DE6D9F" w:rsidRPr="001A723A">
        <w:rPr>
          <w:rFonts w:eastAsia="Times New Roman" w:cs="Times New Roman"/>
          <w:iCs/>
          <w:szCs w:val="28"/>
          <w:lang w:eastAsia="sk-SK"/>
        </w:rPr>
        <w:t>school environment</w:t>
      </w:r>
      <w:r w:rsidRPr="001A723A">
        <w:rPr>
          <w:rFonts w:eastAsia="Times New Roman" w:cs="Times New Roman"/>
          <w:iCs/>
          <w:szCs w:val="28"/>
          <w:lang w:eastAsia="sk-SK"/>
        </w:rPr>
        <w:t>.</w:t>
      </w:r>
      <w:r w:rsidR="00DE6D9F" w:rsidRPr="001A723A">
        <w:rPr>
          <w:rFonts w:eastAsia="Times New Roman" w:cs="Times New Roman"/>
          <w:iCs/>
          <w:szCs w:val="28"/>
          <w:lang w:eastAsia="sk-SK"/>
        </w:rPr>
        <w:t xml:space="preserve"> Equality bodies participate in designing and delivering trainings to raise awareness on LGBTI issues among teachers, educators and policy makers in education. </w:t>
      </w:r>
    </w:p>
    <w:p w14:paraId="36297547" w14:textId="602618C3" w:rsidR="00AB1783" w:rsidRPr="001A723A" w:rsidRDefault="00DE6D9F" w:rsidP="00C505FC">
      <w:pPr>
        <w:pStyle w:val="ListParagraph"/>
        <w:numPr>
          <w:ilvl w:val="0"/>
          <w:numId w:val="19"/>
        </w:numPr>
        <w:spacing w:after="0" w:line="276" w:lineRule="auto"/>
        <w:jc w:val="both"/>
        <w:rPr>
          <w:rFonts w:eastAsia="Times New Roman" w:cs="Times New Roman"/>
          <w:iCs/>
          <w:szCs w:val="28"/>
          <w:lang w:eastAsia="sk-SK"/>
        </w:rPr>
      </w:pPr>
      <w:r w:rsidRPr="001A723A">
        <w:rPr>
          <w:rFonts w:eastAsia="Times New Roman" w:cs="Times New Roman"/>
          <w:iCs/>
          <w:szCs w:val="28"/>
          <w:lang w:eastAsia="sk-SK"/>
        </w:rPr>
        <w:t>It is important that education policies and school curricula pay due attention to principle</w:t>
      </w:r>
      <w:r w:rsidR="006B1335" w:rsidRPr="001A723A">
        <w:rPr>
          <w:rFonts w:eastAsia="Times New Roman" w:cs="Times New Roman"/>
          <w:iCs/>
          <w:szCs w:val="28"/>
          <w:lang w:eastAsia="sk-SK"/>
        </w:rPr>
        <w:t>s of equality</w:t>
      </w:r>
      <w:r w:rsidRPr="001A723A">
        <w:rPr>
          <w:rFonts w:eastAsia="Times New Roman" w:cs="Times New Roman"/>
          <w:iCs/>
          <w:szCs w:val="28"/>
          <w:lang w:eastAsia="sk-SK"/>
        </w:rPr>
        <w:t xml:space="preserve"> and are LGBTI inclusive. Based on their expertise, equality bodies support the work of education actors by giving </w:t>
      </w:r>
      <w:r w:rsidRPr="001A723A">
        <w:rPr>
          <w:rFonts w:eastAsia="Times New Roman" w:cs="Times New Roman"/>
          <w:b/>
          <w:iCs/>
          <w:szCs w:val="28"/>
          <w:lang w:eastAsia="sk-SK"/>
        </w:rPr>
        <w:t>policy recommendations</w:t>
      </w:r>
      <w:r w:rsidRPr="001A723A">
        <w:rPr>
          <w:rFonts w:eastAsia="Times New Roman" w:cs="Times New Roman"/>
          <w:iCs/>
          <w:szCs w:val="28"/>
          <w:lang w:eastAsia="sk-SK"/>
        </w:rPr>
        <w:t xml:space="preserve"> in the field of education. </w:t>
      </w:r>
    </w:p>
    <w:p w14:paraId="4BA3AAA8" w14:textId="4C18DC7A" w:rsidR="00DE6D9F" w:rsidRPr="001A723A" w:rsidRDefault="00DE6D9F" w:rsidP="00C505FC">
      <w:pPr>
        <w:pStyle w:val="ListParagraph"/>
        <w:numPr>
          <w:ilvl w:val="0"/>
          <w:numId w:val="19"/>
        </w:numPr>
        <w:spacing w:after="0" w:line="276" w:lineRule="auto"/>
        <w:jc w:val="both"/>
        <w:rPr>
          <w:rFonts w:eastAsia="Times New Roman" w:cs="Times New Roman"/>
          <w:iCs/>
          <w:szCs w:val="28"/>
          <w:lang w:eastAsia="sk-SK"/>
        </w:rPr>
      </w:pPr>
      <w:r w:rsidRPr="001A723A">
        <w:rPr>
          <w:rFonts w:eastAsia="Times New Roman" w:cs="Times New Roman"/>
          <w:iCs/>
          <w:szCs w:val="28"/>
          <w:lang w:eastAsia="sk-SK"/>
        </w:rPr>
        <w:t xml:space="preserve">The </w:t>
      </w:r>
      <w:r w:rsidRPr="001A723A">
        <w:rPr>
          <w:rFonts w:eastAsia="Times New Roman" w:cs="Times New Roman"/>
          <w:b/>
          <w:iCs/>
          <w:szCs w:val="28"/>
          <w:lang w:eastAsia="sk-SK"/>
        </w:rPr>
        <w:t>European Commission</w:t>
      </w:r>
      <w:r w:rsidRPr="001A723A">
        <w:rPr>
          <w:rFonts w:eastAsia="Times New Roman" w:cs="Times New Roman"/>
          <w:iCs/>
          <w:szCs w:val="28"/>
          <w:lang w:eastAsia="sk-SK"/>
        </w:rPr>
        <w:t xml:space="preserve"> could support the development of EU guidelines to support </w:t>
      </w:r>
      <w:r w:rsidRPr="001A723A">
        <w:rPr>
          <w:rFonts w:eastAsia="Times New Roman" w:cs="Times New Roman"/>
          <w:b/>
          <w:iCs/>
          <w:szCs w:val="28"/>
          <w:lang w:eastAsia="sk-SK"/>
        </w:rPr>
        <w:t>school curricula</w:t>
      </w:r>
      <w:r w:rsidRPr="001A723A">
        <w:rPr>
          <w:rFonts w:eastAsia="Times New Roman" w:cs="Times New Roman"/>
          <w:iCs/>
          <w:szCs w:val="28"/>
          <w:lang w:eastAsia="sk-SK"/>
        </w:rPr>
        <w:t xml:space="preserve"> promoting equality</w:t>
      </w:r>
      <w:r w:rsidR="009812B0">
        <w:rPr>
          <w:rFonts w:eastAsia="Times New Roman" w:cs="Times New Roman"/>
          <w:iCs/>
          <w:szCs w:val="28"/>
          <w:lang w:eastAsia="sk-SK"/>
        </w:rPr>
        <w:t>, that is</w:t>
      </w:r>
      <w:r w:rsidRPr="001A723A">
        <w:rPr>
          <w:rFonts w:eastAsia="Times New Roman" w:cs="Times New Roman"/>
          <w:iCs/>
          <w:szCs w:val="28"/>
          <w:lang w:eastAsia="sk-SK"/>
        </w:rPr>
        <w:t xml:space="preserve"> free from discriminatory and stereotypical content. A similar approach could be adopted to develop </w:t>
      </w:r>
      <w:r w:rsidRPr="001A723A">
        <w:rPr>
          <w:rFonts w:eastAsia="Times New Roman" w:cs="Times New Roman"/>
          <w:b/>
          <w:iCs/>
          <w:szCs w:val="28"/>
          <w:lang w:eastAsia="sk-SK"/>
        </w:rPr>
        <w:t>EU guidelines</w:t>
      </w:r>
      <w:r w:rsidRPr="001A723A">
        <w:rPr>
          <w:rFonts w:eastAsia="Times New Roman" w:cs="Times New Roman"/>
          <w:iCs/>
          <w:szCs w:val="28"/>
          <w:lang w:eastAsia="sk-SK"/>
        </w:rPr>
        <w:t xml:space="preserve"> </w:t>
      </w:r>
      <w:r w:rsidR="009812B0">
        <w:rPr>
          <w:rFonts w:eastAsia="Times New Roman" w:cs="Times New Roman"/>
          <w:iCs/>
          <w:szCs w:val="28"/>
          <w:lang w:eastAsia="sk-SK"/>
        </w:rPr>
        <w:t>for</w:t>
      </w:r>
      <w:r w:rsidRPr="001A723A">
        <w:rPr>
          <w:rFonts w:eastAsia="Times New Roman" w:cs="Times New Roman"/>
          <w:iCs/>
          <w:szCs w:val="28"/>
          <w:lang w:eastAsia="sk-SK"/>
        </w:rPr>
        <w:t xml:space="preserve"> training</w:t>
      </w:r>
      <w:r w:rsidR="009812B0">
        <w:rPr>
          <w:rFonts w:eastAsia="Times New Roman" w:cs="Times New Roman"/>
          <w:iCs/>
          <w:szCs w:val="28"/>
          <w:lang w:eastAsia="sk-SK"/>
        </w:rPr>
        <w:t xml:space="preserve"> material </w:t>
      </w:r>
      <w:r w:rsidR="009812B0" w:rsidRPr="001A723A">
        <w:rPr>
          <w:rFonts w:eastAsia="Times New Roman" w:cs="Times New Roman"/>
          <w:iCs/>
          <w:szCs w:val="28"/>
          <w:lang w:eastAsia="sk-SK"/>
        </w:rPr>
        <w:t>on LGBTI equality</w:t>
      </w:r>
      <w:r w:rsidR="009812B0">
        <w:rPr>
          <w:rFonts w:eastAsia="Times New Roman" w:cs="Times New Roman"/>
          <w:iCs/>
          <w:szCs w:val="28"/>
          <w:lang w:eastAsia="sk-SK"/>
        </w:rPr>
        <w:t xml:space="preserve"> for</w:t>
      </w:r>
      <w:r w:rsidRPr="001A723A">
        <w:rPr>
          <w:rFonts w:eastAsia="Times New Roman" w:cs="Times New Roman"/>
          <w:iCs/>
          <w:szCs w:val="28"/>
          <w:lang w:eastAsia="sk-SK"/>
        </w:rPr>
        <w:t xml:space="preserve"> teachers. </w:t>
      </w:r>
    </w:p>
    <w:p w14:paraId="25464256" w14:textId="77777777" w:rsidR="007838A9" w:rsidRPr="001A723A" w:rsidRDefault="007838A9" w:rsidP="00C505FC">
      <w:pPr>
        <w:pStyle w:val="ListParagraph"/>
        <w:spacing w:after="0" w:line="276" w:lineRule="auto"/>
        <w:jc w:val="both"/>
        <w:rPr>
          <w:rFonts w:eastAsia="Times New Roman" w:cs="Times New Roman"/>
          <w:iCs/>
          <w:szCs w:val="28"/>
          <w:lang w:eastAsia="sk-SK"/>
        </w:rPr>
      </w:pPr>
    </w:p>
    <w:p w14:paraId="2A584D0F" w14:textId="54C3C24D" w:rsidR="00C370E5" w:rsidRPr="007F5005" w:rsidRDefault="005514FC" w:rsidP="00C505FC">
      <w:pPr>
        <w:spacing w:line="276" w:lineRule="auto"/>
        <w:rPr>
          <w:b/>
          <w:color w:val="0070C0"/>
          <w:sz w:val="28"/>
        </w:rPr>
      </w:pPr>
      <w:r w:rsidRPr="007F5005">
        <w:rPr>
          <w:b/>
          <w:color w:val="0070C0"/>
          <w:sz w:val="28"/>
        </w:rPr>
        <w:t>Equality bodies’ practices</w:t>
      </w:r>
    </w:p>
    <w:p w14:paraId="73223206" w14:textId="3F3816E6" w:rsidR="00AB6D09" w:rsidRPr="001A723A" w:rsidRDefault="009812B0" w:rsidP="00C505FC">
      <w:pPr>
        <w:pBdr>
          <w:top w:val="dotted" w:sz="4" w:space="1" w:color="auto"/>
          <w:left w:val="dotted" w:sz="4" w:space="4" w:color="auto"/>
          <w:bottom w:val="dotted" w:sz="4" w:space="1" w:color="auto"/>
          <w:right w:val="dotted" w:sz="4" w:space="4" w:color="auto"/>
        </w:pBdr>
        <w:spacing w:after="0" w:line="276" w:lineRule="auto"/>
        <w:jc w:val="both"/>
        <w:rPr>
          <w:rFonts w:eastAsia="Times New Roman" w:cs="Times New Roman"/>
          <w:b/>
          <w:iCs/>
          <w:szCs w:val="24"/>
          <w:lang w:eastAsia="sk-SK"/>
        </w:rPr>
      </w:pPr>
      <w:r>
        <w:rPr>
          <w:rFonts w:eastAsia="Times New Roman" w:cs="Times New Roman"/>
          <w:b/>
          <w:iCs/>
          <w:sz w:val="24"/>
          <w:szCs w:val="24"/>
          <w:lang w:eastAsia="sk-SK"/>
        </w:rPr>
        <w:t>Training</w:t>
      </w:r>
    </w:p>
    <w:p w14:paraId="34641DE8" w14:textId="198038C3" w:rsidR="007838A9" w:rsidRPr="001A723A" w:rsidRDefault="003E4955" w:rsidP="00C505FC">
      <w:pPr>
        <w:pBdr>
          <w:top w:val="dotted" w:sz="4" w:space="1" w:color="auto"/>
          <w:left w:val="dotted" w:sz="4" w:space="4" w:color="auto"/>
          <w:bottom w:val="dotted" w:sz="4" w:space="1" w:color="auto"/>
          <w:right w:val="dotted" w:sz="4" w:space="4" w:color="auto"/>
        </w:pBdr>
        <w:spacing w:after="0" w:line="276" w:lineRule="auto"/>
        <w:jc w:val="both"/>
        <w:rPr>
          <w:rFonts w:eastAsia="Times New Roman" w:cs="Times New Roman"/>
          <w:iCs/>
          <w:szCs w:val="24"/>
          <w:lang w:eastAsia="sk-SK"/>
        </w:rPr>
      </w:pPr>
      <w:r w:rsidRPr="001A723A">
        <w:rPr>
          <w:rFonts w:eastAsia="Times New Roman" w:cs="Times New Roman"/>
          <w:iCs/>
          <w:szCs w:val="24"/>
          <w:lang w:eastAsia="sk-SK"/>
        </w:rPr>
        <w:t xml:space="preserve">In 2010 and 2011, the </w:t>
      </w:r>
      <w:r w:rsidR="007838A9" w:rsidRPr="001A723A">
        <w:rPr>
          <w:rFonts w:eastAsia="Times New Roman" w:cs="Times New Roman"/>
          <w:b/>
          <w:iCs/>
          <w:szCs w:val="24"/>
          <w:lang w:eastAsia="sk-SK"/>
        </w:rPr>
        <w:t>Bulgarian Commissioner for Protection against Discrimination</w:t>
      </w:r>
      <w:r w:rsidR="007838A9" w:rsidRPr="001A723A">
        <w:rPr>
          <w:rFonts w:eastAsia="Times New Roman" w:cs="Times New Roman"/>
          <w:iCs/>
          <w:szCs w:val="24"/>
          <w:lang w:eastAsia="sk-SK"/>
        </w:rPr>
        <w:t xml:space="preserve"> implemented the project “Schools without dis</w:t>
      </w:r>
      <w:r w:rsidR="009812B0">
        <w:rPr>
          <w:rFonts w:eastAsia="Times New Roman" w:cs="Times New Roman"/>
          <w:iCs/>
          <w:szCs w:val="24"/>
          <w:lang w:eastAsia="sk-SK"/>
        </w:rPr>
        <w:t>crimination” including training</w:t>
      </w:r>
      <w:r w:rsidR="007838A9" w:rsidRPr="001A723A">
        <w:rPr>
          <w:rFonts w:eastAsia="Times New Roman" w:cs="Times New Roman"/>
          <w:iCs/>
          <w:szCs w:val="24"/>
          <w:lang w:eastAsia="sk-SK"/>
        </w:rPr>
        <w:t xml:space="preserve"> on tolerance and n</w:t>
      </w:r>
      <w:r w:rsidR="009812B0">
        <w:rPr>
          <w:rFonts w:eastAsia="Times New Roman" w:cs="Times New Roman"/>
          <w:iCs/>
          <w:szCs w:val="24"/>
          <w:lang w:eastAsia="sk-SK"/>
        </w:rPr>
        <w:t>on-discrimination. The training</w:t>
      </w:r>
      <w:r w:rsidR="007838A9" w:rsidRPr="001A723A">
        <w:rPr>
          <w:rFonts w:eastAsia="Times New Roman" w:cs="Times New Roman"/>
          <w:iCs/>
          <w:szCs w:val="24"/>
          <w:lang w:eastAsia="sk-SK"/>
        </w:rPr>
        <w:t xml:space="preserve"> introduced handbooks and educational materials for educators, teachers, children and young people from all levels of education system. </w:t>
      </w:r>
    </w:p>
    <w:p w14:paraId="3D03745B" w14:textId="77777777" w:rsidR="007838A9" w:rsidRPr="001A723A" w:rsidRDefault="007838A9" w:rsidP="00C505FC">
      <w:pPr>
        <w:pBdr>
          <w:top w:val="dotted" w:sz="4" w:space="1" w:color="auto"/>
          <w:left w:val="dotted" w:sz="4" w:space="4" w:color="auto"/>
          <w:bottom w:val="dotted" w:sz="4" w:space="1" w:color="auto"/>
          <w:right w:val="dotted" w:sz="4" w:space="4" w:color="auto"/>
        </w:pBdr>
        <w:spacing w:after="0" w:line="276" w:lineRule="auto"/>
        <w:jc w:val="both"/>
        <w:rPr>
          <w:rFonts w:eastAsia="Times New Roman" w:cs="Times New Roman"/>
          <w:iCs/>
          <w:szCs w:val="24"/>
          <w:lang w:eastAsia="sk-SK"/>
        </w:rPr>
      </w:pPr>
    </w:p>
    <w:p w14:paraId="35B66BEC" w14:textId="489395CF" w:rsidR="007838A9" w:rsidRPr="001A723A" w:rsidRDefault="007838A9" w:rsidP="00C505FC">
      <w:pPr>
        <w:pBdr>
          <w:top w:val="dotted" w:sz="4" w:space="1" w:color="auto"/>
          <w:left w:val="dotted" w:sz="4" w:space="4" w:color="auto"/>
          <w:bottom w:val="dotted" w:sz="4" w:space="1" w:color="auto"/>
          <w:right w:val="dotted" w:sz="4" w:space="4" w:color="auto"/>
        </w:pBdr>
        <w:spacing w:after="0" w:line="276" w:lineRule="auto"/>
        <w:jc w:val="both"/>
        <w:rPr>
          <w:rFonts w:eastAsia="Times New Roman" w:cs="Times New Roman"/>
          <w:iCs/>
          <w:szCs w:val="24"/>
          <w:lang w:eastAsia="sk-SK"/>
        </w:rPr>
      </w:pPr>
      <w:r w:rsidRPr="001A723A">
        <w:rPr>
          <w:rFonts w:eastAsia="Times New Roman" w:cs="Times New Roman"/>
          <w:iCs/>
          <w:szCs w:val="24"/>
          <w:lang w:eastAsia="sk-SK"/>
        </w:rPr>
        <w:t xml:space="preserve">The </w:t>
      </w:r>
      <w:r w:rsidRPr="001A723A">
        <w:rPr>
          <w:rFonts w:eastAsia="Times New Roman" w:cs="Times New Roman"/>
          <w:b/>
          <w:iCs/>
          <w:szCs w:val="24"/>
          <w:lang w:eastAsia="sk-SK"/>
        </w:rPr>
        <w:t>Maltese National Commission for the Promotion of Equality (NCPE)</w:t>
      </w:r>
      <w:r w:rsidRPr="001A723A">
        <w:rPr>
          <w:rFonts w:eastAsia="Times New Roman" w:cs="Times New Roman"/>
          <w:iCs/>
          <w:szCs w:val="24"/>
          <w:lang w:eastAsia="sk-SK"/>
        </w:rPr>
        <w:t xml:space="preserve"> supports education actors to advance LGBTI equality through inputs to draft policies, strategies and legislation related to education to ensure that the needs and concerns of LGBTI persons are identified and addressed. NCPE also delivers training sessions on equality and non-discrimination issues, including LGBTI rights, to educators and policy-makers in the field of education.</w:t>
      </w:r>
    </w:p>
    <w:p w14:paraId="136B9A29" w14:textId="77777777" w:rsidR="007838A9" w:rsidRPr="001A723A" w:rsidRDefault="007838A9" w:rsidP="00C505FC">
      <w:pPr>
        <w:pStyle w:val="NoSpacing"/>
        <w:spacing w:line="276" w:lineRule="auto"/>
        <w:rPr>
          <w:noProof/>
          <w:lang w:val="en-GB"/>
        </w:rPr>
      </w:pPr>
    </w:p>
    <w:p w14:paraId="733D23B1" w14:textId="5C388325" w:rsidR="00AB6D09" w:rsidRPr="001A723A" w:rsidRDefault="00AB6D09" w:rsidP="00C505FC">
      <w:pPr>
        <w:pBdr>
          <w:top w:val="dotted" w:sz="4" w:space="1" w:color="auto"/>
          <w:left w:val="dotted" w:sz="4" w:space="4" w:color="auto"/>
          <w:bottom w:val="dotted" w:sz="4" w:space="1" w:color="auto"/>
          <w:right w:val="dotted" w:sz="4" w:space="4" w:color="auto"/>
        </w:pBdr>
        <w:spacing w:after="0" w:line="276" w:lineRule="auto"/>
        <w:jc w:val="both"/>
        <w:rPr>
          <w:rFonts w:eastAsia="Times New Roman" w:cs="Times New Roman"/>
          <w:b/>
          <w:iCs/>
          <w:sz w:val="24"/>
          <w:szCs w:val="24"/>
          <w:lang w:eastAsia="sk-SK"/>
        </w:rPr>
      </w:pPr>
      <w:r w:rsidRPr="001A723A">
        <w:rPr>
          <w:rFonts w:eastAsia="Times New Roman" w:cs="Times New Roman"/>
          <w:b/>
          <w:iCs/>
          <w:sz w:val="24"/>
          <w:szCs w:val="24"/>
          <w:lang w:eastAsia="sk-SK"/>
        </w:rPr>
        <w:t>Recommendations</w:t>
      </w:r>
    </w:p>
    <w:p w14:paraId="714DD132" w14:textId="2EF415C4" w:rsidR="00412DAB" w:rsidRPr="001A723A" w:rsidRDefault="00412DAB" w:rsidP="00C505FC">
      <w:pPr>
        <w:pBdr>
          <w:top w:val="dotted" w:sz="4" w:space="1" w:color="auto"/>
          <w:left w:val="dotted" w:sz="4" w:space="4" w:color="auto"/>
          <w:bottom w:val="dotted" w:sz="4" w:space="1" w:color="auto"/>
          <w:right w:val="dotted" w:sz="4" w:space="4" w:color="auto"/>
        </w:pBdr>
        <w:spacing w:after="0" w:line="276" w:lineRule="auto"/>
        <w:jc w:val="both"/>
        <w:rPr>
          <w:rFonts w:eastAsia="Times New Roman" w:cs="Times New Roman"/>
          <w:iCs/>
          <w:szCs w:val="24"/>
          <w:lang w:eastAsia="sk-SK"/>
        </w:rPr>
      </w:pPr>
      <w:r w:rsidRPr="001A723A">
        <w:rPr>
          <w:rFonts w:eastAsia="Times New Roman" w:cs="Times New Roman"/>
          <w:iCs/>
          <w:szCs w:val="24"/>
          <w:lang w:eastAsia="sk-SK"/>
        </w:rPr>
        <w:t xml:space="preserve">The </w:t>
      </w:r>
      <w:r w:rsidRPr="001A723A">
        <w:rPr>
          <w:rFonts w:eastAsia="Times New Roman" w:cs="Times New Roman"/>
          <w:b/>
          <w:iCs/>
          <w:szCs w:val="24"/>
          <w:lang w:eastAsia="sk-SK"/>
        </w:rPr>
        <w:t>Commissioner for Protection of Equality of Serbia</w:t>
      </w:r>
      <w:r w:rsidRPr="001A723A">
        <w:rPr>
          <w:rFonts w:eastAsia="Times New Roman" w:cs="Times New Roman"/>
          <w:iCs/>
          <w:szCs w:val="24"/>
          <w:lang w:eastAsia="sk-SK"/>
        </w:rPr>
        <w:t xml:space="preserve"> issued a recommendation to the Ministry of Education and the Office for Advancement of Education calling for </w:t>
      </w:r>
      <w:r w:rsidR="009812B0">
        <w:rPr>
          <w:rFonts w:eastAsia="Times New Roman" w:cs="Times New Roman"/>
          <w:iCs/>
          <w:szCs w:val="24"/>
          <w:lang w:eastAsia="sk-SK"/>
        </w:rPr>
        <w:t xml:space="preserve">the </w:t>
      </w:r>
      <w:r w:rsidRPr="001A723A">
        <w:rPr>
          <w:rFonts w:eastAsia="Times New Roman" w:cs="Times New Roman"/>
          <w:iCs/>
          <w:szCs w:val="24"/>
          <w:lang w:eastAsia="sk-SK"/>
        </w:rPr>
        <w:t xml:space="preserve">removal of all discriminatory content from textbooks and workbooks. It highlighted the need </w:t>
      </w:r>
      <w:r w:rsidR="009812B0">
        <w:rPr>
          <w:rFonts w:eastAsia="Times New Roman" w:cs="Times New Roman"/>
          <w:iCs/>
          <w:szCs w:val="24"/>
          <w:lang w:eastAsia="sk-SK"/>
        </w:rPr>
        <w:t>for</w:t>
      </w:r>
      <w:r w:rsidRPr="001A723A">
        <w:rPr>
          <w:rFonts w:eastAsia="Times New Roman" w:cs="Times New Roman"/>
          <w:iCs/>
          <w:szCs w:val="24"/>
          <w:lang w:eastAsia="sk-SK"/>
        </w:rPr>
        <w:t xml:space="preserve"> constant promotion of tolerance and human rights within the curriculum. The Serbian equality body suggested that all university textbooks should include content promoting diversity, culture of peace and non-discrimination. Special reference was given to LGBTI rights underlying the necessity of amending content of textbooks in favour of equality and inclusion of </w:t>
      </w:r>
      <w:r w:rsidR="009812B0">
        <w:rPr>
          <w:rFonts w:eastAsia="Times New Roman" w:cs="Times New Roman"/>
          <w:iCs/>
          <w:szCs w:val="24"/>
          <w:lang w:eastAsia="sk-SK"/>
        </w:rPr>
        <w:t xml:space="preserve">the </w:t>
      </w:r>
      <w:r w:rsidRPr="001A723A">
        <w:rPr>
          <w:rFonts w:eastAsia="Times New Roman" w:cs="Times New Roman"/>
          <w:iCs/>
          <w:szCs w:val="24"/>
          <w:lang w:eastAsia="sk-SK"/>
        </w:rPr>
        <w:t>LGBTI community within the education system.</w:t>
      </w:r>
    </w:p>
    <w:p w14:paraId="7F9F4E94" w14:textId="77777777" w:rsidR="00C370E5" w:rsidRPr="001A723A" w:rsidRDefault="00C370E5" w:rsidP="00C505FC">
      <w:pPr>
        <w:spacing w:after="0" w:line="276" w:lineRule="auto"/>
        <w:jc w:val="both"/>
        <w:rPr>
          <w:rFonts w:eastAsia="Times New Roman" w:cs="Times New Roman"/>
          <w:iCs/>
          <w:szCs w:val="24"/>
          <w:lang w:eastAsia="sk-SK"/>
        </w:rPr>
      </w:pPr>
    </w:p>
    <w:p w14:paraId="0DC2EDA4" w14:textId="03F80084" w:rsidR="006B1335" w:rsidRPr="001A723A" w:rsidRDefault="006B1335" w:rsidP="00C505FC">
      <w:pPr>
        <w:pBdr>
          <w:top w:val="dotted" w:sz="4" w:space="1" w:color="auto"/>
          <w:left w:val="dotted" w:sz="4" w:space="4" w:color="auto"/>
          <w:bottom w:val="dotted" w:sz="4" w:space="1" w:color="auto"/>
          <w:right w:val="dotted" w:sz="4" w:space="4" w:color="auto"/>
        </w:pBdr>
        <w:spacing w:after="0" w:line="276" w:lineRule="auto"/>
        <w:jc w:val="both"/>
        <w:rPr>
          <w:rFonts w:eastAsia="Times New Roman" w:cs="Times New Roman"/>
          <w:b/>
          <w:iCs/>
          <w:sz w:val="24"/>
          <w:szCs w:val="24"/>
          <w:lang w:eastAsia="sk-SK"/>
        </w:rPr>
      </w:pPr>
      <w:r w:rsidRPr="001A723A">
        <w:rPr>
          <w:rFonts w:eastAsia="Times New Roman" w:cs="Times New Roman"/>
          <w:b/>
          <w:iCs/>
          <w:sz w:val="24"/>
          <w:szCs w:val="24"/>
          <w:lang w:eastAsia="sk-SK"/>
        </w:rPr>
        <w:t>Promotion</w:t>
      </w:r>
    </w:p>
    <w:p w14:paraId="48B40A15" w14:textId="6790F6CD" w:rsidR="003C708E" w:rsidRPr="001A723A" w:rsidRDefault="006B1335" w:rsidP="00C505FC">
      <w:pPr>
        <w:pBdr>
          <w:top w:val="dotted" w:sz="4" w:space="1" w:color="auto"/>
          <w:left w:val="dotted" w:sz="4" w:space="4" w:color="auto"/>
          <w:bottom w:val="dotted" w:sz="4" w:space="1" w:color="auto"/>
          <w:right w:val="dotted" w:sz="4" w:space="4" w:color="auto"/>
        </w:pBdr>
        <w:spacing w:after="0" w:line="276" w:lineRule="auto"/>
        <w:jc w:val="both"/>
        <w:rPr>
          <w:rFonts w:eastAsia="Times New Roman" w:cs="Times New Roman"/>
          <w:iCs/>
          <w:szCs w:val="24"/>
          <w:lang w:eastAsia="sk-SK"/>
        </w:rPr>
      </w:pPr>
      <w:r w:rsidRPr="001A723A">
        <w:rPr>
          <w:rFonts w:eastAsia="Times New Roman" w:cs="Times New Roman"/>
          <w:iCs/>
          <w:szCs w:val="24"/>
          <w:lang w:eastAsia="sk-SK"/>
        </w:rPr>
        <w:t xml:space="preserve">In 2017, the </w:t>
      </w:r>
      <w:r w:rsidRPr="001A723A">
        <w:rPr>
          <w:rFonts w:eastAsia="Times New Roman" w:cs="Times New Roman"/>
          <w:b/>
          <w:iCs/>
          <w:szCs w:val="24"/>
          <w:lang w:eastAsia="sk-SK"/>
        </w:rPr>
        <w:t>Cypriot Commissioner for Administration and Human Rights</w:t>
      </w:r>
      <w:r w:rsidRPr="001A723A">
        <w:rPr>
          <w:rFonts w:eastAsia="Times New Roman" w:cs="Times New Roman"/>
          <w:iCs/>
          <w:szCs w:val="24"/>
          <w:lang w:eastAsia="sk-SK"/>
        </w:rPr>
        <w:t xml:space="preserve"> co-organised a Student’s Forum on diversity and integration for students and teachers from a number of high schools. One of the training sessions for students covered homophobia and transphobia. </w:t>
      </w:r>
      <w:r w:rsidR="00B0484B" w:rsidRPr="001A723A">
        <w:rPr>
          <w:rFonts w:eastAsia="Times New Roman" w:cs="Times New Roman"/>
          <w:iCs/>
          <w:szCs w:val="24"/>
          <w:lang w:eastAsia="sk-SK"/>
        </w:rPr>
        <w:t>Teachers were presented</w:t>
      </w:r>
      <w:r w:rsidR="009812B0">
        <w:rPr>
          <w:rFonts w:eastAsia="Times New Roman" w:cs="Times New Roman"/>
          <w:iCs/>
          <w:szCs w:val="24"/>
          <w:lang w:eastAsia="sk-SK"/>
        </w:rPr>
        <w:t xml:space="preserve"> with the</w:t>
      </w:r>
      <w:r w:rsidR="00B0484B" w:rsidRPr="001A723A">
        <w:rPr>
          <w:rFonts w:eastAsia="Times New Roman" w:cs="Times New Roman"/>
          <w:iCs/>
          <w:szCs w:val="24"/>
          <w:lang w:eastAsia="sk-SK"/>
        </w:rPr>
        <w:t xml:space="preserve"> equality body</w:t>
      </w:r>
      <w:r w:rsidR="009812B0">
        <w:rPr>
          <w:rFonts w:eastAsia="Times New Roman" w:cs="Times New Roman"/>
          <w:iCs/>
          <w:szCs w:val="24"/>
          <w:lang w:eastAsia="sk-SK"/>
        </w:rPr>
        <w:t>’s</w:t>
      </w:r>
      <w:r w:rsidR="00B0484B" w:rsidRPr="001A723A">
        <w:rPr>
          <w:rFonts w:eastAsia="Times New Roman" w:cs="Times New Roman"/>
          <w:iCs/>
          <w:szCs w:val="24"/>
          <w:lang w:eastAsia="sk-SK"/>
        </w:rPr>
        <w:t xml:space="preserve"> views on the issue and received a presentation by a</w:t>
      </w:r>
      <w:r w:rsidRPr="001A723A">
        <w:rPr>
          <w:rFonts w:eastAsia="Times New Roman" w:cs="Times New Roman"/>
          <w:iCs/>
          <w:szCs w:val="24"/>
          <w:lang w:eastAsia="sk-SK"/>
        </w:rPr>
        <w:t xml:space="preserve"> transgender person </w:t>
      </w:r>
      <w:r w:rsidR="00B0484B" w:rsidRPr="001A723A">
        <w:rPr>
          <w:rFonts w:eastAsia="Times New Roman" w:cs="Times New Roman"/>
          <w:iCs/>
          <w:szCs w:val="24"/>
          <w:lang w:eastAsia="sk-SK"/>
        </w:rPr>
        <w:t>on everyday difficulties faced by transgender persons</w:t>
      </w:r>
      <w:r w:rsidRPr="001A723A">
        <w:rPr>
          <w:rFonts w:eastAsia="Times New Roman" w:cs="Times New Roman"/>
          <w:iCs/>
          <w:szCs w:val="24"/>
          <w:lang w:eastAsia="sk-SK"/>
        </w:rPr>
        <w:t xml:space="preserve">. </w:t>
      </w:r>
    </w:p>
    <w:p w14:paraId="51E67578" w14:textId="77777777" w:rsidR="00E50671" w:rsidRDefault="00E50671" w:rsidP="00C505FC">
      <w:pPr>
        <w:spacing w:after="0" w:line="276" w:lineRule="auto"/>
        <w:jc w:val="right"/>
        <w:rPr>
          <w:b/>
          <w:sz w:val="28"/>
          <w:highlight w:val="yellow"/>
        </w:rPr>
      </w:pPr>
    </w:p>
    <w:p w14:paraId="6071A445" w14:textId="264F4B96" w:rsidR="005723B5" w:rsidRPr="00C051A8" w:rsidRDefault="009E325E" w:rsidP="00C051A8">
      <w:pPr>
        <w:rPr>
          <w:b/>
          <w:sz w:val="28"/>
          <w:highlight w:val="yellow"/>
        </w:rPr>
      </w:pPr>
      <w:r>
        <w:rPr>
          <w:b/>
          <w:sz w:val="28"/>
          <w:highlight w:val="yellow"/>
        </w:rPr>
        <w:br w:type="page"/>
      </w:r>
    </w:p>
    <w:p w14:paraId="7ED21CC1" w14:textId="02DC405F" w:rsidR="00792ACF" w:rsidRPr="001A723A" w:rsidRDefault="00D87B08" w:rsidP="00C505FC">
      <w:pPr>
        <w:shd w:val="clear" w:color="auto" w:fill="EDEDED" w:themeFill="accent3" w:themeFillTint="33"/>
        <w:spacing w:after="0" w:line="276" w:lineRule="auto"/>
        <w:rPr>
          <w:sz w:val="28"/>
        </w:rPr>
      </w:pPr>
      <w:r w:rsidRPr="001A723A">
        <w:rPr>
          <w:b/>
          <w:sz w:val="28"/>
        </w:rPr>
        <w:t>Supporting</w:t>
      </w:r>
      <w:r w:rsidR="00792ACF" w:rsidRPr="001A723A">
        <w:rPr>
          <w:b/>
          <w:sz w:val="28"/>
        </w:rPr>
        <w:t xml:space="preserve"> businesses to advance </w:t>
      </w:r>
      <w:r w:rsidR="00397F93" w:rsidRPr="001A723A">
        <w:rPr>
          <w:b/>
          <w:sz w:val="28"/>
        </w:rPr>
        <w:t>LGBTI equality</w:t>
      </w:r>
    </w:p>
    <w:p w14:paraId="6BE6D97F" w14:textId="07D39F32" w:rsidR="00D04930" w:rsidRPr="001A723A" w:rsidRDefault="00C742CC" w:rsidP="00C505FC">
      <w:pPr>
        <w:pStyle w:val="NormalWeb"/>
        <w:spacing w:after="0" w:line="276" w:lineRule="auto"/>
        <w:jc w:val="both"/>
        <w:rPr>
          <w:rFonts w:asciiTheme="minorHAnsi" w:hAnsiTheme="minorHAnsi"/>
          <w:i/>
          <w:iCs/>
          <w:sz w:val="22"/>
          <w:szCs w:val="28"/>
          <w:lang w:val="en-GB"/>
        </w:rPr>
      </w:pPr>
      <w:r w:rsidRPr="001A723A">
        <w:rPr>
          <w:rFonts w:asciiTheme="minorHAnsi" w:hAnsiTheme="minorHAnsi"/>
          <w:i/>
          <w:iCs/>
          <w:sz w:val="22"/>
          <w:szCs w:val="28"/>
          <w:lang w:val="en-GB"/>
        </w:rPr>
        <w:t>The List</w:t>
      </w:r>
      <w:r w:rsidR="003A1E6D" w:rsidRPr="001A723A">
        <w:rPr>
          <w:rFonts w:asciiTheme="minorHAnsi" w:hAnsiTheme="minorHAnsi"/>
          <w:i/>
          <w:iCs/>
          <w:sz w:val="22"/>
          <w:szCs w:val="28"/>
          <w:lang w:val="en-GB"/>
        </w:rPr>
        <w:t xml:space="preserve"> of Actions </w:t>
      </w:r>
      <w:r w:rsidR="00D470D0" w:rsidRPr="001A723A">
        <w:rPr>
          <w:rFonts w:asciiTheme="minorHAnsi" w:hAnsiTheme="minorHAnsi"/>
          <w:i/>
          <w:iCs/>
          <w:sz w:val="22"/>
          <w:szCs w:val="28"/>
          <w:lang w:val="en-GB"/>
        </w:rPr>
        <w:t>also require</w:t>
      </w:r>
      <w:r w:rsidR="007F059A" w:rsidRPr="001A723A">
        <w:rPr>
          <w:rFonts w:asciiTheme="minorHAnsi" w:hAnsiTheme="minorHAnsi"/>
          <w:i/>
          <w:iCs/>
          <w:sz w:val="22"/>
          <w:szCs w:val="28"/>
          <w:lang w:val="en-GB"/>
        </w:rPr>
        <w:t>s</w:t>
      </w:r>
      <w:r w:rsidR="00D470D0" w:rsidRPr="001A723A">
        <w:rPr>
          <w:rFonts w:asciiTheme="minorHAnsi" w:hAnsiTheme="minorHAnsi"/>
          <w:i/>
          <w:iCs/>
          <w:sz w:val="22"/>
          <w:szCs w:val="28"/>
          <w:lang w:val="en-GB"/>
        </w:rPr>
        <w:t xml:space="preserve"> </w:t>
      </w:r>
      <w:r w:rsidRPr="001A723A">
        <w:rPr>
          <w:rFonts w:asciiTheme="minorHAnsi" w:hAnsiTheme="minorHAnsi"/>
          <w:i/>
          <w:iCs/>
          <w:sz w:val="22"/>
          <w:szCs w:val="28"/>
          <w:lang w:val="en-GB"/>
        </w:rPr>
        <w:t>busin</w:t>
      </w:r>
      <w:r w:rsidR="002F26A6" w:rsidRPr="001A723A">
        <w:rPr>
          <w:rFonts w:asciiTheme="minorHAnsi" w:hAnsiTheme="minorHAnsi"/>
          <w:i/>
          <w:iCs/>
          <w:sz w:val="22"/>
          <w:szCs w:val="28"/>
          <w:lang w:val="en-GB"/>
        </w:rPr>
        <w:t xml:space="preserve">esses </w:t>
      </w:r>
      <w:r w:rsidR="00D470D0" w:rsidRPr="001A723A">
        <w:rPr>
          <w:rFonts w:asciiTheme="minorHAnsi" w:hAnsiTheme="minorHAnsi"/>
          <w:i/>
          <w:iCs/>
          <w:sz w:val="22"/>
          <w:szCs w:val="28"/>
          <w:lang w:val="en-GB"/>
        </w:rPr>
        <w:t xml:space="preserve">to take up their responsibilities in including LGBTI people </w:t>
      </w:r>
      <w:r w:rsidR="002F26A6" w:rsidRPr="001A723A">
        <w:rPr>
          <w:rFonts w:asciiTheme="minorHAnsi" w:hAnsiTheme="minorHAnsi"/>
          <w:i/>
          <w:iCs/>
          <w:sz w:val="22"/>
          <w:szCs w:val="28"/>
          <w:lang w:val="en-GB"/>
        </w:rPr>
        <w:t xml:space="preserve">and </w:t>
      </w:r>
      <w:r w:rsidR="00D470D0" w:rsidRPr="001A723A">
        <w:rPr>
          <w:rFonts w:asciiTheme="minorHAnsi" w:hAnsiTheme="minorHAnsi"/>
          <w:i/>
          <w:iCs/>
          <w:sz w:val="22"/>
          <w:szCs w:val="28"/>
          <w:lang w:val="en-GB"/>
        </w:rPr>
        <w:t xml:space="preserve">forming </w:t>
      </w:r>
      <w:r w:rsidR="002F26A6" w:rsidRPr="001A723A">
        <w:rPr>
          <w:rFonts w:asciiTheme="minorHAnsi" w:hAnsiTheme="minorHAnsi"/>
          <w:i/>
          <w:iCs/>
          <w:sz w:val="22"/>
          <w:szCs w:val="28"/>
          <w:lang w:val="en-GB"/>
        </w:rPr>
        <w:t>inclusive workplaces</w:t>
      </w:r>
      <w:r w:rsidR="003A1E6D" w:rsidRPr="001A723A">
        <w:rPr>
          <w:rFonts w:asciiTheme="minorHAnsi" w:hAnsiTheme="minorHAnsi"/>
          <w:i/>
          <w:iCs/>
          <w:sz w:val="22"/>
          <w:szCs w:val="28"/>
          <w:lang w:val="en-GB"/>
        </w:rPr>
        <w:t xml:space="preserve"> with a focus on the development of </w:t>
      </w:r>
      <w:r w:rsidR="00D470D0" w:rsidRPr="001A723A">
        <w:rPr>
          <w:rFonts w:asciiTheme="minorHAnsi" w:hAnsiTheme="minorHAnsi"/>
          <w:i/>
          <w:iCs/>
          <w:sz w:val="22"/>
          <w:szCs w:val="28"/>
          <w:lang w:val="en-GB"/>
        </w:rPr>
        <w:t xml:space="preserve">more </w:t>
      </w:r>
      <w:r w:rsidR="003A1E6D" w:rsidRPr="001A723A">
        <w:rPr>
          <w:rFonts w:asciiTheme="minorHAnsi" w:hAnsiTheme="minorHAnsi"/>
          <w:i/>
          <w:iCs/>
          <w:sz w:val="22"/>
          <w:szCs w:val="28"/>
          <w:lang w:val="en-GB"/>
        </w:rPr>
        <w:t>Diversity Charters</w:t>
      </w:r>
      <w:r w:rsidR="00D470D0" w:rsidRPr="001A723A">
        <w:rPr>
          <w:rFonts w:asciiTheme="minorHAnsi" w:hAnsiTheme="minorHAnsi"/>
          <w:i/>
          <w:iCs/>
          <w:sz w:val="22"/>
          <w:szCs w:val="28"/>
          <w:lang w:val="en-GB"/>
        </w:rPr>
        <w:t xml:space="preserve"> and LGBTI-inclusive company diversity plans</w:t>
      </w:r>
      <w:r w:rsidR="003A1E6D" w:rsidRPr="001A723A">
        <w:rPr>
          <w:rFonts w:asciiTheme="minorHAnsi" w:hAnsiTheme="minorHAnsi"/>
          <w:i/>
          <w:iCs/>
          <w:sz w:val="22"/>
          <w:szCs w:val="28"/>
          <w:lang w:val="en-GB"/>
        </w:rPr>
        <w:t xml:space="preserve">. </w:t>
      </w:r>
      <w:r w:rsidR="002F45DA" w:rsidRPr="001A723A">
        <w:rPr>
          <w:rFonts w:asciiTheme="minorHAnsi" w:hAnsiTheme="minorHAnsi"/>
          <w:i/>
          <w:iCs/>
          <w:sz w:val="22"/>
          <w:szCs w:val="28"/>
          <w:lang w:val="en-GB"/>
        </w:rPr>
        <w:t>The experience of e</w:t>
      </w:r>
      <w:r w:rsidR="00D470D0" w:rsidRPr="001A723A">
        <w:rPr>
          <w:rFonts w:asciiTheme="minorHAnsi" w:hAnsiTheme="minorHAnsi"/>
          <w:i/>
          <w:iCs/>
          <w:sz w:val="22"/>
          <w:szCs w:val="28"/>
          <w:lang w:val="en-GB"/>
        </w:rPr>
        <w:t xml:space="preserve">quality bodies working with businesses to advance LGBTI equality </w:t>
      </w:r>
      <w:r w:rsidR="002F45DA" w:rsidRPr="001A723A">
        <w:rPr>
          <w:rFonts w:asciiTheme="minorHAnsi" w:hAnsiTheme="minorHAnsi"/>
          <w:i/>
          <w:iCs/>
          <w:sz w:val="22"/>
          <w:szCs w:val="28"/>
          <w:lang w:val="en-GB"/>
        </w:rPr>
        <w:t xml:space="preserve">is relevant for future work in this area. </w:t>
      </w:r>
    </w:p>
    <w:p w14:paraId="170E866F" w14:textId="613B8409" w:rsidR="00D87B08" w:rsidRPr="001A723A" w:rsidRDefault="00284226" w:rsidP="00C505FC">
      <w:pPr>
        <w:pStyle w:val="NormalWeb"/>
        <w:spacing w:after="0" w:line="276" w:lineRule="auto"/>
        <w:rPr>
          <w:rFonts w:asciiTheme="minorHAnsi" w:hAnsiTheme="minorHAnsi"/>
          <w:b/>
          <w:iCs/>
          <w:color w:val="0070C0"/>
          <w:sz w:val="28"/>
          <w:szCs w:val="28"/>
          <w:lang w:val="en-GB"/>
        </w:rPr>
      </w:pPr>
      <w:r w:rsidRPr="001A723A">
        <w:rPr>
          <w:rFonts w:asciiTheme="minorHAnsi" w:hAnsiTheme="minorHAnsi"/>
          <w:b/>
          <w:iCs/>
          <w:color w:val="0070C0"/>
          <w:sz w:val="28"/>
          <w:szCs w:val="28"/>
          <w:lang w:val="en-GB"/>
        </w:rPr>
        <w:t xml:space="preserve">Insights </w:t>
      </w:r>
      <w:r w:rsidR="00DF4080" w:rsidRPr="001A723A">
        <w:rPr>
          <w:rFonts w:asciiTheme="minorHAnsi" w:hAnsiTheme="minorHAnsi"/>
          <w:b/>
          <w:iCs/>
          <w:color w:val="0070C0"/>
          <w:sz w:val="28"/>
          <w:szCs w:val="28"/>
          <w:lang w:val="en-GB"/>
        </w:rPr>
        <w:t>from the work of equality bodies</w:t>
      </w:r>
    </w:p>
    <w:p w14:paraId="2F3A44E7" w14:textId="31E3ADD0" w:rsidR="00E21C64" w:rsidRPr="00E50671" w:rsidRDefault="00E21C64" w:rsidP="00C505FC">
      <w:pPr>
        <w:pStyle w:val="NormalWeb"/>
        <w:numPr>
          <w:ilvl w:val="0"/>
          <w:numId w:val="24"/>
        </w:numPr>
        <w:spacing w:after="0" w:line="276" w:lineRule="auto"/>
        <w:jc w:val="both"/>
        <w:rPr>
          <w:rFonts w:asciiTheme="minorHAnsi" w:hAnsiTheme="minorHAnsi"/>
          <w:sz w:val="22"/>
          <w:szCs w:val="22"/>
          <w:lang w:val="en-GB"/>
        </w:rPr>
      </w:pPr>
      <w:r w:rsidRPr="001A723A">
        <w:rPr>
          <w:rFonts w:asciiTheme="minorHAnsi" w:hAnsiTheme="minorHAnsi"/>
          <w:sz w:val="22"/>
          <w:szCs w:val="22"/>
          <w:lang w:val="en-GB"/>
        </w:rPr>
        <w:t xml:space="preserve">LGBTI employees have rarely ‘come out’ in the workplace, which makes the correct assessment of the scale and nature of their disadvantages more difficult. </w:t>
      </w:r>
      <w:r w:rsidRPr="001A723A">
        <w:rPr>
          <w:rFonts w:asciiTheme="minorHAnsi" w:hAnsiTheme="minorHAnsi"/>
          <w:b/>
          <w:sz w:val="22"/>
          <w:szCs w:val="22"/>
          <w:lang w:val="en-GB"/>
        </w:rPr>
        <w:t>Quantitative and qualitative research</w:t>
      </w:r>
      <w:r w:rsidRPr="001A723A">
        <w:rPr>
          <w:rFonts w:asciiTheme="minorHAnsi" w:hAnsiTheme="minorHAnsi"/>
          <w:sz w:val="22"/>
          <w:szCs w:val="22"/>
          <w:lang w:val="en-GB"/>
        </w:rPr>
        <w:t xml:space="preserve"> conducted by equality bodies can provide helpful insights to fill this gap and inform policy-making and the preparation of diversity and equality plans. Such evidence shows that problems faced by LGBTI employees include difficult access to employment, differences in pay</w:t>
      </w:r>
      <w:r w:rsidRPr="00E50671">
        <w:rPr>
          <w:rFonts w:asciiTheme="minorHAnsi" w:hAnsiTheme="minorHAnsi"/>
          <w:sz w:val="22"/>
          <w:szCs w:val="22"/>
          <w:lang w:val="en-GB"/>
        </w:rPr>
        <w:t xml:space="preserve">, and the fear of harassment. </w:t>
      </w:r>
      <w:r w:rsidR="009C373B">
        <w:rPr>
          <w:rFonts w:asciiTheme="minorHAnsi" w:hAnsiTheme="minorHAnsi"/>
          <w:sz w:val="22"/>
          <w:szCs w:val="22"/>
          <w:lang w:val="en-GB"/>
        </w:rPr>
        <w:t xml:space="preserve">Good data also </w:t>
      </w:r>
      <w:r w:rsidR="007A4E7E">
        <w:rPr>
          <w:rFonts w:asciiTheme="minorHAnsi" w:hAnsiTheme="minorHAnsi"/>
          <w:sz w:val="22"/>
          <w:szCs w:val="22"/>
          <w:lang w:val="en-GB"/>
        </w:rPr>
        <w:t>allows e</w:t>
      </w:r>
      <w:r w:rsidRPr="00E50671">
        <w:rPr>
          <w:rFonts w:asciiTheme="minorHAnsi" w:hAnsiTheme="minorHAnsi"/>
          <w:sz w:val="22"/>
          <w:szCs w:val="22"/>
          <w:lang w:val="en-GB"/>
        </w:rPr>
        <w:t xml:space="preserve">quality bodies and LGBTI advocates to </w:t>
      </w:r>
      <w:r w:rsidRPr="00E50671">
        <w:rPr>
          <w:rFonts w:asciiTheme="minorHAnsi" w:hAnsiTheme="minorHAnsi"/>
          <w:b/>
          <w:sz w:val="22"/>
          <w:szCs w:val="22"/>
          <w:lang w:val="en-GB"/>
        </w:rPr>
        <w:t>demonstrate the benefits of an inclusive workplace</w:t>
      </w:r>
      <w:r w:rsidRPr="00E50671">
        <w:rPr>
          <w:rFonts w:asciiTheme="minorHAnsi" w:hAnsiTheme="minorHAnsi"/>
          <w:sz w:val="22"/>
          <w:szCs w:val="22"/>
          <w:lang w:val="en-GB"/>
        </w:rPr>
        <w:t xml:space="preserve"> – for example, in terms of working culture and staff retention – demonstrating that advancing equality for LGBTI persons in business and the work place is good for business. </w:t>
      </w:r>
      <w:r w:rsidR="00730813" w:rsidRPr="00730813">
        <w:rPr>
          <w:rFonts w:asciiTheme="minorHAnsi" w:hAnsiTheme="minorHAnsi"/>
          <w:sz w:val="22"/>
          <w:szCs w:val="22"/>
          <w:lang w:val="en-GB"/>
        </w:rPr>
        <w:t xml:space="preserve"> </w:t>
      </w:r>
      <w:r w:rsidR="00730813">
        <w:rPr>
          <w:rFonts w:asciiTheme="minorHAnsi" w:hAnsiTheme="minorHAnsi"/>
          <w:sz w:val="22"/>
          <w:szCs w:val="22"/>
          <w:lang w:val="en-GB"/>
        </w:rPr>
        <w:t xml:space="preserve">More comprehensive LGBTI inclusive data collection by business and by government could add </w:t>
      </w:r>
      <w:r w:rsidR="00191D3A">
        <w:rPr>
          <w:rFonts w:asciiTheme="minorHAnsi" w:hAnsiTheme="minorHAnsi"/>
          <w:sz w:val="22"/>
          <w:szCs w:val="22"/>
          <w:lang w:val="en-GB"/>
        </w:rPr>
        <w:t xml:space="preserve">further </w:t>
      </w:r>
      <w:r w:rsidR="00730813">
        <w:rPr>
          <w:rFonts w:asciiTheme="minorHAnsi" w:hAnsiTheme="minorHAnsi"/>
          <w:sz w:val="22"/>
          <w:szCs w:val="22"/>
          <w:lang w:val="en-GB"/>
        </w:rPr>
        <w:t>to this knowledge base.</w:t>
      </w:r>
    </w:p>
    <w:p w14:paraId="7F0D11BE" w14:textId="51F1F2C1" w:rsidR="00E21C64" w:rsidRPr="00E50671" w:rsidRDefault="007A4E7E" w:rsidP="00C505FC">
      <w:pPr>
        <w:pStyle w:val="NormalWeb"/>
        <w:numPr>
          <w:ilvl w:val="0"/>
          <w:numId w:val="24"/>
        </w:numPr>
        <w:spacing w:after="0" w:line="276" w:lineRule="auto"/>
        <w:jc w:val="both"/>
        <w:rPr>
          <w:rFonts w:asciiTheme="minorHAnsi" w:hAnsiTheme="minorHAnsi"/>
          <w:sz w:val="22"/>
          <w:szCs w:val="22"/>
          <w:lang w:val="en-GB"/>
        </w:rPr>
      </w:pPr>
      <w:r>
        <w:rPr>
          <w:rFonts w:asciiTheme="minorHAnsi" w:hAnsiTheme="minorHAnsi"/>
          <w:sz w:val="22"/>
          <w:szCs w:val="22"/>
          <w:lang w:val="en-GB"/>
        </w:rPr>
        <w:t>The experience of e</w:t>
      </w:r>
      <w:r w:rsidR="00E21C64" w:rsidRPr="00E50671">
        <w:rPr>
          <w:rFonts w:asciiTheme="minorHAnsi" w:hAnsiTheme="minorHAnsi"/>
          <w:sz w:val="22"/>
          <w:szCs w:val="22"/>
          <w:lang w:val="en-GB"/>
        </w:rPr>
        <w:t xml:space="preserve">quality bodies shows the </w:t>
      </w:r>
      <w:r w:rsidR="00E21C64" w:rsidRPr="00E50671">
        <w:rPr>
          <w:rFonts w:asciiTheme="minorHAnsi" w:hAnsiTheme="minorHAnsi"/>
          <w:b/>
          <w:sz w:val="22"/>
          <w:szCs w:val="22"/>
          <w:lang w:val="en-GB"/>
        </w:rPr>
        <w:t>importance of building the capacity of businesses and employers to develop an LGBTI-friendly culture within their organisations</w:t>
      </w:r>
      <w:r w:rsidR="00E21C64" w:rsidRPr="00E50671">
        <w:rPr>
          <w:rFonts w:asciiTheme="minorHAnsi" w:hAnsiTheme="minorHAnsi"/>
          <w:sz w:val="22"/>
          <w:szCs w:val="22"/>
          <w:lang w:val="en-GB"/>
        </w:rPr>
        <w:t xml:space="preserve">, </w:t>
      </w:r>
      <w:r w:rsidR="00E21C64" w:rsidRPr="00E50671">
        <w:rPr>
          <w:rFonts w:asciiTheme="minorHAnsi" w:hAnsiTheme="minorHAnsi"/>
          <w:i/>
          <w:sz w:val="22"/>
          <w:szCs w:val="22"/>
          <w:lang w:val="en-GB"/>
        </w:rPr>
        <w:t>inter alia,</w:t>
      </w:r>
      <w:r w:rsidR="00E21C64" w:rsidRPr="00E50671">
        <w:rPr>
          <w:rFonts w:asciiTheme="minorHAnsi" w:hAnsiTheme="minorHAnsi"/>
          <w:sz w:val="22"/>
          <w:szCs w:val="22"/>
          <w:lang w:val="en-GB"/>
        </w:rPr>
        <w:t xml:space="preserve"> by addressing LGBTI issues in their </w:t>
      </w:r>
      <w:r w:rsidR="00E21C64" w:rsidRPr="00E50671">
        <w:rPr>
          <w:rFonts w:asciiTheme="minorHAnsi" w:hAnsiTheme="minorHAnsi"/>
          <w:b/>
          <w:sz w:val="22"/>
          <w:szCs w:val="22"/>
          <w:lang w:val="en-GB"/>
        </w:rPr>
        <w:t>diversity strategies</w:t>
      </w:r>
      <w:r w:rsidR="00F00E17">
        <w:rPr>
          <w:rFonts w:asciiTheme="minorHAnsi" w:hAnsiTheme="minorHAnsi"/>
          <w:b/>
          <w:sz w:val="22"/>
          <w:szCs w:val="22"/>
          <w:lang w:val="en-GB"/>
        </w:rPr>
        <w:t xml:space="preserve"> </w:t>
      </w:r>
      <w:r w:rsidR="00F00E17">
        <w:rPr>
          <w:rFonts w:asciiTheme="minorHAnsi" w:hAnsiTheme="minorHAnsi"/>
          <w:sz w:val="22"/>
          <w:szCs w:val="22"/>
          <w:lang w:val="en-GB"/>
        </w:rPr>
        <w:t>and in the fulfilment of their statutory duties</w:t>
      </w:r>
      <w:r w:rsidR="00DE213E">
        <w:rPr>
          <w:rFonts w:asciiTheme="minorHAnsi" w:hAnsiTheme="minorHAnsi"/>
          <w:sz w:val="22"/>
          <w:szCs w:val="22"/>
          <w:lang w:val="en-GB"/>
        </w:rPr>
        <w:t xml:space="preserve"> vis a vis equality in the workplace, recruitment and employment</w:t>
      </w:r>
      <w:r w:rsidR="00E21C64" w:rsidRPr="00E50671">
        <w:rPr>
          <w:rFonts w:asciiTheme="minorHAnsi" w:hAnsiTheme="minorHAnsi"/>
          <w:sz w:val="22"/>
          <w:szCs w:val="22"/>
          <w:lang w:val="en-GB"/>
        </w:rPr>
        <w:t xml:space="preserve">. Equality bodies can play a role in this through providing practical and expert support to the development of strategies, plans and best practice guidelines. </w:t>
      </w:r>
      <w:r w:rsidR="00E21C64" w:rsidRPr="00E50671">
        <w:rPr>
          <w:rFonts w:asciiTheme="minorHAnsi" w:hAnsiTheme="minorHAnsi"/>
          <w:b/>
          <w:sz w:val="22"/>
          <w:szCs w:val="22"/>
          <w:lang w:val="en-GB"/>
        </w:rPr>
        <w:t>Involving civil society actors and LGBTI advocates</w:t>
      </w:r>
      <w:r w:rsidR="00E21C64" w:rsidRPr="00E50671">
        <w:rPr>
          <w:rFonts w:asciiTheme="minorHAnsi" w:hAnsiTheme="minorHAnsi"/>
          <w:sz w:val="22"/>
          <w:szCs w:val="22"/>
          <w:lang w:val="en-GB"/>
        </w:rPr>
        <w:t xml:space="preserve"> is crucial in</w:t>
      </w:r>
      <w:r w:rsidR="002F45DA" w:rsidRPr="00E50671">
        <w:rPr>
          <w:rFonts w:asciiTheme="minorHAnsi" w:hAnsiTheme="minorHAnsi"/>
          <w:sz w:val="22"/>
          <w:szCs w:val="22"/>
          <w:lang w:val="en-GB"/>
        </w:rPr>
        <w:t xml:space="preserve"> this work. </w:t>
      </w:r>
    </w:p>
    <w:p w14:paraId="0078FBB4" w14:textId="77777777" w:rsidR="00E21C64" w:rsidRPr="00E50671" w:rsidRDefault="00E21C64" w:rsidP="00C505FC">
      <w:pPr>
        <w:pStyle w:val="NormalWeb"/>
        <w:spacing w:after="0" w:line="276" w:lineRule="auto"/>
        <w:ind w:left="720"/>
        <w:jc w:val="both"/>
        <w:rPr>
          <w:rFonts w:asciiTheme="minorHAnsi" w:hAnsiTheme="minorHAnsi"/>
          <w:sz w:val="22"/>
          <w:szCs w:val="22"/>
          <w:lang w:val="en-GB"/>
        </w:rPr>
      </w:pPr>
    </w:p>
    <w:p w14:paraId="7501E779" w14:textId="77777777" w:rsidR="005514FC" w:rsidRPr="007F5005" w:rsidRDefault="005514FC" w:rsidP="00C505FC">
      <w:pPr>
        <w:spacing w:line="276" w:lineRule="auto"/>
        <w:rPr>
          <w:b/>
          <w:color w:val="0070C0"/>
          <w:sz w:val="28"/>
        </w:rPr>
      </w:pPr>
      <w:r w:rsidRPr="007F5005">
        <w:rPr>
          <w:b/>
          <w:color w:val="0070C0"/>
          <w:sz w:val="28"/>
        </w:rPr>
        <w:t>Equality bodies’ practices</w:t>
      </w:r>
    </w:p>
    <w:p w14:paraId="60F435A4" w14:textId="3F58FE66" w:rsidR="00D87B08" w:rsidRPr="00E50671" w:rsidRDefault="00F34EED" w:rsidP="00C505FC">
      <w:pPr>
        <w:pStyle w:val="NormalWeb"/>
        <w:pBdr>
          <w:top w:val="dotted" w:sz="4" w:space="1" w:color="auto"/>
          <w:left w:val="dotted" w:sz="4" w:space="4" w:color="auto"/>
          <w:bottom w:val="dotted" w:sz="4" w:space="3" w:color="auto"/>
          <w:right w:val="dotted" w:sz="4" w:space="4" w:color="auto"/>
        </w:pBdr>
        <w:spacing w:after="0" w:line="276" w:lineRule="auto"/>
        <w:jc w:val="both"/>
        <w:rPr>
          <w:rFonts w:asciiTheme="minorHAnsi" w:hAnsiTheme="minorHAnsi"/>
          <w:b/>
          <w:iCs/>
          <w:szCs w:val="22"/>
          <w:lang w:val="en-GB"/>
        </w:rPr>
      </w:pPr>
      <w:r w:rsidRPr="00E50671">
        <w:rPr>
          <w:rFonts w:asciiTheme="minorHAnsi" w:hAnsiTheme="minorHAnsi"/>
          <w:b/>
          <w:iCs/>
          <w:szCs w:val="22"/>
          <w:lang w:val="en-GB"/>
        </w:rPr>
        <w:t>Promotion</w:t>
      </w:r>
      <w:r w:rsidRPr="00E50671">
        <w:rPr>
          <w:rFonts w:asciiTheme="minorHAnsi" w:hAnsiTheme="minorHAnsi"/>
          <w:b/>
          <w:iCs/>
          <w:szCs w:val="22"/>
          <w:lang w:val="en-GB"/>
        </w:rPr>
        <w:br/>
      </w:r>
      <w:r w:rsidR="00D87B08" w:rsidRPr="00E50671">
        <w:rPr>
          <w:rFonts w:asciiTheme="minorHAnsi" w:hAnsiTheme="minorHAnsi"/>
          <w:b/>
          <w:iCs/>
          <w:sz w:val="22"/>
          <w:szCs w:val="22"/>
          <w:lang w:val="en-GB"/>
        </w:rPr>
        <w:t>Lithuania’s Office of the Equal Opportunities Ombudsperson</w:t>
      </w:r>
      <w:r w:rsidR="00D87B08" w:rsidRPr="00E50671">
        <w:rPr>
          <w:rFonts w:asciiTheme="minorHAnsi" w:hAnsiTheme="minorHAnsi"/>
          <w:iCs/>
          <w:sz w:val="22"/>
          <w:szCs w:val="22"/>
          <w:lang w:val="en-GB"/>
        </w:rPr>
        <w:t xml:space="preserve"> has partnered with two Lithuanian NGOs – the Human Rights Monitoring Institute and th</w:t>
      </w:r>
      <w:r w:rsidR="00F84437" w:rsidRPr="00E50671">
        <w:rPr>
          <w:rFonts w:asciiTheme="minorHAnsi" w:hAnsiTheme="minorHAnsi"/>
          <w:iCs/>
          <w:sz w:val="22"/>
          <w:szCs w:val="22"/>
          <w:lang w:val="en-GB"/>
        </w:rPr>
        <w:t>e National LGBT Rights o</w:t>
      </w:r>
      <w:r w:rsidR="00D87B08" w:rsidRPr="00E50671">
        <w:rPr>
          <w:rFonts w:asciiTheme="minorHAnsi" w:hAnsiTheme="minorHAnsi"/>
          <w:iCs/>
          <w:sz w:val="22"/>
          <w:szCs w:val="22"/>
          <w:lang w:val="en-GB"/>
        </w:rPr>
        <w:t xml:space="preserve">rganisation (LGL) – to work with companies to develop diversity plans. By </w:t>
      </w:r>
      <w:r w:rsidR="002D4033" w:rsidRPr="00E50671">
        <w:rPr>
          <w:rFonts w:asciiTheme="minorHAnsi" w:hAnsiTheme="minorHAnsi"/>
          <w:iCs/>
          <w:sz w:val="22"/>
          <w:szCs w:val="22"/>
          <w:lang w:val="en-GB"/>
        </w:rPr>
        <w:t>2020</w:t>
      </w:r>
      <w:r w:rsidR="00D87B08" w:rsidRPr="00E50671">
        <w:rPr>
          <w:rFonts w:asciiTheme="minorHAnsi" w:hAnsiTheme="minorHAnsi"/>
          <w:iCs/>
          <w:sz w:val="22"/>
          <w:szCs w:val="22"/>
          <w:lang w:val="en-GB"/>
        </w:rPr>
        <w:t>, the project aims to have assisted 20 companies to incorporate diversity plans into their strategic planning.</w:t>
      </w:r>
    </w:p>
    <w:p w14:paraId="5FFBC416" w14:textId="77777777" w:rsidR="00BA43AD" w:rsidRPr="00E50671" w:rsidRDefault="00BA43AD" w:rsidP="00C505FC">
      <w:pPr>
        <w:pStyle w:val="NoSpacing"/>
        <w:spacing w:line="276" w:lineRule="auto"/>
        <w:jc w:val="both"/>
        <w:rPr>
          <w:noProof/>
          <w:lang w:val="en-GB"/>
        </w:rPr>
      </w:pPr>
    </w:p>
    <w:p w14:paraId="165FCD54" w14:textId="431C02F1" w:rsidR="00D87B08" w:rsidRPr="00E50671" w:rsidRDefault="00892745" w:rsidP="007A4E7E">
      <w:pPr>
        <w:pStyle w:val="NoSpacing"/>
        <w:pBdr>
          <w:top w:val="dotted" w:sz="4" w:space="1" w:color="auto"/>
          <w:left w:val="dotted" w:sz="4" w:space="4" w:color="auto"/>
          <w:bottom w:val="dotted" w:sz="4" w:space="1" w:color="auto"/>
          <w:right w:val="dotted" w:sz="4" w:space="4" w:color="auto"/>
        </w:pBdr>
        <w:spacing w:line="276" w:lineRule="auto"/>
        <w:jc w:val="both"/>
        <w:rPr>
          <w:noProof/>
          <w:lang w:val="en-GB"/>
        </w:rPr>
      </w:pPr>
      <w:r w:rsidRPr="00E50671">
        <w:rPr>
          <w:b/>
          <w:noProof/>
          <w:sz w:val="24"/>
          <w:lang w:val="en-GB"/>
        </w:rPr>
        <w:t>Research</w:t>
      </w:r>
      <w:r w:rsidR="00BA43AD" w:rsidRPr="00E50671">
        <w:rPr>
          <w:noProof/>
          <w:lang w:val="en-GB"/>
        </w:rPr>
        <w:br/>
      </w:r>
      <w:r w:rsidR="00D87B08" w:rsidRPr="00E50671">
        <w:rPr>
          <w:noProof/>
          <w:lang w:val="en-GB"/>
        </w:rPr>
        <w:t>In February</w:t>
      </w:r>
      <w:r w:rsidR="0062748C" w:rsidRPr="00E50671">
        <w:rPr>
          <w:noProof/>
          <w:lang w:val="en-GB"/>
        </w:rPr>
        <w:t xml:space="preserve"> 2017</w:t>
      </w:r>
      <w:r w:rsidR="00D87B08" w:rsidRPr="00E50671">
        <w:rPr>
          <w:noProof/>
          <w:lang w:val="en-GB"/>
        </w:rPr>
        <w:t xml:space="preserve">, the </w:t>
      </w:r>
      <w:r w:rsidR="00D87B08" w:rsidRPr="00E50671">
        <w:rPr>
          <w:b/>
          <w:noProof/>
          <w:lang w:val="en-GB"/>
        </w:rPr>
        <w:t>German</w:t>
      </w:r>
      <w:r w:rsidR="00D87B08" w:rsidRPr="00E50671">
        <w:rPr>
          <w:noProof/>
          <w:lang w:val="en-GB"/>
        </w:rPr>
        <w:t xml:space="preserve"> </w:t>
      </w:r>
      <w:r w:rsidR="00D87B08" w:rsidRPr="00E50671">
        <w:rPr>
          <w:b/>
          <w:noProof/>
          <w:lang w:val="en-GB"/>
        </w:rPr>
        <w:t>Federal Anti-Discrimination Agency</w:t>
      </w:r>
      <w:r w:rsidR="00D87B08" w:rsidRPr="00E50671">
        <w:rPr>
          <w:noProof/>
          <w:lang w:val="en-GB"/>
        </w:rPr>
        <w:t xml:space="preserve"> launched </w:t>
      </w:r>
      <w:r w:rsidR="00385809" w:rsidRPr="00E50671">
        <w:rPr>
          <w:noProof/>
          <w:lang w:val="en-GB"/>
        </w:rPr>
        <w:t>the online</w:t>
      </w:r>
      <w:r w:rsidR="00D87B08" w:rsidRPr="00E50671">
        <w:rPr>
          <w:noProof/>
          <w:lang w:val="en-GB"/>
        </w:rPr>
        <w:t xml:space="preserve"> </w:t>
      </w:r>
      <w:hyperlink r:id="rId12" w:history="1">
        <w:r w:rsidR="00D87B08" w:rsidRPr="00045CAA">
          <w:rPr>
            <w:rStyle w:val="Hyperlink"/>
            <w:noProof/>
            <w:lang w:val="en-GB"/>
          </w:rPr>
          <w:t>‘Out in the Office’ survey</w:t>
        </w:r>
      </w:hyperlink>
      <w:r w:rsidR="00D87B08" w:rsidRPr="00E50671">
        <w:rPr>
          <w:noProof/>
          <w:lang w:val="en-GB"/>
        </w:rPr>
        <w:t>, tracking the experience of LGBTI perso</w:t>
      </w:r>
      <w:r w:rsidR="00AB2E3C" w:rsidRPr="00E50671">
        <w:rPr>
          <w:noProof/>
          <w:lang w:val="en-GB"/>
        </w:rPr>
        <w:t xml:space="preserve">ns in employment. </w:t>
      </w:r>
      <w:r w:rsidR="00D87B08" w:rsidRPr="00E50671">
        <w:rPr>
          <w:noProof/>
          <w:lang w:val="en-GB"/>
        </w:rPr>
        <w:t>It seeks to gain an unders</w:t>
      </w:r>
      <w:r w:rsidR="00F90365" w:rsidRPr="00E50671">
        <w:rPr>
          <w:noProof/>
          <w:lang w:val="en-GB"/>
        </w:rPr>
        <w:t>tanding from gay, bisexual and t</w:t>
      </w:r>
      <w:r w:rsidR="00D87B08" w:rsidRPr="00E50671">
        <w:rPr>
          <w:noProof/>
          <w:lang w:val="en-GB"/>
        </w:rPr>
        <w:t xml:space="preserve">rans employees. This includes information as to the role their sexual orientation or gender identity plays within their professional environment, the extent to which it is possible to openly express their identity, and the perceived improvement in the situation over the past ten years. </w:t>
      </w:r>
    </w:p>
    <w:p w14:paraId="5727B36A" w14:textId="77777777" w:rsidR="00D87B08" w:rsidRPr="00E50671" w:rsidRDefault="00D87B08" w:rsidP="00C505FC">
      <w:pPr>
        <w:pStyle w:val="NoSpacing"/>
        <w:spacing w:line="276" w:lineRule="auto"/>
        <w:rPr>
          <w:noProof/>
          <w:lang w:val="en-GB"/>
        </w:rPr>
      </w:pPr>
    </w:p>
    <w:p w14:paraId="3CFE5F72" w14:textId="2015551E" w:rsidR="00792ACF" w:rsidRPr="00E50671" w:rsidRDefault="002F26A6" w:rsidP="007A4E7E">
      <w:pPr>
        <w:pBdr>
          <w:top w:val="dotted" w:sz="4" w:space="1" w:color="auto"/>
          <w:left w:val="dotted" w:sz="4" w:space="4" w:color="auto"/>
          <w:bottom w:val="dotted" w:sz="4" w:space="1" w:color="auto"/>
          <w:right w:val="dotted" w:sz="4" w:space="4" w:color="auto"/>
          <w:between w:val="single" w:sz="4" w:space="1" w:color="auto"/>
          <w:bar w:val="single" w:sz="4" w:color="auto"/>
        </w:pBdr>
        <w:spacing w:line="276" w:lineRule="auto"/>
        <w:jc w:val="both"/>
      </w:pPr>
      <w:r w:rsidRPr="00E50671">
        <w:t xml:space="preserve">In </w:t>
      </w:r>
      <w:r w:rsidRPr="00E50671">
        <w:rPr>
          <w:i/>
        </w:rPr>
        <w:t>Is Britain Fairer?</w:t>
      </w:r>
      <w:r w:rsidRPr="00E50671">
        <w:t xml:space="preserve">, </w:t>
      </w:r>
      <w:r w:rsidR="00792ACF" w:rsidRPr="00E50671">
        <w:t xml:space="preserve">the </w:t>
      </w:r>
      <w:r w:rsidR="00792ACF" w:rsidRPr="00E50671">
        <w:rPr>
          <w:b/>
        </w:rPr>
        <w:t>Equality and Human Rights Commission (EHRC)</w:t>
      </w:r>
      <w:r w:rsidR="00792ACF" w:rsidRPr="00E50671">
        <w:t xml:space="preserve"> gained some important insights on the experience of LGBTI people in employment which businesses should consider. This included insights into pay differentials betwee</w:t>
      </w:r>
      <w:r w:rsidR="009812B0">
        <w:t>n different categories of people</w:t>
      </w:r>
      <w:r w:rsidR="00792ACF" w:rsidRPr="00E50671">
        <w:t>; the positive effects of the Employment Equality (Sexual Orientation) regulations 2003 on employees’ ability to be out at work; gaps in enforcing equality in the workplace for LGBTI pers</w:t>
      </w:r>
      <w:r w:rsidRPr="00E50671">
        <w:t>ons; and the barriers faced by t</w:t>
      </w:r>
      <w:r w:rsidR="00792ACF" w:rsidRPr="00E50671">
        <w:t xml:space="preserve">rans people in accessing employment, and in enjoying a workplace free from discrimination. </w:t>
      </w:r>
    </w:p>
    <w:p w14:paraId="26C5EFB4" w14:textId="45E15B76" w:rsidR="00792ACF" w:rsidRPr="006F3265" w:rsidRDefault="00792ACF" w:rsidP="007A4E7E">
      <w:pPr>
        <w:pStyle w:val="NoSpacing"/>
        <w:rPr>
          <w:lang w:val="en-US"/>
        </w:rPr>
      </w:pPr>
    </w:p>
    <w:p w14:paraId="597C4848" w14:textId="7056CD52" w:rsidR="002F45DA" w:rsidRPr="00E50671" w:rsidRDefault="002F45DA" w:rsidP="00C505FC">
      <w:pPr>
        <w:pBdr>
          <w:top w:val="dotted" w:sz="4" w:space="1" w:color="auto"/>
          <w:left w:val="dotted" w:sz="4" w:space="4" w:color="auto"/>
          <w:bottom w:val="dotted" w:sz="4" w:space="1" w:color="auto"/>
          <w:right w:val="dotted" w:sz="4" w:space="4" w:color="auto"/>
        </w:pBdr>
        <w:spacing w:line="276" w:lineRule="auto"/>
        <w:jc w:val="both"/>
        <w:rPr>
          <w:b/>
        </w:rPr>
      </w:pPr>
      <w:r w:rsidRPr="00E50671">
        <w:rPr>
          <w:b/>
        </w:rPr>
        <w:t>NGO support</w:t>
      </w:r>
      <w:r w:rsidRPr="00E50671">
        <w:rPr>
          <w:b/>
        </w:rPr>
        <w:tab/>
      </w:r>
      <w:r w:rsidRPr="00E50671">
        <w:rPr>
          <w:b/>
        </w:rPr>
        <w:br/>
      </w:r>
      <w:r w:rsidRPr="00E50671">
        <w:t xml:space="preserve">Under its </w:t>
      </w:r>
      <w:hyperlink r:id="rId13" w:history="1">
        <w:r w:rsidRPr="00045CAA">
          <w:rPr>
            <w:rStyle w:val="Hyperlink"/>
          </w:rPr>
          <w:t>2016 Human Rights and Equality Grant Scheme</w:t>
        </w:r>
      </w:hyperlink>
      <w:r w:rsidRPr="00E50671">
        <w:t xml:space="preserve">, the </w:t>
      </w:r>
      <w:r w:rsidRPr="00E50671">
        <w:rPr>
          <w:b/>
        </w:rPr>
        <w:t>Irish Human Rights and Equality Commission</w:t>
      </w:r>
      <w:r w:rsidRPr="00E50671">
        <w:t xml:space="preserve"> awarded funding to the non-profit organization Transgender Equality Network Ireland (TENI) to conduct a programme on Trans inclusion in the workplace aimed at employers. Through primary research, the programme will document the experience of Transgender people in the workplace in Ireland, develop best practice guidelines and training for employers, and engage in advocacy on the research findings. The programme is due for completion at the end of 2017.</w:t>
      </w:r>
      <w:r w:rsidR="00045CAA">
        <w:t xml:space="preserve"> </w:t>
      </w:r>
    </w:p>
    <w:p w14:paraId="59B6E20F" w14:textId="77777777" w:rsidR="00720CA9" w:rsidRPr="00E50671" w:rsidRDefault="00720CA9" w:rsidP="00C505FC">
      <w:pPr>
        <w:spacing w:line="276" w:lineRule="auto"/>
        <w:rPr>
          <w:b/>
          <w:sz w:val="28"/>
          <w:highlight w:val="yellow"/>
        </w:rPr>
      </w:pPr>
      <w:r w:rsidRPr="00E50671">
        <w:rPr>
          <w:b/>
          <w:sz w:val="28"/>
          <w:highlight w:val="yellow"/>
        </w:rPr>
        <w:br w:type="page"/>
      </w:r>
    </w:p>
    <w:p w14:paraId="1C773890" w14:textId="77777777" w:rsidR="00792ACF" w:rsidRPr="00E50671" w:rsidRDefault="00792ACF" w:rsidP="00C505FC">
      <w:pPr>
        <w:shd w:val="clear" w:color="auto" w:fill="EDEDED" w:themeFill="accent3" w:themeFillTint="33"/>
        <w:spacing w:after="0" w:line="276" w:lineRule="auto"/>
        <w:rPr>
          <w:sz w:val="28"/>
        </w:rPr>
      </w:pPr>
      <w:r w:rsidRPr="00E50671">
        <w:rPr>
          <w:b/>
          <w:sz w:val="28"/>
        </w:rPr>
        <w:t>Supporting key actors to promote and enhance equality in access to healthcare for LGBTI people</w:t>
      </w:r>
    </w:p>
    <w:p w14:paraId="69F6E875" w14:textId="53050049" w:rsidR="00425CCE" w:rsidRPr="00E50671" w:rsidRDefault="00E13563" w:rsidP="00C505FC">
      <w:pPr>
        <w:spacing w:line="276" w:lineRule="auto"/>
        <w:jc w:val="both"/>
        <w:rPr>
          <w:i/>
        </w:rPr>
      </w:pPr>
      <w:r w:rsidRPr="00E50671">
        <w:rPr>
          <w:b/>
        </w:rPr>
        <w:br/>
      </w:r>
      <w:r w:rsidR="00425CCE" w:rsidRPr="00E50671">
        <w:rPr>
          <w:i/>
        </w:rPr>
        <w:t xml:space="preserve">Healthcare is a crucial source of discrimination and disadvantage for LGBTI people as noted by the List of Actions. </w:t>
      </w:r>
      <w:r w:rsidR="00B30BBF" w:rsidRPr="00E50671">
        <w:rPr>
          <w:i/>
        </w:rPr>
        <w:t xml:space="preserve">Lesbian, Gay, Bisexual, Trans and Intersex people all face different and serious challenges in accessing quality healthcare. </w:t>
      </w:r>
      <w:r w:rsidR="00417F8F" w:rsidRPr="00E50671">
        <w:rPr>
          <w:i/>
          <w:iCs/>
          <w:szCs w:val="28"/>
        </w:rPr>
        <w:t xml:space="preserve">A number of lessons have been learnt through the work of equality bodies in and with the healthcare sector. </w:t>
      </w:r>
    </w:p>
    <w:p w14:paraId="78F0F9F4" w14:textId="01E8D680" w:rsidR="00792ACF" w:rsidRPr="00E50671" w:rsidRDefault="00284226" w:rsidP="00C505FC">
      <w:pPr>
        <w:spacing w:line="276" w:lineRule="auto"/>
        <w:rPr>
          <w:b/>
          <w:color w:val="0070C0"/>
          <w:sz w:val="28"/>
        </w:rPr>
      </w:pPr>
      <w:r w:rsidRPr="00E50671">
        <w:rPr>
          <w:b/>
          <w:iCs/>
          <w:color w:val="0070C0"/>
          <w:sz w:val="28"/>
        </w:rPr>
        <w:t xml:space="preserve">Insights </w:t>
      </w:r>
      <w:r w:rsidR="00DF4080" w:rsidRPr="00E50671">
        <w:rPr>
          <w:b/>
          <w:iCs/>
          <w:color w:val="0070C0"/>
          <w:sz w:val="28"/>
        </w:rPr>
        <w:t>from the work of equality bodies</w:t>
      </w:r>
    </w:p>
    <w:p w14:paraId="32A5F3EE" w14:textId="71B89E15" w:rsidR="00372C88" w:rsidRPr="00E50671" w:rsidRDefault="00761039" w:rsidP="00C505FC">
      <w:pPr>
        <w:pStyle w:val="ListParagraph"/>
        <w:numPr>
          <w:ilvl w:val="0"/>
          <w:numId w:val="11"/>
        </w:numPr>
        <w:spacing w:after="0" w:line="276" w:lineRule="auto"/>
        <w:jc w:val="both"/>
      </w:pPr>
      <w:r w:rsidRPr="007F5005">
        <w:t xml:space="preserve">The work of equality bodies </w:t>
      </w:r>
      <w:r w:rsidR="00865FE2" w:rsidRPr="007F5005">
        <w:t xml:space="preserve">contributes towards </w:t>
      </w:r>
      <w:r w:rsidR="00865FE2" w:rsidRPr="007A6CF2">
        <w:rPr>
          <w:b/>
        </w:rPr>
        <w:t>addressing</w:t>
      </w:r>
      <w:r w:rsidR="00E13563" w:rsidRPr="007A6CF2">
        <w:rPr>
          <w:b/>
        </w:rPr>
        <w:t xml:space="preserve"> </w:t>
      </w:r>
      <w:r w:rsidR="00865FE2" w:rsidRPr="007A6CF2">
        <w:rPr>
          <w:b/>
        </w:rPr>
        <w:t xml:space="preserve">some of </w:t>
      </w:r>
      <w:r w:rsidR="00372C88" w:rsidRPr="007A6CF2">
        <w:rPr>
          <w:b/>
        </w:rPr>
        <w:t xml:space="preserve">the </w:t>
      </w:r>
      <w:r w:rsidR="00865FE2" w:rsidRPr="007A6CF2">
        <w:rPr>
          <w:b/>
        </w:rPr>
        <w:t xml:space="preserve">healthcare </w:t>
      </w:r>
      <w:r w:rsidR="00372C88" w:rsidRPr="007A6CF2">
        <w:rPr>
          <w:b/>
        </w:rPr>
        <w:t xml:space="preserve">challenges faced </w:t>
      </w:r>
      <w:r w:rsidR="00865FE2" w:rsidRPr="007A6CF2">
        <w:rPr>
          <w:b/>
        </w:rPr>
        <w:t>by LGBTI persons</w:t>
      </w:r>
      <w:r w:rsidR="00865FE2" w:rsidRPr="007A6CF2">
        <w:t xml:space="preserve">. This includes </w:t>
      </w:r>
      <w:r w:rsidR="00372C88" w:rsidRPr="007A6CF2">
        <w:t xml:space="preserve">addressing </w:t>
      </w:r>
      <w:r w:rsidR="009636A9">
        <w:t>barrie</w:t>
      </w:r>
      <w:r w:rsidR="003F6029">
        <w:t xml:space="preserve">rs to accessing healthcare due to </w:t>
      </w:r>
      <w:r w:rsidR="00372C88" w:rsidRPr="007A6CF2">
        <w:t xml:space="preserve">discrimination; </w:t>
      </w:r>
      <w:r w:rsidR="00E13563" w:rsidRPr="007A6CF2">
        <w:t>de-medicalisation of t</w:t>
      </w:r>
      <w:r w:rsidR="00372C88" w:rsidRPr="007A6CF2">
        <w:t>rans people</w:t>
      </w:r>
      <w:r w:rsidR="00CE31CC" w:rsidRPr="007A6CF2">
        <w:t xml:space="preserve">, </w:t>
      </w:r>
      <w:r w:rsidR="00372C88" w:rsidRPr="007A6CF2">
        <w:t>serophobia</w:t>
      </w:r>
      <w:r w:rsidR="000D54CC">
        <w:t xml:space="preserve"> (discrimination against those who are, or ar</w:t>
      </w:r>
      <w:r w:rsidR="009812B0">
        <w:t>e</w:t>
      </w:r>
      <w:r w:rsidR="000D54CC">
        <w:t xml:space="preserve"> perceived to be, HIV positive)</w:t>
      </w:r>
      <w:r w:rsidR="00CE31CC" w:rsidRPr="007F5005">
        <w:t xml:space="preserve">, </w:t>
      </w:r>
      <w:r w:rsidR="00372C88" w:rsidRPr="007F5005">
        <w:t>preventing and addressing mental health issues</w:t>
      </w:r>
      <w:r w:rsidR="00CE31CC" w:rsidRPr="007A6CF2">
        <w:t xml:space="preserve">, blood donation and HIV status. </w:t>
      </w:r>
      <w:r w:rsidR="009812B0">
        <w:t>S</w:t>
      </w:r>
      <w:r w:rsidR="00372C88" w:rsidRPr="00E50671">
        <w:t>ignificant variation</w:t>
      </w:r>
      <w:r w:rsidR="009812B0">
        <w:t xml:space="preserve"> exists</w:t>
      </w:r>
      <w:r w:rsidR="00372C88" w:rsidRPr="00E50671">
        <w:t xml:space="preserve"> across Europe where </w:t>
      </w:r>
      <w:r w:rsidR="00261825">
        <w:t xml:space="preserve">the </w:t>
      </w:r>
      <w:r w:rsidR="00372C88" w:rsidRPr="00E50671">
        <w:t>provision of health services for LGBTI persons is concerned, as well as a great variation in attitudes and understanding within the medical profession of the particular h</w:t>
      </w:r>
      <w:r w:rsidRPr="00E50671">
        <w:t>ealth needs of LGBTI persons.</w:t>
      </w:r>
    </w:p>
    <w:p w14:paraId="42B73AC6" w14:textId="16ABC128" w:rsidR="00385809" w:rsidRPr="00E50671" w:rsidRDefault="00D54E4C" w:rsidP="00C505FC">
      <w:pPr>
        <w:pStyle w:val="ListParagraph"/>
        <w:numPr>
          <w:ilvl w:val="0"/>
          <w:numId w:val="11"/>
        </w:numPr>
        <w:spacing w:after="0" w:line="276" w:lineRule="auto"/>
        <w:jc w:val="both"/>
      </w:pPr>
      <w:r>
        <w:t>National equality b</w:t>
      </w:r>
      <w:r w:rsidR="00792ACF" w:rsidRPr="00E50671">
        <w:t xml:space="preserve">odies have been active across Europe </w:t>
      </w:r>
      <w:r w:rsidR="00792ACF" w:rsidRPr="00E50671">
        <w:rPr>
          <w:b/>
        </w:rPr>
        <w:t>in gathering data on LGBTI health experiences and outcomes</w:t>
      </w:r>
      <w:r w:rsidR="00792ACF" w:rsidRPr="00E50671">
        <w:t xml:space="preserve">. As with other areas touched upon in this paper, good data is crucial for a better understanding </w:t>
      </w:r>
      <w:r w:rsidR="009302C2">
        <w:t xml:space="preserve">of </w:t>
      </w:r>
      <w:r w:rsidR="00792ACF" w:rsidRPr="00E50671">
        <w:t xml:space="preserve">these variations, and in identifying areas for action. An emphasis has also been placed on highlighting and promoting best practices in LGBTI health law, policy and practice through high-level peer-to-peer exchanges, collaboration with civil society, and through contributions to policy formation at a domestic level. </w:t>
      </w:r>
    </w:p>
    <w:p w14:paraId="76ED23CB" w14:textId="77777777" w:rsidR="00720CA9" w:rsidRPr="007F5005" w:rsidRDefault="00720CA9" w:rsidP="00C505FC">
      <w:pPr>
        <w:spacing w:after="0" w:line="276" w:lineRule="auto"/>
        <w:jc w:val="both"/>
        <w:rPr>
          <w:b/>
          <w:color w:val="0070C0"/>
          <w:sz w:val="28"/>
        </w:rPr>
      </w:pPr>
    </w:p>
    <w:p w14:paraId="34B9A128" w14:textId="55E97258" w:rsidR="005514FC" w:rsidRPr="00E50671" w:rsidRDefault="005514FC" w:rsidP="00C505FC">
      <w:pPr>
        <w:spacing w:after="0" w:line="276" w:lineRule="auto"/>
        <w:jc w:val="both"/>
      </w:pPr>
      <w:r w:rsidRPr="007F5005">
        <w:rPr>
          <w:b/>
          <w:color w:val="0070C0"/>
          <w:sz w:val="28"/>
        </w:rPr>
        <w:t>Equality bodies’ practices</w:t>
      </w:r>
    </w:p>
    <w:p w14:paraId="268C9363" w14:textId="77777777" w:rsidR="0010019E" w:rsidRPr="00E50671" w:rsidRDefault="0010019E" w:rsidP="00C505FC">
      <w:pPr>
        <w:spacing w:line="276" w:lineRule="auto"/>
      </w:pPr>
    </w:p>
    <w:p w14:paraId="72E7E277" w14:textId="09520A5E" w:rsidR="00792ACF" w:rsidRPr="00E50671" w:rsidRDefault="009302C2" w:rsidP="00C505FC">
      <w:pPr>
        <w:pBdr>
          <w:top w:val="dotted" w:sz="4" w:space="1" w:color="auto"/>
          <w:left w:val="dotted" w:sz="4" w:space="4" w:color="auto"/>
          <w:bottom w:val="dotted" w:sz="4" w:space="1" w:color="auto"/>
          <w:right w:val="dotted" w:sz="4" w:space="4" w:color="auto"/>
        </w:pBdr>
        <w:spacing w:line="276" w:lineRule="auto"/>
        <w:jc w:val="both"/>
      </w:pPr>
      <w:r>
        <w:rPr>
          <w:b/>
        </w:rPr>
        <w:t>Unia (</w:t>
      </w:r>
      <w:r w:rsidR="00385809" w:rsidRPr="00E50671">
        <w:rPr>
          <w:b/>
        </w:rPr>
        <w:t>Interfederal Centre for Equal Opportunities</w:t>
      </w:r>
      <w:r>
        <w:rPr>
          <w:b/>
        </w:rPr>
        <w:t>, Belgium)</w:t>
      </w:r>
      <w:r w:rsidR="00792ACF" w:rsidRPr="00E50671">
        <w:rPr>
          <w:b/>
        </w:rPr>
        <w:t xml:space="preserve"> </w:t>
      </w:r>
      <w:r w:rsidR="00792ACF" w:rsidRPr="00E50671">
        <w:t>partnered with the Observatory on AIDs and Sexualities at the University of Saint-Louis to conduct a survey on HIV status discrimination. The survey</w:t>
      </w:r>
      <w:r w:rsidR="00425CCE" w:rsidRPr="00E50671">
        <w:t xml:space="preserve"> </w:t>
      </w:r>
      <w:r w:rsidR="00792ACF" w:rsidRPr="00E50671">
        <w:t xml:space="preserve">indicated that serophobia persists in many areas of Belgian life. Areas of concern included discrimination in provision of goods and services; workplace discrimination and barriers to professional advancement; and the impact of HIV stigma on the private lives of those diagnosed. </w:t>
      </w:r>
      <w:r w:rsidR="00425CCE" w:rsidRPr="00E50671">
        <w:t>This is important as it undermines the efforts of the Commission to improve policies targeting the populations most at risk, including from the LGBTI community.</w:t>
      </w:r>
    </w:p>
    <w:p w14:paraId="79FF1693" w14:textId="77777777" w:rsidR="0010019E" w:rsidRPr="00E50671" w:rsidRDefault="0010019E" w:rsidP="00C505FC">
      <w:pPr>
        <w:pStyle w:val="NoSpacing"/>
        <w:spacing w:line="276" w:lineRule="auto"/>
        <w:rPr>
          <w:noProof/>
          <w:lang w:val="en-GB"/>
        </w:rPr>
      </w:pPr>
    </w:p>
    <w:p w14:paraId="44E7DC8D" w14:textId="4404AFBF" w:rsidR="00792ACF" w:rsidRPr="00E50671" w:rsidRDefault="00792ACF" w:rsidP="00C505FC">
      <w:pPr>
        <w:pBdr>
          <w:top w:val="dotted" w:sz="4" w:space="1" w:color="auto"/>
          <w:left w:val="dotted" w:sz="4" w:space="4" w:color="auto"/>
          <w:bottom w:val="dotted" w:sz="4" w:space="1" w:color="auto"/>
          <w:right w:val="dotted" w:sz="4" w:space="4" w:color="auto"/>
        </w:pBdr>
        <w:spacing w:line="276" w:lineRule="auto"/>
        <w:jc w:val="both"/>
      </w:pPr>
      <w:r w:rsidRPr="00E50671">
        <w:t xml:space="preserve">In October 2016 the </w:t>
      </w:r>
      <w:r w:rsidRPr="00127CBC">
        <w:rPr>
          <w:b/>
        </w:rPr>
        <w:t xml:space="preserve">Cypriot </w:t>
      </w:r>
      <w:r w:rsidRPr="00E50671">
        <w:rPr>
          <w:b/>
        </w:rPr>
        <w:t xml:space="preserve">Commissioner for Administration and Human Rights </w:t>
      </w:r>
      <w:r w:rsidRPr="00E50671">
        <w:t>worked with the Council of Europe, in partnership with LGBTI NGOs Accept, LGBT Cyprus, ILGA Europe and TGEU, to run a peer-to-peer exchange on Legal Gender Recognition. The exchange coincided with the publication of proposals by the</w:t>
      </w:r>
      <w:r w:rsidR="00E13563" w:rsidRPr="00E50671">
        <w:t xml:space="preserve"> equality body for human rights</w:t>
      </w:r>
      <w:r w:rsidRPr="00E50671">
        <w:t xml:space="preserve"> compatible gender recognition legislation that would de-medicalise </w:t>
      </w:r>
      <w:r w:rsidR="00E13563" w:rsidRPr="00E50671">
        <w:t>t</w:t>
      </w:r>
      <w:r w:rsidRPr="00E50671">
        <w:t xml:space="preserve">rans identities, </w:t>
      </w:r>
      <w:r w:rsidR="00E13563" w:rsidRPr="00E50671">
        <w:t>while taking</w:t>
      </w:r>
      <w:r w:rsidRPr="00E50671">
        <w:t xml:space="preserve"> in</w:t>
      </w:r>
      <w:r w:rsidR="00E13563" w:rsidRPr="00E50671">
        <w:t>to account the health needs of t</w:t>
      </w:r>
      <w:r w:rsidRPr="00E50671">
        <w:t xml:space="preserve">rans people. </w:t>
      </w:r>
    </w:p>
    <w:p w14:paraId="527C0992" w14:textId="77777777" w:rsidR="00E13563" w:rsidRPr="00E50671" w:rsidRDefault="00E13563" w:rsidP="00C505FC">
      <w:pPr>
        <w:pStyle w:val="NoSpacing"/>
        <w:spacing w:line="276" w:lineRule="auto"/>
        <w:rPr>
          <w:noProof/>
          <w:lang w:val="en-GB"/>
        </w:rPr>
      </w:pPr>
    </w:p>
    <w:p w14:paraId="31D24D05" w14:textId="110EC9F2" w:rsidR="0010019E" w:rsidRDefault="00127CBC" w:rsidP="00C8255D">
      <w:pPr>
        <w:pBdr>
          <w:top w:val="dotted" w:sz="4" w:space="1" w:color="auto"/>
          <w:left w:val="dotted" w:sz="4" w:space="4" w:color="auto"/>
          <w:bottom w:val="dotted" w:sz="4" w:space="1" w:color="auto"/>
          <w:right w:val="dotted" w:sz="4" w:space="4" w:color="auto"/>
        </w:pBdr>
        <w:spacing w:line="276" w:lineRule="auto"/>
      </w:pPr>
      <w:r>
        <w:t>In 2015, t</w:t>
      </w:r>
      <w:r w:rsidR="00792ACF" w:rsidRPr="00E50671">
        <w:t xml:space="preserve">he </w:t>
      </w:r>
      <w:r w:rsidR="00792ACF" w:rsidRPr="00127CBC">
        <w:rPr>
          <w:b/>
        </w:rPr>
        <w:t>Finnish</w:t>
      </w:r>
      <w:r w:rsidR="00792ACF" w:rsidRPr="00E50671">
        <w:t xml:space="preserve"> </w:t>
      </w:r>
      <w:r w:rsidR="00792ACF" w:rsidRPr="00E50671">
        <w:rPr>
          <w:b/>
        </w:rPr>
        <w:t xml:space="preserve">Non-Discrimination Ombudsman </w:t>
      </w:r>
      <w:r w:rsidR="00792ACF" w:rsidRPr="00E50671">
        <w:t xml:space="preserve">referred a case to the country’s </w:t>
      </w:r>
      <w:r w:rsidR="00792ACF" w:rsidRPr="00E50671">
        <w:rPr>
          <w:b/>
        </w:rPr>
        <w:t xml:space="preserve">National Non-Discrimination and Equality Tribunal </w:t>
      </w:r>
      <w:r w:rsidR="00792ACF" w:rsidRPr="00E50671">
        <w:t xml:space="preserve">regarding restrictions in certain hospital districts excluding single women and female couples from assisted reproductive treatments provided by the public health-care system. The Tribunal found </w:t>
      </w:r>
      <w:r w:rsidR="00960D66" w:rsidRPr="00E50671">
        <w:t xml:space="preserve">in 2016 </w:t>
      </w:r>
      <w:r w:rsidR="00792ACF" w:rsidRPr="00E50671">
        <w:t>that the district Medical Directors had acted contrary to the Non-Discrimination Act</w:t>
      </w:r>
      <w:r w:rsidR="00385809" w:rsidRPr="00E50671">
        <w:t xml:space="preserve"> and</w:t>
      </w:r>
      <w:r w:rsidR="00792ACF" w:rsidRPr="00E50671">
        <w:t xml:space="preserve"> that the complainant had been discriminated against on the grounds of her sexual orientation. The Tribunal impos</w:t>
      </w:r>
      <w:r>
        <w:t>ed a conditional fine of 30,000</w:t>
      </w:r>
      <w:r w:rsidR="009A40B5">
        <w:t xml:space="preserve"> </w:t>
      </w:r>
      <w:r w:rsidR="00792ACF" w:rsidRPr="00E50671">
        <w:t>euro</w:t>
      </w:r>
      <w:r>
        <w:t>s</w:t>
      </w:r>
      <w:r w:rsidR="00792ACF" w:rsidRPr="00E50671">
        <w:t xml:space="preserve"> on each of the Medical Directors, and ordered that the discriminatory practice cease.</w:t>
      </w:r>
      <w:r w:rsidR="00960D66" w:rsidRPr="00E50671">
        <w:t xml:space="preserve"> There is an appeal by the defendants of the case pending in the administrative court.</w:t>
      </w:r>
    </w:p>
    <w:p w14:paraId="39E09A9D" w14:textId="77777777" w:rsidR="00C8255D" w:rsidRPr="00E50671" w:rsidRDefault="00C8255D" w:rsidP="00C8255D">
      <w:pPr>
        <w:spacing w:line="276" w:lineRule="auto"/>
      </w:pPr>
    </w:p>
    <w:p w14:paraId="6BE18CE2" w14:textId="6F20ACDA" w:rsidR="0010019E" w:rsidRDefault="00792ACF" w:rsidP="00C8255D">
      <w:pPr>
        <w:pBdr>
          <w:top w:val="dotted" w:sz="4" w:space="1" w:color="auto"/>
          <w:left w:val="dotted" w:sz="4" w:space="4" w:color="auto"/>
          <w:bottom w:val="dotted" w:sz="4" w:space="1" w:color="auto"/>
          <w:right w:val="dotted" w:sz="4" w:space="4" w:color="auto"/>
        </w:pBdr>
        <w:spacing w:line="276" w:lineRule="auto"/>
        <w:jc w:val="both"/>
      </w:pPr>
      <w:r w:rsidRPr="00E50671">
        <w:t xml:space="preserve">In Great Britain, the </w:t>
      </w:r>
      <w:r w:rsidRPr="00E50671">
        <w:rPr>
          <w:b/>
        </w:rPr>
        <w:t>Equality and Human Rights Commission</w:t>
      </w:r>
      <w:r w:rsidRPr="00E50671">
        <w:t xml:space="preserve">’s ‘Is Britain Fairer?’ study highlighted a number of areas of concern regarding access to health for LGBTI persons. This included a higher incidence of poor mental health amongst sexual minority respondents; insufficient information tailored to the healthcare needs of LGBTI persons; the persistence of negative stereotypes of LGBTI persons in the healthcare setting; and discriminatory and hurtful interactions between healthcare providers and Trans patients. In the context of significant healthcare policy reform in Great Britain, this study will contribute to a clearer understanding of the healthcare needs of LGBTI persons. </w:t>
      </w:r>
      <w:r w:rsidR="00435B73" w:rsidRPr="00E50671">
        <w:t xml:space="preserve"> </w:t>
      </w:r>
    </w:p>
    <w:p w14:paraId="25E6D802" w14:textId="77777777" w:rsidR="00C8255D" w:rsidRPr="001B33A3" w:rsidRDefault="00C8255D" w:rsidP="00045CAA">
      <w:pPr>
        <w:pStyle w:val="NoSpacing"/>
        <w:rPr>
          <w:lang w:val="en-US"/>
        </w:rPr>
      </w:pPr>
    </w:p>
    <w:p w14:paraId="1ECCDBAF" w14:textId="4BF691C1" w:rsidR="008E3C6F" w:rsidRPr="00851CA7" w:rsidRDefault="00792ACF" w:rsidP="00851CA7">
      <w:pPr>
        <w:pBdr>
          <w:top w:val="dotted" w:sz="4" w:space="1" w:color="auto"/>
          <w:left w:val="dotted" w:sz="4" w:space="4" w:color="auto"/>
          <w:bottom w:val="dotted" w:sz="4" w:space="1" w:color="auto"/>
          <w:right w:val="dotted" w:sz="4" w:space="4" w:color="auto"/>
        </w:pBdr>
        <w:spacing w:line="276" w:lineRule="auto"/>
        <w:jc w:val="both"/>
      </w:pPr>
      <w:r w:rsidRPr="00E50671">
        <w:t xml:space="preserve">In 2011, the </w:t>
      </w:r>
      <w:r w:rsidRPr="00127CBC">
        <w:rPr>
          <w:b/>
        </w:rPr>
        <w:t xml:space="preserve">Czech </w:t>
      </w:r>
      <w:r w:rsidRPr="00E50671">
        <w:rPr>
          <w:b/>
        </w:rPr>
        <w:t>Public Defender of Rights</w:t>
      </w:r>
      <w:r w:rsidRPr="00E50671">
        <w:t xml:space="preserve"> responded to a complaint from a gay man who was excluded from blood plasma donation on the grounds of his sexual orientation. The </w:t>
      </w:r>
      <w:hyperlink r:id="rId14" w:history="1">
        <w:r w:rsidRPr="00045CAA">
          <w:rPr>
            <w:rStyle w:val="Hyperlink"/>
          </w:rPr>
          <w:t>investigation</w:t>
        </w:r>
      </w:hyperlink>
      <w:r w:rsidRPr="00E50671">
        <w:t xml:space="preserve"> concluded that the authorities, when evaluating the suitability of blood donors, </w:t>
      </w:r>
      <w:r w:rsidR="00127CBC">
        <w:t>should</w:t>
      </w:r>
      <w:r w:rsidRPr="00E50671">
        <w:t xml:space="preserve"> distinguish between sexual orientation and sexual behaviour, and that exclusion on grounds of sexual orientation amounts to direct discrimination.</w:t>
      </w:r>
    </w:p>
    <w:p w14:paraId="595A3C84" w14:textId="77777777" w:rsidR="00526873" w:rsidRPr="00E35F9C" w:rsidRDefault="00526873" w:rsidP="00526873">
      <w:pPr>
        <w:pStyle w:val="NoSpacing"/>
        <w:rPr>
          <w:lang w:val="en-US"/>
        </w:rPr>
      </w:pPr>
    </w:p>
    <w:p w14:paraId="636FD56B" w14:textId="3648F777" w:rsidR="00E35F9C" w:rsidRPr="00FB094B" w:rsidRDefault="00E35F9C" w:rsidP="00E50E05">
      <w:pPr>
        <w:pBdr>
          <w:top w:val="dotted" w:sz="4" w:space="1" w:color="auto"/>
          <w:left w:val="dotted" w:sz="4" w:space="4" w:color="auto"/>
          <w:bottom w:val="dotted" w:sz="4" w:space="1" w:color="auto"/>
          <w:right w:val="dotted" w:sz="4" w:space="4" w:color="auto"/>
        </w:pBdr>
        <w:rPr>
          <w:lang w:val="en-US"/>
        </w:rPr>
      </w:pPr>
      <w:r w:rsidRPr="00FB094B">
        <w:rPr>
          <w:lang w:val="en-US"/>
        </w:rPr>
        <w:t xml:space="preserve">In 2017, the </w:t>
      </w:r>
      <w:r w:rsidRPr="00127CBC">
        <w:rPr>
          <w:b/>
          <w:lang w:val="en-US"/>
        </w:rPr>
        <w:t>French Defender of Rights</w:t>
      </w:r>
      <w:r w:rsidR="00127CBC">
        <w:rPr>
          <w:b/>
          <w:lang w:val="en-US"/>
        </w:rPr>
        <w:t xml:space="preserve"> </w:t>
      </w:r>
      <w:r w:rsidR="00127CBC" w:rsidRPr="00FB094B">
        <w:rPr>
          <w:lang w:val="en-US"/>
        </w:rPr>
        <w:t>publicly</w:t>
      </w:r>
      <w:r w:rsidRPr="00FB094B">
        <w:rPr>
          <w:lang w:val="en-US"/>
        </w:rPr>
        <w:t xml:space="preserve"> took </w:t>
      </w:r>
      <w:r w:rsidR="00127CBC">
        <w:rPr>
          <w:lang w:val="en-US"/>
        </w:rPr>
        <w:t xml:space="preserve">a </w:t>
      </w:r>
      <w:r w:rsidRPr="00FB094B">
        <w:rPr>
          <w:lang w:val="en-US"/>
        </w:rPr>
        <w:t>position at a hearing organised by the French Senate in favour of the prohibition of unnecessary genital surgical interventions on intersex children without their consent and for an easier modification of the gender in the civil registry.</w:t>
      </w:r>
    </w:p>
    <w:p w14:paraId="6ED18521" w14:textId="33A5DEE8" w:rsidR="00851CA7" w:rsidRPr="00526873" w:rsidRDefault="00851CA7" w:rsidP="00526873">
      <w:pPr>
        <w:pBdr>
          <w:top w:val="dotted" w:sz="4" w:space="1" w:color="auto"/>
          <w:left w:val="dotted" w:sz="4" w:space="4" w:color="auto"/>
          <w:bottom w:val="dotted" w:sz="4" w:space="1" w:color="auto"/>
          <w:right w:val="dotted" w:sz="4" w:space="4" w:color="auto"/>
        </w:pBdr>
        <w:jc w:val="both"/>
        <w:rPr>
          <w:b/>
          <w:sz w:val="24"/>
          <w:highlight w:val="yellow"/>
        </w:rPr>
      </w:pPr>
      <w:r w:rsidRPr="00526873">
        <w:rPr>
          <w:b/>
          <w:sz w:val="24"/>
          <w:highlight w:val="yellow"/>
        </w:rPr>
        <w:br w:type="page"/>
      </w:r>
    </w:p>
    <w:p w14:paraId="1350A70F" w14:textId="4C52A956" w:rsidR="00B70BC0" w:rsidRPr="00C8255D" w:rsidRDefault="00D869F8" w:rsidP="00C505FC">
      <w:pPr>
        <w:shd w:val="clear" w:color="auto" w:fill="FFFFFF" w:themeFill="background1"/>
        <w:spacing w:line="276" w:lineRule="auto"/>
        <w:jc w:val="both"/>
        <w:rPr>
          <w:b/>
          <w:sz w:val="28"/>
        </w:rPr>
      </w:pPr>
      <w:bookmarkStart w:id="0" w:name="_GoBack"/>
      <w:bookmarkEnd w:id="0"/>
      <w:r w:rsidRPr="00E50671">
        <w:rPr>
          <w:b/>
          <w:sz w:val="28"/>
        </w:rPr>
        <w:t>Ways Forward</w:t>
      </w:r>
      <w:r w:rsidR="00C8255D">
        <w:rPr>
          <w:b/>
          <w:sz w:val="28"/>
        </w:rPr>
        <w:t xml:space="preserve"> - </w:t>
      </w:r>
      <w:r w:rsidR="004D02C1" w:rsidRPr="00E50671">
        <w:rPr>
          <w:b/>
          <w:color w:val="0070C0"/>
          <w:sz w:val="28"/>
        </w:rPr>
        <w:t>Equality bodies contributing to better address discrimination against LGBTI people</w:t>
      </w:r>
    </w:p>
    <w:p w14:paraId="1F3B66FC" w14:textId="5803936E" w:rsidR="004D02C1" w:rsidRPr="00E50671" w:rsidRDefault="00E16C15" w:rsidP="00C505FC">
      <w:pPr>
        <w:pStyle w:val="ListParagraph"/>
        <w:numPr>
          <w:ilvl w:val="0"/>
          <w:numId w:val="21"/>
        </w:numPr>
        <w:shd w:val="clear" w:color="auto" w:fill="FFFFFF" w:themeFill="background1"/>
        <w:spacing w:line="276" w:lineRule="auto"/>
        <w:jc w:val="both"/>
        <w:rPr>
          <w:b/>
          <w:color w:val="0070C0"/>
          <w:sz w:val="24"/>
        </w:rPr>
      </w:pPr>
      <w:r w:rsidRPr="00E50671">
        <w:t xml:space="preserve">The contribution of equality bodies </w:t>
      </w:r>
      <w:r w:rsidRPr="00E50671">
        <w:rPr>
          <w:b/>
        </w:rPr>
        <w:t>goes beyond the action n°2</w:t>
      </w:r>
      <w:r w:rsidRPr="00E50671">
        <w:t xml:space="preserve"> on “strong monitoring and enforcement of existing rights of LGBTI people and their families under EU law”. Equality bodies could be usefully consulted and associated with other actions, in particular supporting key actors (action n°4). Examples show that they have a valuable role in promotion, awareness-raising and research</w:t>
      </w:r>
      <w:r w:rsidR="007301D7" w:rsidRPr="00E50671">
        <w:t xml:space="preserve"> (action n</w:t>
      </w:r>
      <w:r w:rsidR="007E1662" w:rsidRPr="00E50671">
        <w:t>°</w:t>
      </w:r>
      <w:r w:rsidR="007301D7" w:rsidRPr="00E50671">
        <w:t>3)</w:t>
      </w:r>
      <w:r w:rsidRPr="00E50671">
        <w:t xml:space="preserve">. </w:t>
      </w:r>
    </w:p>
    <w:p w14:paraId="354F0072" w14:textId="297EB189" w:rsidR="00E16C15" w:rsidRPr="00E50671" w:rsidRDefault="00E16C15" w:rsidP="00C505FC">
      <w:pPr>
        <w:pStyle w:val="ListParagraph"/>
        <w:numPr>
          <w:ilvl w:val="0"/>
          <w:numId w:val="21"/>
        </w:numPr>
        <w:shd w:val="clear" w:color="auto" w:fill="FFFFFF" w:themeFill="background1"/>
        <w:spacing w:line="276" w:lineRule="auto"/>
        <w:jc w:val="both"/>
        <w:rPr>
          <w:b/>
          <w:color w:val="0070C0"/>
          <w:sz w:val="24"/>
        </w:rPr>
      </w:pPr>
      <w:r w:rsidRPr="00E50671">
        <w:t>Regarding en</w:t>
      </w:r>
      <w:r w:rsidR="00EE3765" w:rsidRPr="00E50671">
        <w:t xml:space="preserve">forcement, the experience of equality bodies shows the necessity of having comprehensive </w:t>
      </w:r>
      <w:r w:rsidR="00924894" w:rsidRPr="00E50671">
        <w:t xml:space="preserve">discrimination </w:t>
      </w:r>
      <w:r w:rsidR="00EE3765" w:rsidRPr="00E50671">
        <w:t xml:space="preserve">legislation covering the grounds </w:t>
      </w:r>
      <w:r w:rsidR="00127CBC">
        <w:t xml:space="preserve">of </w:t>
      </w:r>
      <w:r w:rsidR="00EE3765" w:rsidRPr="00E50671">
        <w:t>sexual orientation and gender identity in all areas of</w:t>
      </w:r>
      <w:r w:rsidR="00924894" w:rsidRPr="00E50671">
        <w:t xml:space="preserve"> life</w:t>
      </w:r>
      <w:r w:rsidR="00EE3765" w:rsidRPr="00E50671">
        <w:t>. Strategic efforts</w:t>
      </w:r>
      <w:r w:rsidR="00E50671">
        <w:t xml:space="preserve"> need to be sustained at both national and European levels to ensure adoption of the proposed Equal Treatment Directive</w:t>
      </w:r>
      <w:r w:rsidR="00DE6C2A">
        <w:t xml:space="preserve"> (also known as the Horizontal Directive)</w:t>
      </w:r>
      <w:r w:rsidR="00E50671">
        <w:t>.</w:t>
      </w:r>
      <w:r w:rsidR="00EE3765" w:rsidRPr="00E50671">
        <w:t xml:space="preserve"> </w:t>
      </w:r>
    </w:p>
    <w:p w14:paraId="20CAD966" w14:textId="1DF5570B" w:rsidR="00EE3765" w:rsidRPr="00E50671" w:rsidRDefault="00EE3765" w:rsidP="00C505FC">
      <w:pPr>
        <w:pStyle w:val="ListParagraph"/>
        <w:numPr>
          <w:ilvl w:val="0"/>
          <w:numId w:val="21"/>
        </w:numPr>
        <w:shd w:val="clear" w:color="auto" w:fill="FFFFFF" w:themeFill="background1"/>
        <w:spacing w:line="276" w:lineRule="auto"/>
        <w:jc w:val="both"/>
        <w:rPr>
          <w:b/>
          <w:color w:val="0070C0"/>
          <w:sz w:val="24"/>
        </w:rPr>
      </w:pPr>
      <w:r w:rsidRPr="00E50671">
        <w:t>In order</w:t>
      </w:r>
      <w:r w:rsidR="002E56E5" w:rsidRPr="00E50671">
        <w:t xml:space="preserve"> for equality bodies to make the most of their potential to support the List of Actions, safeguards are necessary to secure their effectiveness.</w:t>
      </w:r>
      <w:r w:rsidRPr="00E50671">
        <w:t xml:space="preserve"> Adopting European standards strengthening the independence and effectiveness, as well as ensuring adequate resources for national equality bodies, would considerably strengthen the impact of the List of Actions</w:t>
      </w:r>
      <w:r w:rsidR="002E56E5" w:rsidRPr="00E50671">
        <w:t xml:space="preserve"> to address discrimination against LGBTI people. </w:t>
      </w:r>
    </w:p>
    <w:p w14:paraId="25C1DE8B" w14:textId="44D8C3D9" w:rsidR="00925B28" w:rsidRPr="00E50671" w:rsidRDefault="007301D7" w:rsidP="00C505FC">
      <w:pPr>
        <w:pStyle w:val="ListParagraph"/>
        <w:numPr>
          <w:ilvl w:val="0"/>
          <w:numId w:val="21"/>
        </w:numPr>
        <w:shd w:val="clear" w:color="auto" w:fill="FFFFFF" w:themeFill="background1"/>
        <w:spacing w:line="276" w:lineRule="auto"/>
        <w:jc w:val="both"/>
      </w:pPr>
      <w:r w:rsidRPr="00E50671">
        <w:t xml:space="preserve">Ensuring the List of Actions is continued by a </w:t>
      </w:r>
      <w:r w:rsidRPr="00E50671">
        <w:rPr>
          <w:b/>
        </w:rPr>
        <w:t>comprehensive strategy on LGBTI equality</w:t>
      </w:r>
      <w:r w:rsidRPr="00E50671">
        <w:t xml:space="preserve"> after 2019 is essential to capitalize on the achievements of the List of Actions. </w:t>
      </w:r>
      <w:r w:rsidR="003F770C" w:rsidRPr="00E50671">
        <w:t>A comprehensive strategy would be key in pa</w:t>
      </w:r>
      <w:r w:rsidR="009011EE" w:rsidRPr="00E50671">
        <w:t xml:space="preserve">rticular in EU Member States where no equality body was appointed to address discrimination against LGBTI people. </w:t>
      </w:r>
    </w:p>
    <w:p w14:paraId="2E4ADB46" w14:textId="77777777" w:rsidR="003266BA" w:rsidRPr="00E50671" w:rsidRDefault="003266BA" w:rsidP="00C505FC">
      <w:pPr>
        <w:pStyle w:val="ListParagraph"/>
        <w:shd w:val="clear" w:color="auto" w:fill="FFFFFF" w:themeFill="background1"/>
        <w:spacing w:line="276" w:lineRule="auto"/>
        <w:jc w:val="both"/>
      </w:pPr>
    </w:p>
    <w:p w14:paraId="1502AE37" w14:textId="68907AE0" w:rsidR="0027474D" w:rsidRPr="00E50671" w:rsidRDefault="0027474D" w:rsidP="00C505FC">
      <w:pPr>
        <w:pBdr>
          <w:top w:val="dotted" w:sz="4" w:space="1" w:color="auto"/>
          <w:left w:val="dotted" w:sz="4" w:space="4" w:color="auto"/>
          <w:bottom w:val="dotted" w:sz="4" w:space="1" w:color="auto"/>
          <w:right w:val="dotted" w:sz="4" w:space="4" w:color="auto"/>
        </w:pBdr>
        <w:shd w:val="clear" w:color="auto" w:fill="F2F2F2" w:themeFill="background1" w:themeFillShade="F2"/>
        <w:spacing w:line="276" w:lineRule="auto"/>
        <w:jc w:val="both"/>
      </w:pPr>
      <w:r w:rsidRPr="00E50671">
        <w:rPr>
          <w:b/>
        </w:rPr>
        <w:t>List of contributors</w:t>
      </w:r>
      <w:r w:rsidRPr="00E50671">
        <w:rPr>
          <w:b/>
        </w:rPr>
        <w:tab/>
      </w:r>
      <w:r w:rsidRPr="00E50671">
        <w:rPr>
          <w:b/>
        </w:rPr>
        <w:br/>
      </w:r>
      <w:r w:rsidRPr="00E50671">
        <w:rPr>
          <w:sz w:val="20"/>
        </w:rPr>
        <w:t>Ombud for Equal Treatment (Austria), Unia</w:t>
      </w:r>
      <w:r w:rsidR="00DE6C2A">
        <w:rPr>
          <w:sz w:val="20"/>
        </w:rPr>
        <w:t xml:space="preserve"> (Interfederal Centre for Equal Opportunities)</w:t>
      </w:r>
      <w:r w:rsidRPr="00E50671">
        <w:rPr>
          <w:sz w:val="20"/>
        </w:rPr>
        <w:t xml:space="preserve"> (Belgium), Commissioner for Protection against Discrimination (Bulgaria), Office of the Commissioner for Administration and Human Rights (Cyprus), Public Defender of Rights (Czech Republic), </w:t>
      </w:r>
      <w:r w:rsidR="00B021C0" w:rsidRPr="00E50671">
        <w:rPr>
          <w:sz w:val="20"/>
        </w:rPr>
        <w:t>Non-Discrimination Ombudsman</w:t>
      </w:r>
      <w:r w:rsidRPr="00E50671">
        <w:rPr>
          <w:sz w:val="20"/>
        </w:rPr>
        <w:t xml:space="preserve"> (Finland), Defender of Rights (France), Federal Anti-Discrimination Agency (Germany), Equality and Human Rights Commission (Great Britain), Greek Ombudsman (Greece), Equal Treatment Authority (Hungary), Office of the Commissioner for Fundamental Rights (Hungary), Irish Human Rights and Equality Commission (Ireland), Ombudsman’s Office of the Republic of Latvia (Latvia), Office of the Equal Opportunities Ombudsperson (Lithuania), Centre for Equal Treatment (Luxembourg), National Commission for the Promotion of Equality (Malta), Office of the Commissioner for Human Rights (Poland), National Council for Combating Discrimination (Romania), Commission for the Protection of Equality (Serbia), Slovak National Centre for Human Rights (Slovakia), Equality Ombudsman (Sweden)</w:t>
      </w:r>
    </w:p>
    <w:p w14:paraId="08CAD198" w14:textId="77777777" w:rsidR="003266BA" w:rsidRPr="00E50671" w:rsidRDefault="003266BA" w:rsidP="00C505FC">
      <w:pPr>
        <w:spacing w:line="276" w:lineRule="auto"/>
        <w:rPr>
          <w:b/>
        </w:rPr>
      </w:pPr>
    </w:p>
    <w:p w14:paraId="27370F77" w14:textId="08C687E5" w:rsidR="005F3F4A" w:rsidRDefault="004576A5" w:rsidP="00C505FC">
      <w:pPr>
        <w:shd w:val="clear" w:color="auto" w:fill="F2F2F2" w:themeFill="background1" w:themeFillShade="F2"/>
        <w:spacing w:line="276" w:lineRule="auto"/>
        <w:rPr>
          <w:b/>
        </w:rPr>
      </w:pPr>
      <w:r w:rsidRPr="00E50671">
        <w:rPr>
          <w:b/>
        </w:rPr>
        <w:t>AUTHORS</w:t>
      </w:r>
      <w:r w:rsidRPr="00E50671">
        <w:rPr>
          <w:b/>
        </w:rPr>
        <w:br/>
      </w:r>
      <w:r w:rsidR="0027474D" w:rsidRPr="00E50671">
        <w:rPr>
          <w:b/>
          <w:sz w:val="20"/>
          <w:szCs w:val="20"/>
        </w:rPr>
        <w:t>Walter Jayawardene</w:t>
      </w:r>
      <w:r w:rsidR="0027474D" w:rsidRPr="00E50671">
        <w:rPr>
          <w:sz w:val="20"/>
          <w:szCs w:val="20"/>
        </w:rPr>
        <w:t>, Irish Human Rights and Equality Commission</w:t>
      </w:r>
      <w:r w:rsidR="0027474D" w:rsidRPr="00E50671">
        <w:rPr>
          <w:sz w:val="20"/>
          <w:szCs w:val="20"/>
        </w:rPr>
        <w:br/>
      </w:r>
      <w:r w:rsidR="0027474D" w:rsidRPr="00E50671">
        <w:rPr>
          <w:b/>
          <w:sz w:val="20"/>
          <w:szCs w:val="20"/>
        </w:rPr>
        <w:t>Jessica Machacova</w:t>
      </w:r>
      <w:r w:rsidR="0027474D" w:rsidRPr="00E50671">
        <w:rPr>
          <w:sz w:val="20"/>
          <w:szCs w:val="20"/>
        </w:rPr>
        <w:t>, Equinet</w:t>
      </w:r>
      <w:r w:rsidR="00DE6C2A">
        <w:rPr>
          <w:sz w:val="20"/>
          <w:szCs w:val="20"/>
        </w:rPr>
        <w:t>,</w:t>
      </w:r>
      <w:r w:rsidR="002F761A" w:rsidRPr="00E50671">
        <w:rPr>
          <w:sz w:val="20"/>
          <w:szCs w:val="20"/>
        </w:rPr>
        <w:t xml:space="preserve"> European Network of Equality Bodies</w:t>
      </w:r>
      <w:r w:rsidR="0027474D" w:rsidRPr="00E50671">
        <w:rPr>
          <w:sz w:val="20"/>
          <w:szCs w:val="20"/>
        </w:rPr>
        <w:br/>
      </w:r>
      <w:r w:rsidR="0027474D" w:rsidRPr="00E50671">
        <w:rPr>
          <w:b/>
          <w:sz w:val="20"/>
          <w:szCs w:val="20"/>
        </w:rPr>
        <w:t>Zuzana Pavlíčková</w:t>
      </w:r>
      <w:r w:rsidR="0027474D" w:rsidRPr="00E50671">
        <w:rPr>
          <w:sz w:val="20"/>
          <w:szCs w:val="20"/>
        </w:rPr>
        <w:t>, Slovak National Centre for Human Rights</w:t>
      </w:r>
    </w:p>
    <w:p w14:paraId="43581E94" w14:textId="6A51C1A0" w:rsidR="00C86144" w:rsidRPr="005F3F4A" w:rsidRDefault="00C86144" w:rsidP="005F3F4A"/>
    <w:sectPr w:rsidR="00C86144" w:rsidRPr="005F3F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2551F" w14:textId="77777777" w:rsidR="00BE1246" w:rsidRDefault="00BE1246" w:rsidP="008E3C6F">
      <w:pPr>
        <w:spacing w:after="0" w:line="240" w:lineRule="auto"/>
      </w:pPr>
      <w:r>
        <w:separator/>
      </w:r>
    </w:p>
  </w:endnote>
  <w:endnote w:type="continuationSeparator" w:id="0">
    <w:p w14:paraId="49FD7814" w14:textId="77777777" w:rsidR="00BE1246" w:rsidRDefault="00BE1246" w:rsidP="008E3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2A791" w14:textId="77777777" w:rsidR="00BE1246" w:rsidRDefault="00BE1246" w:rsidP="008E3C6F">
      <w:pPr>
        <w:spacing w:after="0" w:line="240" w:lineRule="auto"/>
      </w:pPr>
      <w:r>
        <w:separator/>
      </w:r>
    </w:p>
  </w:footnote>
  <w:footnote w:type="continuationSeparator" w:id="0">
    <w:p w14:paraId="32AEFF36" w14:textId="77777777" w:rsidR="00BE1246" w:rsidRDefault="00BE1246" w:rsidP="008E3C6F">
      <w:pPr>
        <w:spacing w:after="0" w:line="240" w:lineRule="auto"/>
      </w:pPr>
      <w:r>
        <w:continuationSeparator/>
      </w:r>
    </w:p>
  </w:footnote>
  <w:footnote w:id="1">
    <w:p w14:paraId="72FE54A3" w14:textId="59F19F6D" w:rsidR="00412DAB" w:rsidRPr="00E652CE" w:rsidRDefault="00412DAB" w:rsidP="00A824F1">
      <w:pPr>
        <w:pStyle w:val="FootnoteText"/>
        <w:jc w:val="both"/>
        <w:rPr>
          <w:lang w:val="en-US"/>
        </w:rPr>
      </w:pPr>
      <w:r>
        <w:rPr>
          <w:rStyle w:val="FootnoteReference"/>
        </w:rPr>
        <w:footnoteRef/>
      </w:r>
      <w:r w:rsidRPr="00E652CE">
        <w:rPr>
          <w:lang w:val="en-US"/>
        </w:rPr>
        <w:t xml:space="preserve"> Directive 2000/43/EC (Race Directive), Directive 2004/113/EC (Gender Goods and Services Directive) a</w:t>
      </w:r>
      <w:r w:rsidR="00A824F1">
        <w:rPr>
          <w:lang w:val="en-US"/>
        </w:rPr>
        <w:t>nd Directive 2006/54/EC (</w:t>
      </w:r>
      <w:r w:rsidRPr="00E652CE">
        <w:rPr>
          <w:lang w:val="en-US"/>
        </w:rPr>
        <w:t>Gender Recast Directive)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5707"/>
    <w:multiLevelType w:val="hybridMultilevel"/>
    <w:tmpl w:val="269A35B4"/>
    <w:lvl w:ilvl="0" w:tplc="AD842C5A">
      <w:start w:val="1"/>
      <w:numFmt w:val="decimal"/>
      <w:lvlText w:val="%1."/>
      <w:lvlJc w:val="left"/>
      <w:pPr>
        <w:ind w:left="720" w:hanging="360"/>
      </w:pPr>
      <w:rPr>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15:restartNumberingAfterBreak="0">
    <w:nsid w:val="01CF20BB"/>
    <w:multiLevelType w:val="hybridMultilevel"/>
    <w:tmpl w:val="CAEC40D8"/>
    <w:lvl w:ilvl="0" w:tplc="0DFCDBB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FC33D4"/>
    <w:multiLevelType w:val="hybridMultilevel"/>
    <w:tmpl w:val="8994689A"/>
    <w:lvl w:ilvl="0" w:tplc="6EF2DA84">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40DED"/>
    <w:multiLevelType w:val="hybridMultilevel"/>
    <w:tmpl w:val="6AD27706"/>
    <w:lvl w:ilvl="0" w:tplc="E53CC1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31840"/>
    <w:multiLevelType w:val="hybridMultilevel"/>
    <w:tmpl w:val="CDFE46A6"/>
    <w:lvl w:ilvl="0" w:tplc="B72EFBCE">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D1A307F"/>
    <w:multiLevelType w:val="hybridMultilevel"/>
    <w:tmpl w:val="4372E5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4DE1781"/>
    <w:multiLevelType w:val="hybridMultilevel"/>
    <w:tmpl w:val="952AE27E"/>
    <w:lvl w:ilvl="0" w:tplc="969EB9CC">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5672107"/>
    <w:multiLevelType w:val="hybridMultilevel"/>
    <w:tmpl w:val="AB6A9D90"/>
    <w:lvl w:ilvl="0" w:tplc="32FE818C">
      <w:start w:val="1"/>
      <w:numFmt w:val="bullet"/>
      <w:lvlText w:val=""/>
      <w:lvlJc w:val="left"/>
      <w:pPr>
        <w:ind w:left="720" w:hanging="360"/>
      </w:pPr>
      <w:rPr>
        <w:rFonts w:ascii="Symbol" w:hAnsi="Symbol"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CAA3F48"/>
    <w:multiLevelType w:val="hybridMultilevel"/>
    <w:tmpl w:val="8D404D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DDF797E"/>
    <w:multiLevelType w:val="hybridMultilevel"/>
    <w:tmpl w:val="74A8E1A0"/>
    <w:lvl w:ilvl="0" w:tplc="2BA0E22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F559B9"/>
    <w:multiLevelType w:val="hybridMultilevel"/>
    <w:tmpl w:val="AAE22584"/>
    <w:lvl w:ilvl="0" w:tplc="3A38FCF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5C347DB"/>
    <w:multiLevelType w:val="hybridMultilevel"/>
    <w:tmpl w:val="A9AA6A2E"/>
    <w:lvl w:ilvl="0" w:tplc="7474E5D8">
      <w:start w:val="1"/>
      <w:numFmt w:val="bullet"/>
      <w:lvlText w:val=""/>
      <w:lvlJc w:val="left"/>
      <w:pPr>
        <w:ind w:left="720" w:hanging="360"/>
      </w:pPr>
      <w:rPr>
        <w:rFonts w:ascii="Symbol" w:hAnsi="Symbol" w:hint="default"/>
        <w:color w:val="auto"/>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F247FDB"/>
    <w:multiLevelType w:val="hybridMultilevel"/>
    <w:tmpl w:val="94CA8C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00F4E17"/>
    <w:multiLevelType w:val="hybridMultilevel"/>
    <w:tmpl w:val="266E929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07A53AE"/>
    <w:multiLevelType w:val="hybridMultilevel"/>
    <w:tmpl w:val="3E2CB2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6E15AF3"/>
    <w:multiLevelType w:val="hybridMultilevel"/>
    <w:tmpl w:val="B99C3D6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59277D14"/>
    <w:multiLevelType w:val="hybridMultilevel"/>
    <w:tmpl w:val="BD5635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231337B"/>
    <w:multiLevelType w:val="hybridMultilevel"/>
    <w:tmpl w:val="729410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8247F1"/>
    <w:multiLevelType w:val="hybridMultilevel"/>
    <w:tmpl w:val="BD44916C"/>
    <w:lvl w:ilvl="0" w:tplc="7474E5D8">
      <w:start w:val="1"/>
      <w:numFmt w:val="bullet"/>
      <w:lvlText w:val=""/>
      <w:lvlJc w:val="left"/>
      <w:pPr>
        <w:ind w:left="720" w:hanging="360"/>
      </w:pPr>
      <w:rPr>
        <w:rFonts w:ascii="Symbol" w:hAnsi="Symbol" w:hint="default"/>
        <w:color w:val="auto"/>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C426805"/>
    <w:multiLevelType w:val="hybridMultilevel"/>
    <w:tmpl w:val="AD96E0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F707AAA"/>
    <w:multiLevelType w:val="hybridMultilevel"/>
    <w:tmpl w:val="459AAE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FAC7364"/>
    <w:multiLevelType w:val="hybridMultilevel"/>
    <w:tmpl w:val="144E36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277177E"/>
    <w:multiLevelType w:val="hybridMultilevel"/>
    <w:tmpl w:val="A1EC4962"/>
    <w:lvl w:ilvl="0" w:tplc="8120459A">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D2843B0"/>
    <w:multiLevelType w:val="hybridMultilevel"/>
    <w:tmpl w:val="D55CC98A"/>
    <w:lvl w:ilvl="0" w:tplc="7C42954A">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6666EC"/>
    <w:multiLevelType w:val="hybridMultilevel"/>
    <w:tmpl w:val="9FC01462"/>
    <w:lvl w:ilvl="0" w:tplc="3A38FCF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7"/>
  </w:num>
  <w:num w:numId="4">
    <w:abstractNumId w:val="16"/>
  </w:num>
  <w:num w:numId="5">
    <w:abstractNumId w:val="1"/>
  </w:num>
  <w:num w:numId="6">
    <w:abstractNumId w:val="2"/>
  </w:num>
  <w:num w:numId="7">
    <w:abstractNumId w:val="23"/>
  </w:num>
  <w:num w:numId="8">
    <w:abstractNumId w:val="15"/>
  </w:num>
  <w:num w:numId="9">
    <w:abstractNumId w:val="19"/>
  </w:num>
  <w:num w:numId="10">
    <w:abstractNumId w:val="12"/>
  </w:num>
  <w:num w:numId="11">
    <w:abstractNumId w:val="6"/>
  </w:num>
  <w:num w:numId="12">
    <w:abstractNumId w:val="18"/>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3"/>
  </w:num>
  <w:num w:numId="17">
    <w:abstractNumId w:val="4"/>
  </w:num>
  <w:num w:numId="18">
    <w:abstractNumId w:val="14"/>
  </w:num>
  <w:num w:numId="19">
    <w:abstractNumId w:val="20"/>
  </w:num>
  <w:num w:numId="20">
    <w:abstractNumId w:val="3"/>
  </w:num>
  <w:num w:numId="21">
    <w:abstractNumId w:val="7"/>
  </w:num>
  <w:num w:numId="22">
    <w:abstractNumId w:val="24"/>
  </w:num>
  <w:num w:numId="23">
    <w:abstractNumId w:val="10"/>
  </w:num>
  <w:num w:numId="24">
    <w:abstractNumId w:val="5"/>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E6"/>
    <w:rsid w:val="00006808"/>
    <w:rsid w:val="000076C2"/>
    <w:rsid w:val="000152EB"/>
    <w:rsid w:val="00024865"/>
    <w:rsid w:val="00032668"/>
    <w:rsid w:val="00037A65"/>
    <w:rsid w:val="00042E03"/>
    <w:rsid w:val="00045CAA"/>
    <w:rsid w:val="000461F5"/>
    <w:rsid w:val="000670C7"/>
    <w:rsid w:val="00086A41"/>
    <w:rsid w:val="00094726"/>
    <w:rsid w:val="000A0B59"/>
    <w:rsid w:val="000A5C62"/>
    <w:rsid w:val="000C4900"/>
    <w:rsid w:val="000C5DDD"/>
    <w:rsid w:val="000D54CC"/>
    <w:rsid w:val="000F3398"/>
    <w:rsid w:val="0010019E"/>
    <w:rsid w:val="00122187"/>
    <w:rsid w:val="00126561"/>
    <w:rsid w:val="00127CBC"/>
    <w:rsid w:val="001340C1"/>
    <w:rsid w:val="00135EAA"/>
    <w:rsid w:val="00152358"/>
    <w:rsid w:val="00162B38"/>
    <w:rsid w:val="00165ABB"/>
    <w:rsid w:val="001668AD"/>
    <w:rsid w:val="0018027A"/>
    <w:rsid w:val="00182830"/>
    <w:rsid w:val="001838F5"/>
    <w:rsid w:val="00191D3A"/>
    <w:rsid w:val="00194455"/>
    <w:rsid w:val="001A1DCE"/>
    <w:rsid w:val="001A6AF4"/>
    <w:rsid w:val="001A723A"/>
    <w:rsid w:val="001B09C2"/>
    <w:rsid w:val="001B33A3"/>
    <w:rsid w:val="001C0BCB"/>
    <w:rsid w:val="001C7A76"/>
    <w:rsid w:val="001D2178"/>
    <w:rsid w:val="001E011C"/>
    <w:rsid w:val="001E09BC"/>
    <w:rsid w:val="001E48D0"/>
    <w:rsid w:val="001F30A0"/>
    <w:rsid w:val="001F3B13"/>
    <w:rsid w:val="001F3EEB"/>
    <w:rsid w:val="002165D4"/>
    <w:rsid w:val="00222D10"/>
    <w:rsid w:val="00226A28"/>
    <w:rsid w:val="00227869"/>
    <w:rsid w:val="00232300"/>
    <w:rsid w:val="0025745E"/>
    <w:rsid w:val="00261825"/>
    <w:rsid w:val="0027474D"/>
    <w:rsid w:val="002749E2"/>
    <w:rsid w:val="002754D6"/>
    <w:rsid w:val="00282D54"/>
    <w:rsid w:val="002840C4"/>
    <w:rsid w:val="00284226"/>
    <w:rsid w:val="00287B79"/>
    <w:rsid w:val="002A1310"/>
    <w:rsid w:val="002A2E08"/>
    <w:rsid w:val="002D341A"/>
    <w:rsid w:val="002D4033"/>
    <w:rsid w:val="002D44D9"/>
    <w:rsid w:val="002E56E5"/>
    <w:rsid w:val="002E5C9D"/>
    <w:rsid w:val="002F26A6"/>
    <w:rsid w:val="002F45DA"/>
    <w:rsid w:val="002F49E3"/>
    <w:rsid w:val="002F761A"/>
    <w:rsid w:val="00310BA1"/>
    <w:rsid w:val="00310D22"/>
    <w:rsid w:val="003172C3"/>
    <w:rsid w:val="0032368A"/>
    <w:rsid w:val="003266BA"/>
    <w:rsid w:val="00327FB0"/>
    <w:rsid w:val="00340660"/>
    <w:rsid w:val="00342D8B"/>
    <w:rsid w:val="00346A94"/>
    <w:rsid w:val="0035284F"/>
    <w:rsid w:val="00372C88"/>
    <w:rsid w:val="00377BAB"/>
    <w:rsid w:val="00385809"/>
    <w:rsid w:val="00390F08"/>
    <w:rsid w:val="00397F93"/>
    <w:rsid w:val="003A1E6D"/>
    <w:rsid w:val="003A20FC"/>
    <w:rsid w:val="003B1D31"/>
    <w:rsid w:val="003C35C5"/>
    <w:rsid w:val="003C5E12"/>
    <w:rsid w:val="003C708E"/>
    <w:rsid w:val="003D4EE4"/>
    <w:rsid w:val="003E4955"/>
    <w:rsid w:val="003F0A2A"/>
    <w:rsid w:val="003F6029"/>
    <w:rsid w:val="003F770C"/>
    <w:rsid w:val="00403959"/>
    <w:rsid w:val="00405ACC"/>
    <w:rsid w:val="00410E29"/>
    <w:rsid w:val="00412DAB"/>
    <w:rsid w:val="00414FF4"/>
    <w:rsid w:val="00415EE0"/>
    <w:rsid w:val="00417F8F"/>
    <w:rsid w:val="00425CCE"/>
    <w:rsid w:val="00435227"/>
    <w:rsid w:val="00435B73"/>
    <w:rsid w:val="00450544"/>
    <w:rsid w:val="004576A5"/>
    <w:rsid w:val="00461C21"/>
    <w:rsid w:val="00485A35"/>
    <w:rsid w:val="00492D97"/>
    <w:rsid w:val="004A74B9"/>
    <w:rsid w:val="004B00B5"/>
    <w:rsid w:val="004D02C1"/>
    <w:rsid w:val="004D1683"/>
    <w:rsid w:val="00503041"/>
    <w:rsid w:val="005173A2"/>
    <w:rsid w:val="0052464F"/>
    <w:rsid w:val="00526873"/>
    <w:rsid w:val="005443BB"/>
    <w:rsid w:val="005514FC"/>
    <w:rsid w:val="005649D9"/>
    <w:rsid w:val="005723B5"/>
    <w:rsid w:val="00574DAB"/>
    <w:rsid w:val="0058350D"/>
    <w:rsid w:val="005856A0"/>
    <w:rsid w:val="005A4C3A"/>
    <w:rsid w:val="005A5F65"/>
    <w:rsid w:val="005A7436"/>
    <w:rsid w:val="005B0837"/>
    <w:rsid w:val="005C0441"/>
    <w:rsid w:val="005D5D44"/>
    <w:rsid w:val="005D6FE5"/>
    <w:rsid w:val="005E26E9"/>
    <w:rsid w:val="005F3F4A"/>
    <w:rsid w:val="00603327"/>
    <w:rsid w:val="006034DE"/>
    <w:rsid w:val="0061049B"/>
    <w:rsid w:val="006116F9"/>
    <w:rsid w:val="00613D99"/>
    <w:rsid w:val="0062748C"/>
    <w:rsid w:val="00633C60"/>
    <w:rsid w:val="00644E3E"/>
    <w:rsid w:val="00647E7C"/>
    <w:rsid w:val="00687CEA"/>
    <w:rsid w:val="006B1335"/>
    <w:rsid w:val="006D7765"/>
    <w:rsid w:val="006E77ED"/>
    <w:rsid w:val="006F3265"/>
    <w:rsid w:val="006F3BDA"/>
    <w:rsid w:val="006F712E"/>
    <w:rsid w:val="00700F3C"/>
    <w:rsid w:val="00704544"/>
    <w:rsid w:val="00706009"/>
    <w:rsid w:val="0071069A"/>
    <w:rsid w:val="00720CA9"/>
    <w:rsid w:val="00721F98"/>
    <w:rsid w:val="007301D7"/>
    <w:rsid w:val="007305D9"/>
    <w:rsid w:val="00730813"/>
    <w:rsid w:val="0075475B"/>
    <w:rsid w:val="00756CD9"/>
    <w:rsid w:val="00761039"/>
    <w:rsid w:val="007751D6"/>
    <w:rsid w:val="00781B91"/>
    <w:rsid w:val="007838A9"/>
    <w:rsid w:val="00792A05"/>
    <w:rsid w:val="00792ACF"/>
    <w:rsid w:val="007A002C"/>
    <w:rsid w:val="007A4E7E"/>
    <w:rsid w:val="007A6CF2"/>
    <w:rsid w:val="007C57B3"/>
    <w:rsid w:val="007C7A06"/>
    <w:rsid w:val="007D3FC2"/>
    <w:rsid w:val="007E1662"/>
    <w:rsid w:val="007F059A"/>
    <w:rsid w:val="007F5005"/>
    <w:rsid w:val="008002AC"/>
    <w:rsid w:val="00801736"/>
    <w:rsid w:val="00803EDB"/>
    <w:rsid w:val="008108A2"/>
    <w:rsid w:val="0081475B"/>
    <w:rsid w:val="008229F6"/>
    <w:rsid w:val="00836C40"/>
    <w:rsid w:val="008424EC"/>
    <w:rsid w:val="0084778E"/>
    <w:rsid w:val="00851263"/>
    <w:rsid w:val="00851CA7"/>
    <w:rsid w:val="00854909"/>
    <w:rsid w:val="00857F03"/>
    <w:rsid w:val="00861018"/>
    <w:rsid w:val="00865FE2"/>
    <w:rsid w:val="008739E7"/>
    <w:rsid w:val="00883DD9"/>
    <w:rsid w:val="00890DEF"/>
    <w:rsid w:val="00892745"/>
    <w:rsid w:val="008A7877"/>
    <w:rsid w:val="008B4870"/>
    <w:rsid w:val="008B7857"/>
    <w:rsid w:val="008C530D"/>
    <w:rsid w:val="008D1AEF"/>
    <w:rsid w:val="008D327E"/>
    <w:rsid w:val="008D4D22"/>
    <w:rsid w:val="008E03EF"/>
    <w:rsid w:val="008E3C6F"/>
    <w:rsid w:val="008E770A"/>
    <w:rsid w:val="009011EE"/>
    <w:rsid w:val="00902BD6"/>
    <w:rsid w:val="00905F6D"/>
    <w:rsid w:val="00924894"/>
    <w:rsid w:val="00924912"/>
    <w:rsid w:val="00925B28"/>
    <w:rsid w:val="009302C2"/>
    <w:rsid w:val="00930796"/>
    <w:rsid w:val="00935A55"/>
    <w:rsid w:val="00944184"/>
    <w:rsid w:val="0095123C"/>
    <w:rsid w:val="00957DDE"/>
    <w:rsid w:val="00960D66"/>
    <w:rsid w:val="00961BBC"/>
    <w:rsid w:val="009636A9"/>
    <w:rsid w:val="009812B0"/>
    <w:rsid w:val="009A1DE6"/>
    <w:rsid w:val="009A40B5"/>
    <w:rsid w:val="009A417C"/>
    <w:rsid w:val="009A7A53"/>
    <w:rsid w:val="009B0854"/>
    <w:rsid w:val="009C373B"/>
    <w:rsid w:val="009C6CC3"/>
    <w:rsid w:val="009C7852"/>
    <w:rsid w:val="009E325E"/>
    <w:rsid w:val="009F1061"/>
    <w:rsid w:val="009F1719"/>
    <w:rsid w:val="009F23D2"/>
    <w:rsid w:val="009F45F5"/>
    <w:rsid w:val="00A33BB2"/>
    <w:rsid w:val="00A35EAC"/>
    <w:rsid w:val="00A36A16"/>
    <w:rsid w:val="00A47975"/>
    <w:rsid w:val="00A50579"/>
    <w:rsid w:val="00A54635"/>
    <w:rsid w:val="00A670E6"/>
    <w:rsid w:val="00A67EAA"/>
    <w:rsid w:val="00A7093F"/>
    <w:rsid w:val="00A72E9B"/>
    <w:rsid w:val="00A81983"/>
    <w:rsid w:val="00A824F1"/>
    <w:rsid w:val="00A8434F"/>
    <w:rsid w:val="00A84D5A"/>
    <w:rsid w:val="00A8626B"/>
    <w:rsid w:val="00A93764"/>
    <w:rsid w:val="00AB1783"/>
    <w:rsid w:val="00AB2E3C"/>
    <w:rsid w:val="00AB6D09"/>
    <w:rsid w:val="00AC0A3E"/>
    <w:rsid w:val="00AD1225"/>
    <w:rsid w:val="00AD128F"/>
    <w:rsid w:val="00AE6C97"/>
    <w:rsid w:val="00AF5F26"/>
    <w:rsid w:val="00B021C0"/>
    <w:rsid w:val="00B0407F"/>
    <w:rsid w:val="00B0484B"/>
    <w:rsid w:val="00B12638"/>
    <w:rsid w:val="00B30BBF"/>
    <w:rsid w:val="00B404BA"/>
    <w:rsid w:val="00B70BC0"/>
    <w:rsid w:val="00B87A4A"/>
    <w:rsid w:val="00BA43AD"/>
    <w:rsid w:val="00BA6B5B"/>
    <w:rsid w:val="00BB1D15"/>
    <w:rsid w:val="00BB260B"/>
    <w:rsid w:val="00BC1F77"/>
    <w:rsid w:val="00BE1246"/>
    <w:rsid w:val="00BE6044"/>
    <w:rsid w:val="00C051A8"/>
    <w:rsid w:val="00C229B4"/>
    <w:rsid w:val="00C3378C"/>
    <w:rsid w:val="00C35263"/>
    <w:rsid w:val="00C356DB"/>
    <w:rsid w:val="00C370E5"/>
    <w:rsid w:val="00C479DF"/>
    <w:rsid w:val="00C505FC"/>
    <w:rsid w:val="00C50C40"/>
    <w:rsid w:val="00C5740A"/>
    <w:rsid w:val="00C60862"/>
    <w:rsid w:val="00C655E8"/>
    <w:rsid w:val="00C742CC"/>
    <w:rsid w:val="00C7711E"/>
    <w:rsid w:val="00C8255D"/>
    <w:rsid w:val="00C84BAA"/>
    <w:rsid w:val="00C86144"/>
    <w:rsid w:val="00C87409"/>
    <w:rsid w:val="00C921EA"/>
    <w:rsid w:val="00CA3E7E"/>
    <w:rsid w:val="00CA4FBC"/>
    <w:rsid w:val="00CC7341"/>
    <w:rsid w:val="00CD0469"/>
    <w:rsid w:val="00CD60CC"/>
    <w:rsid w:val="00CE1BFB"/>
    <w:rsid w:val="00CE31CC"/>
    <w:rsid w:val="00CE6164"/>
    <w:rsid w:val="00CF0B14"/>
    <w:rsid w:val="00CF53C3"/>
    <w:rsid w:val="00D00086"/>
    <w:rsid w:val="00D012A6"/>
    <w:rsid w:val="00D04930"/>
    <w:rsid w:val="00D1283C"/>
    <w:rsid w:val="00D23D9A"/>
    <w:rsid w:val="00D26A38"/>
    <w:rsid w:val="00D364F9"/>
    <w:rsid w:val="00D470D0"/>
    <w:rsid w:val="00D54E4C"/>
    <w:rsid w:val="00D62E64"/>
    <w:rsid w:val="00D65266"/>
    <w:rsid w:val="00D71405"/>
    <w:rsid w:val="00D85AE2"/>
    <w:rsid w:val="00D869F8"/>
    <w:rsid w:val="00D87B08"/>
    <w:rsid w:val="00DA243B"/>
    <w:rsid w:val="00DA420A"/>
    <w:rsid w:val="00DB7647"/>
    <w:rsid w:val="00DC458A"/>
    <w:rsid w:val="00DC5AE6"/>
    <w:rsid w:val="00DE213E"/>
    <w:rsid w:val="00DE4A88"/>
    <w:rsid w:val="00DE6C2A"/>
    <w:rsid w:val="00DE6D9F"/>
    <w:rsid w:val="00DF4080"/>
    <w:rsid w:val="00DF6260"/>
    <w:rsid w:val="00DF6620"/>
    <w:rsid w:val="00DF708A"/>
    <w:rsid w:val="00E11023"/>
    <w:rsid w:val="00E13563"/>
    <w:rsid w:val="00E16C15"/>
    <w:rsid w:val="00E200EC"/>
    <w:rsid w:val="00E21C64"/>
    <w:rsid w:val="00E255C3"/>
    <w:rsid w:val="00E30822"/>
    <w:rsid w:val="00E359C4"/>
    <w:rsid w:val="00E35F9C"/>
    <w:rsid w:val="00E41A8D"/>
    <w:rsid w:val="00E50671"/>
    <w:rsid w:val="00E50E05"/>
    <w:rsid w:val="00E557D0"/>
    <w:rsid w:val="00E60C9E"/>
    <w:rsid w:val="00E61DF7"/>
    <w:rsid w:val="00E70689"/>
    <w:rsid w:val="00E754ED"/>
    <w:rsid w:val="00EA17EC"/>
    <w:rsid w:val="00EA2E9B"/>
    <w:rsid w:val="00EB1B8B"/>
    <w:rsid w:val="00EB50B5"/>
    <w:rsid w:val="00EC1D8F"/>
    <w:rsid w:val="00EC2BAD"/>
    <w:rsid w:val="00EC6E92"/>
    <w:rsid w:val="00ED058C"/>
    <w:rsid w:val="00EE3765"/>
    <w:rsid w:val="00F00E17"/>
    <w:rsid w:val="00F0223E"/>
    <w:rsid w:val="00F16042"/>
    <w:rsid w:val="00F1633B"/>
    <w:rsid w:val="00F16D46"/>
    <w:rsid w:val="00F230B4"/>
    <w:rsid w:val="00F23F0B"/>
    <w:rsid w:val="00F25357"/>
    <w:rsid w:val="00F34EED"/>
    <w:rsid w:val="00F42AFE"/>
    <w:rsid w:val="00F464A6"/>
    <w:rsid w:val="00F84437"/>
    <w:rsid w:val="00F90365"/>
    <w:rsid w:val="00F952DD"/>
    <w:rsid w:val="00FA2F57"/>
    <w:rsid w:val="00FB4A4C"/>
    <w:rsid w:val="00FC59F9"/>
    <w:rsid w:val="00FD37DE"/>
    <w:rsid w:val="00FD4B5E"/>
    <w:rsid w:val="00FF2C5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DDFCAA"/>
  <w15:docId w15:val="{CF04E464-240E-48A5-A968-B136E3D6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Dot pt,No Spacing1,List Paragraph Char Char Char,Indicator Text,List Paragraph1,Numbered Para 1,Bullet 1,List Paragraph12,Bullet Points,MAIN CONTENT,List Paragraph2,Normal numbered,List Paragraph11,OBC Bullet"/>
    <w:basedOn w:val="Normal"/>
    <w:link w:val="ListParagraphChar"/>
    <w:uiPriority w:val="34"/>
    <w:qFormat/>
    <w:rsid w:val="008E3C6F"/>
    <w:pPr>
      <w:spacing w:line="256" w:lineRule="auto"/>
      <w:ind w:left="720"/>
      <w:contextualSpacing/>
    </w:pPr>
  </w:style>
  <w:style w:type="paragraph" w:styleId="FootnoteText">
    <w:name w:val="footnote text"/>
    <w:basedOn w:val="Normal"/>
    <w:link w:val="FootnoteTextChar"/>
    <w:uiPriority w:val="99"/>
    <w:semiHidden/>
    <w:unhideWhenUsed/>
    <w:rsid w:val="008E3C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3C6F"/>
    <w:rPr>
      <w:sz w:val="20"/>
      <w:szCs w:val="20"/>
    </w:rPr>
  </w:style>
  <w:style w:type="character" w:styleId="FootnoteReference">
    <w:name w:val="footnote reference"/>
    <w:basedOn w:val="DefaultParagraphFont"/>
    <w:uiPriority w:val="99"/>
    <w:semiHidden/>
    <w:unhideWhenUsed/>
    <w:rsid w:val="008E3C6F"/>
    <w:rPr>
      <w:vertAlign w:val="superscript"/>
    </w:rPr>
  </w:style>
  <w:style w:type="character" w:styleId="Hyperlink">
    <w:name w:val="Hyperlink"/>
    <w:basedOn w:val="DefaultParagraphFont"/>
    <w:uiPriority w:val="99"/>
    <w:unhideWhenUsed/>
    <w:rsid w:val="008E3C6F"/>
    <w:rPr>
      <w:color w:val="0563C1" w:themeColor="hyperlink"/>
      <w:u w:val="single"/>
    </w:rPr>
  </w:style>
  <w:style w:type="character" w:styleId="CommentReference">
    <w:name w:val="annotation reference"/>
    <w:basedOn w:val="DefaultParagraphFont"/>
    <w:uiPriority w:val="99"/>
    <w:semiHidden/>
    <w:unhideWhenUsed/>
    <w:rsid w:val="008E3C6F"/>
    <w:rPr>
      <w:sz w:val="16"/>
      <w:szCs w:val="16"/>
    </w:rPr>
  </w:style>
  <w:style w:type="paragraph" w:styleId="CommentText">
    <w:name w:val="annotation text"/>
    <w:basedOn w:val="Normal"/>
    <w:link w:val="CommentTextChar"/>
    <w:uiPriority w:val="99"/>
    <w:unhideWhenUsed/>
    <w:rsid w:val="008E3C6F"/>
    <w:pPr>
      <w:spacing w:line="240" w:lineRule="auto"/>
    </w:pPr>
    <w:rPr>
      <w:sz w:val="20"/>
      <w:szCs w:val="20"/>
    </w:rPr>
  </w:style>
  <w:style w:type="character" w:customStyle="1" w:styleId="CommentTextChar">
    <w:name w:val="Comment Text Char"/>
    <w:basedOn w:val="DefaultParagraphFont"/>
    <w:link w:val="CommentText"/>
    <w:uiPriority w:val="99"/>
    <w:rsid w:val="008E3C6F"/>
    <w:rPr>
      <w:sz w:val="20"/>
      <w:szCs w:val="20"/>
    </w:rPr>
  </w:style>
  <w:style w:type="paragraph" w:styleId="BalloonText">
    <w:name w:val="Balloon Text"/>
    <w:basedOn w:val="Normal"/>
    <w:link w:val="BalloonTextChar"/>
    <w:uiPriority w:val="99"/>
    <w:semiHidden/>
    <w:unhideWhenUsed/>
    <w:rsid w:val="008E3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C6F"/>
    <w:rPr>
      <w:rFonts w:ascii="Segoe UI" w:hAnsi="Segoe UI" w:cs="Segoe UI"/>
      <w:sz w:val="18"/>
      <w:szCs w:val="18"/>
    </w:rPr>
  </w:style>
  <w:style w:type="paragraph" w:styleId="NoSpacing">
    <w:name w:val="No Spacing"/>
    <w:uiPriority w:val="1"/>
    <w:qFormat/>
    <w:rsid w:val="00461C21"/>
    <w:pPr>
      <w:spacing w:after="0" w:line="240" w:lineRule="auto"/>
    </w:pPr>
  </w:style>
  <w:style w:type="paragraph" w:styleId="NormalWeb">
    <w:name w:val="Normal (Web)"/>
    <w:basedOn w:val="Normal"/>
    <w:uiPriority w:val="99"/>
    <w:unhideWhenUsed/>
    <w:rsid w:val="00792ACF"/>
    <w:pPr>
      <w:spacing w:before="100" w:beforeAutospacing="1" w:after="119" w:line="240" w:lineRule="auto"/>
    </w:pPr>
    <w:rPr>
      <w:rFonts w:ascii="Times New Roman" w:eastAsia="Times New Roman" w:hAnsi="Times New Roman" w:cs="Times New Roman"/>
      <w:sz w:val="24"/>
      <w:szCs w:val="24"/>
      <w:lang w:val="sk-SK" w:eastAsia="sk-SK"/>
    </w:rPr>
  </w:style>
  <w:style w:type="paragraph" w:styleId="CommentSubject">
    <w:name w:val="annotation subject"/>
    <w:basedOn w:val="CommentText"/>
    <w:next w:val="CommentText"/>
    <w:link w:val="CommentSubjectChar"/>
    <w:uiPriority w:val="99"/>
    <w:semiHidden/>
    <w:unhideWhenUsed/>
    <w:rsid w:val="005649D9"/>
    <w:rPr>
      <w:b/>
      <w:bCs/>
    </w:rPr>
  </w:style>
  <w:style w:type="character" w:customStyle="1" w:styleId="CommentSubjectChar">
    <w:name w:val="Comment Subject Char"/>
    <w:basedOn w:val="CommentTextChar"/>
    <w:link w:val="CommentSubject"/>
    <w:uiPriority w:val="99"/>
    <w:semiHidden/>
    <w:rsid w:val="005649D9"/>
    <w:rPr>
      <w:b/>
      <w:bCs/>
      <w:sz w:val="20"/>
      <w:szCs w:val="20"/>
    </w:rPr>
  </w:style>
  <w:style w:type="character" w:customStyle="1" w:styleId="ListParagraphChar">
    <w:name w:val="List Paragraph Char"/>
    <w:aliases w:val="F5 List Paragraph Char,Dot pt Char,No Spacing1 Char,List Paragraph Char Char Char Char,Indicator Text Char,List Paragraph1 Char,Numbered Para 1 Char,Bullet 1 Char,List Paragraph12 Char,Bullet Points Char,MAIN CONTENT Char"/>
    <w:link w:val="ListParagraph"/>
    <w:uiPriority w:val="34"/>
    <w:qFormat/>
    <w:locked/>
    <w:rsid w:val="0027474D"/>
  </w:style>
  <w:style w:type="character" w:styleId="FollowedHyperlink">
    <w:name w:val="FollowedHyperlink"/>
    <w:basedOn w:val="DefaultParagraphFont"/>
    <w:uiPriority w:val="99"/>
    <w:semiHidden/>
    <w:unhideWhenUsed/>
    <w:rsid w:val="00957DDE"/>
    <w:rPr>
      <w:color w:val="954F72" w:themeColor="followedHyperlink"/>
      <w:u w:val="single"/>
    </w:rPr>
  </w:style>
  <w:style w:type="paragraph" w:styleId="Revision">
    <w:name w:val="Revision"/>
    <w:hidden/>
    <w:uiPriority w:val="99"/>
    <w:semiHidden/>
    <w:rsid w:val="007A6CF2"/>
    <w:pPr>
      <w:spacing w:after="0" w:line="240" w:lineRule="auto"/>
    </w:pPr>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160537">
      <w:bodyDiv w:val="1"/>
      <w:marLeft w:val="0"/>
      <w:marRight w:val="0"/>
      <w:marTop w:val="0"/>
      <w:marBottom w:val="0"/>
      <w:divBdr>
        <w:top w:val="none" w:sz="0" w:space="0" w:color="auto"/>
        <w:left w:val="none" w:sz="0" w:space="0" w:color="auto"/>
        <w:bottom w:val="none" w:sz="0" w:space="0" w:color="auto"/>
        <w:right w:val="none" w:sz="0" w:space="0" w:color="auto"/>
      </w:divBdr>
    </w:div>
    <w:div w:id="588122589">
      <w:bodyDiv w:val="1"/>
      <w:marLeft w:val="0"/>
      <w:marRight w:val="0"/>
      <w:marTop w:val="0"/>
      <w:marBottom w:val="0"/>
      <w:divBdr>
        <w:top w:val="none" w:sz="0" w:space="0" w:color="auto"/>
        <w:left w:val="none" w:sz="0" w:space="0" w:color="auto"/>
        <w:bottom w:val="none" w:sz="0" w:space="0" w:color="auto"/>
        <w:right w:val="none" w:sz="0" w:space="0" w:color="auto"/>
      </w:divBdr>
    </w:div>
    <w:div w:id="864639759">
      <w:bodyDiv w:val="1"/>
      <w:marLeft w:val="0"/>
      <w:marRight w:val="0"/>
      <w:marTop w:val="0"/>
      <w:marBottom w:val="0"/>
      <w:divBdr>
        <w:top w:val="none" w:sz="0" w:space="0" w:color="auto"/>
        <w:left w:val="none" w:sz="0" w:space="0" w:color="auto"/>
        <w:bottom w:val="none" w:sz="0" w:space="0" w:color="auto"/>
        <w:right w:val="none" w:sz="0" w:space="0" w:color="auto"/>
      </w:divBdr>
    </w:div>
    <w:div w:id="1446117915">
      <w:bodyDiv w:val="1"/>
      <w:marLeft w:val="0"/>
      <w:marRight w:val="0"/>
      <w:marTop w:val="0"/>
      <w:marBottom w:val="0"/>
      <w:divBdr>
        <w:top w:val="none" w:sz="0" w:space="0" w:color="auto"/>
        <w:left w:val="none" w:sz="0" w:space="0" w:color="auto"/>
        <w:bottom w:val="none" w:sz="0" w:space="0" w:color="auto"/>
        <w:right w:val="none" w:sz="0" w:space="0" w:color="auto"/>
      </w:divBdr>
    </w:div>
    <w:div w:id="205973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hrec.ie/our-work/human-rights-and-equality-grants-scheme-2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tidiskriminierungsstelle.de/SharedDocs/Kurzmeldungen/DE/2017/nl_01_2017/nl_01_termin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ineteurope.org/Equality-Bodies-Promoting-Equal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newsroom/just/item-detail.cfm?item_id=54346" TargetMode="External"/><Relationship Id="rId4" Type="http://schemas.openxmlformats.org/officeDocument/2006/relationships/settings" Target="settings.xml"/><Relationship Id="rId9" Type="http://schemas.openxmlformats.org/officeDocument/2006/relationships/hyperlink" Target="http://ec.europa.eu/justice/discrimination/files/lgbti_actionlist_en.pdf" TargetMode="External"/><Relationship Id="rId14" Type="http://schemas.openxmlformats.org/officeDocument/2006/relationships/hyperlink" Target="http://eso.ochrance.cz/Nalezene/Edit/2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A8E4F-329B-4F94-9AB5-2E8C6D64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11</Pages>
  <Words>3496</Words>
  <Characters>19230</Characters>
  <Application>Microsoft Office Word</Application>
  <DocSecurity>0</DocSecurity>
  <Lines>160</Lines>
  <Paragraphs>45</Paragraphs>
  <ScaleCrop>false</ScaleCrop>
  <HeadingPairs>
    <vt:vector size="6" baseType="variant">
      <vt:variant>
        <vt:lpstr>Title</vt:lpstr>
      </vt:variant>
      <vt:variant>
        <vt:i4>1</vt:i4>
      </vt:variant>
      <vt:variant>
        <vt:lpstr>Názov</vt:lpstr>
      </vt:variant>
      <vt:variant>
        <vt:i4>1</vt:i4>
      </vt:variant>
      <vt:variant>
        <vt:lpstr>Otsikko</vt:lpstr>
      </vt:variant>
      <vt:variant>
        <vt:i4>1</vt:i4>
      </vt:variant>
    </vt:vector>
  </HeadingPairs>
  <TitlesOfParts>
    <vt:vector size="3" baseType="lpstr">
      <vt:lpstr/>
      <vt:lpstr/>
      <vt:lpstr/>
    </vt:vector>
  </TitlesOfParts>
  <Company>Microsoft</Company>
  <LinksUpToDate>false</LinksUpToDate>
  <CharactersWithSpaces>22681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9</cp:revision>
  <cp:lastPrinted>2017-10-02T11:59:00Z</cp:lastPrinted>
  <dcterms:created xsi:type="dcterms:W3CDTF">2017-08-16T08:35:00Z</dcterms:created>
  <dcterms:modified xsi:type="dcterms:W3CDTF">2017-10-19T13:21:00Z</dcterms:modified>
</cp:coreProperties>
</file>