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03624266"/>
        <w:docPartObj>
          <w:docPartGallery w:val="Cover Pages"/>
          <w:docPartUnique/>
        </w:docPartObj>
      </w:sdtPr>
      <w:sdtEndPr>
        <w:rPr>
          <w:rFonts w:ascii="Calibri" w:eastAsia="Adobe Song Std L" w:hAnsi="Calibri" w:cs="Calibri"/>
          <w:sz w:val="18"/>
          <w:szCs w:val="18"/>
          <w:lang w:eastAsia="da-DK"/>
        </w:rPr>
      </w:sdtEndPr>
      <w:sdtContent>
        <w:tbl>
          <w:tblPr>
            <w:tblpPr w:leftFromText="187" w:rightFromText="187" w:vertAnchor="page" w:horzAnchor="page" w:tblpYSpec="top"/>
            <w:tblW w:w="12015" w:type="dxa"/>
            <w:tblLook w:val="04A0" w:firstRow="1" w:lastRow="0" w:firstColumn="1" w:lastColumn="0" w:noHBand="0" w:noVBand="1"/>
          </w:tblPr>
          <w:tblGrid>
            <w:gridCol w:w="1440"/>
            <w:gridCol w:w="10575"/>
          </w:tblGrid>
          <w:tr w:rsidR="00D27A66" w14:paraId="240B7FF0" w14:textId="77777777" w:rsidTr="00D27A66">
            <w:trPr>
              <w:trHeight w:val="1440"/>
            </w:trPr>
            <w:tc>
              <w:tcPr>
                <w:tcW w:w="1440" w:type="dxa"/>
                <w:tcBorders>
                  <w:right w:val="single" w:sz="4" w:space="0" w:color="FFFFFF" w:themeColor="background1"/>
                </w:tcBorders>
                <w:shd w:val="clear" w:color="auto" w:fill="943634" w:themeFill="accent2" w:themeFillShade="BF"/>
              </w:tcPr>
              <w:p w14:paraId="7E0FE779" w14:textId="77777777" w:rsidR="00D27A66" w:rsidRDefault="00D27A66"/>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tc>
                  <w:tcPr>
                    <w:tcW w:w="10575" w:type="dxa"/>
                    <w:tcBorders>
                      <w:left w:val="single" w:sz="4" w:space="0" w:color="FFFFFF" w:themeColor="background1"/>
                    </w:tcBorders>
                    <w:shd w:val="clear" w:color="auto" w:fill="943634" w:themeFill="accent2" w:themeFillShade="BF"/>
                    <w:vAlign w:val="bottom"/>
                  </w:tcPr>
                  <w:p w14:paraId="433003B8" w14:textId="77777777" w:rsidR="00D27A66" w:rsidRDefault="00D27A66" w:rsidP="00D27A66">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2017</w:t>
                    </w:r>
                  </w:p>
                </w:tc>
              </w:sdtContent>
            </w:sdt>
          </w:tr>
          <w:tr w:rsidR="00D27A66" w14:paraId="5FCE8C9C" w14:textId="77777777" w:rsidTr="00D27A66">
            <w:trPr>
              <w:trHeight w:val="2880"/>
            </w:trPr>
            <w:tc>
              <w:tcPr>
                <w:tcW w:w="1440" w:type="dxa"/>
                <w:tcBorders>
                  <w:right w:val="single" w:sz="4" w:space="0" w:color="000000" w:themeColor="text1"/>
                </w:tcBorders>
              </w:tcPr>
              <w:p w14:paraId="6837E8B6" w14:textId="77777777" w:rsidR="00D27A66" w:rsidRDefault="00D27A66"/>
            </w:tc>
            <w:tc>
              <w:tcPr>
                <w:tcW w:w="10575" w:type="dxa"/>
                <w:tcBorders>
                  <w:left w:val="single" w:sz="4" w:space="0" w:color="000000" w:themeColor="text1"/>
                </w:tcBorders>
                <w:vAlign w:val="center"/>
              </w:tcPr>
              <w:p w14:paraId="43E775BE" w14:textId="77777777" w:rsidR="00D27A66" w:rsidRDefault="00D27A66">
                <w:pPr>
                  <w:pStyle w:val="NoSpacing"/>
                  <w:rPr>
                    <w:color w:val="76923C" w:themeColor="accent3" w:themeShade="BF"/>
                  </w:rPr>
                </w:pPr>
              </w:p>
              <w:p w14:paraId="219CDBE2" w14:textId="77777777" w:rsidR="00D27A66" w:rsidRDefault="00D27A66">
                <w:pPr>
                  <w:pStyle w:val="NoSpacing"/>
                  <w:rPr>
                    <w:color w:val="76923C" w:themeColor="accent3" w:themeShade="BF"/>
                  </w:rPr>
                </w:pPr>
              </w:p>
              <w:sdt>
                <w:sdtPr>
                  <w:rPr>
                    <w:color w:val="76923C" w:themeColor="accent3" w:themeShade="BF"/>
                    <w:lang w:val="en-US"/>
                  </w:rPr>
                  <w:alias w:val="Author"/>
                  <w:id w:val="15676130"/>
                  <w:dataBinding w:prefixMappings="xmlns:ns0='http://schemas.openxmlformats.org/package/2006/metadata/core-properties' xmlns:ns1='http://purl.org/dc/elements/1.1/'" w:xpath="/ns0:coreProperties[1]/ns1:creator[1]" w:storeItemID="{6C3C8BC8-F283-45AE-878A-BAB7291924A1}"/>
                  <w:text/>
                </w:sdtPr>
                <w:sdtEndPr/>
                <w:sdtContent>
                  <w:p w14:paraId="19AC291F" w14:textId="77777777" w:rsidR="00D27A66" w:rsidRDefault="00D27A66">
                    <w:pPr>
                      <w:pStyle w:val="NoSpacing"/>
                      <w:rPr>
                        <w:color w:val="76923C" w:themeColor="accent3" w:themeShade="BF"/>
                      </w:rPr>
                    </w:pPr>
                    <w:r>
                      <w:rPr>
                        <w:color w:val="76923C" w:themeColor="accent3" w:themeShade="BF"/>
                        <w:lang w:val="en-US"/>
                      </w:rPr>
                      <w:t>Cluster on Strategic Litigation</w:t>
                    </w:r>
                  </w:p>
                </w:sdtContent>
              </w:sdt>
              <w:p w14:paraId="7CB250B1" w14:textId="77777777" w:rsidR="00D27A66" w:rsidRDefault="00D27A66">
                <w:pPr>
                  <w:pStyle w:val="NoSpacing"/>
                  <w:rPr>
                    <w:color w:val="76923C" w:themeColor="accent3" w:themeShade="BF"/>
                  </w:rPr>
                </w:pPr>
              </w:p>
            </w:tc>
          </w:tr>
        </w:tbl>
        <w:p w14:paraId="11F535AF" w14:textId="77777777" w:rsidR="00D27A66" w:rsidRDefault="00D27A66"/>
        <w:p w14:paraId="07193B77" w14:textId="77777777" w:rsidR="00D27A66" w:rsidRDefault="00D27A66"/>
        <w:p w14:paraId="6E0B033E" w14:textId="77777777" w:rsidR="00D27A66" w:rsidRDefault="00D27A66"/>
        <w:tbl>
          <w:tblPr>
            <w:tblpPr w:leftFromText="187" w:rightFromText="187" w:vertAnchor="page" w:horzAnchor="margin" w:tblpY="7831"/>
            <w:tblW w:w="5000" w:type="pct"/>
            <w:tblLook w:val="04A0" w:firstRow="1" w:lastRow="0" w:firstColumn="1" w:lastColumn="0" w:noHBand="0" w:noVBand="1"/>
          </w:tblPr>
          <w:tblGrid>
            <w:gridCol w:w="9242"/>
          </w:tblGrid>
          <w:tr w:rsidR="00CD4720" w14:paraId="4BACE0B5" w14:textId="77777777" w:rsidTr="00CD4720">
            <w:tc>
              <w:tcPr>
                <w:tcW w:w="0" w:type="auto"/>
              </w:tcPr>
              <w:p w14:paraId="37885883" w14:textId="77777777" w:rsidR="00CD4720" w:rsidRDefault="00CD4720" w:rsidP="00CD4720">
                <w:pPr>
                  <w:pStyle w:val="NoSpacing"/>
                  <w:rPr>
                    <w:b/>
                    <w:bCs/>
                    <w:caps/>
                    <w:color w:val="76923C" w:themeColor="accent3" w:themeShade="BF"/>
                    <w:sz w:val="72"/>
                    <w:szCs w:val="72"/>
                  </w:rPr>
                </w:pPr>
                <w:r>
                  <w:rPr>
                    <w:b/>
                    <w:bCs/>
                    <w:caps/>
                    <w:color w:val="76923C" w:themeColor="accent3" w:themeShade="BF"/>
                    <w:sz w:val="72"/>
                    <w:szCs w:val="72"/>
                  </w:rPr>
                  <w:t>[</w:t>
                </w:r>
                <w:sdt>
                  <w:sdtPr>
                    <w:rPr>
                      <w:b/>
                      <w:bCs/>
                      <w:caps/>
                      <w:sz w:val="56"/>
                      <w:szCs w:val="56"/>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Pr="00D27A66">
                      <w:rPr>
                        <w:b/>
                        <w:bCs/>
                        <w:caps/>
                        <w:sz w:val="56"/>
                        <w:szCs w:val="56"/>
                      </w:rPr>
                      <w:t>equinet Handbook on strategic litigation</w:t>
                    </w:r>
                  </w:sdtContent>
                </w:sdt>
                <w:r>
                  <w:rPr>
                    <w:b/>
                    <w:bCs/>
                    <w:caps/>
                    <w:color w:val="76923C" w:themeColor="accent3" w:themeShade="BF"/>
                    <w:sz w:val="72"/>
                    <w:szCs w:val="72"/>
                  </w:rPr>
                  <w:t>]</w:t>
                </w:r>
              </w:p>
              <w:p w14:paraId="04B85E27" w14:textId="77777777" w:rsidR="00F814D3" w:rsidRDefault="00F814D3" w:rsidP="00CD4720">
                <w:pPr>
                  <w:pStyle w:val="NoSpacing"/>
                  <w:rPr>
                    <w:b/>
                    <w:bCs/>
                    <w:caps/>
                    <w:color w:val="76923C" w:themeColor="accent3" w:themeShade="BF"/>
                    <w:sz w:val="72"/>
                    <w:szCs w:val="72"/>
                  </w:rPr>
                </w:pPr>
              </w:p>
              <w:p w14:paraId="3000B95D" w14:textId="77777777" w:rsidR="00F814D3" w:rsidRDefault="00F814D3" w:rsidP="00CD4720">
                <w:pPr>
                  <w:pStyle w:val="NoSpacing"/>
                  <w:rPr>
                    <w:b/>
                    <w:bCs/>
                    <w:caps/>
                    <w:color w:val="76923C" w:themeColor="accent3" w:themeShade="BF"/>
                    <w:sz w:val="72"/>
                    <w:szCs w:val="72"/>
                  </w:rPr>
                </w:pPr>
              </w:p>
              <w:p w14:paraId="26D3EB4B" w14:textId="77777777" w:rsidR="00F814D3" w:rsidRDefault="00F814D3" w:rsidP="00CD4720">
                <w:pPr>
                  <w:pStyle w:val="NoSpacing"/>
                  <w:rPr>
                    <w:b/>
                    <w:bCs/>
                    <w:caps/>
                    <w:color w:val="76923C" w:themeColor="accent3" w:themeShade="BF"/>
                    <w:sz w:val="72"/>
                    <w:szCs w:val="72"/>
                  </w:rPr>
                </w:pPr>
              </w:p>
              <w:p w14:paraId="2AF6732A" w14:textId="77777777" w:rsidR="00F814D3" w:rsidRDefault="00F814D3" w:rsidP="00CD4720">
                <w:pPr>
                  <w:pStyle w:val="NoSpacing"/>
                  <w:rPr>
                    <w:b/>
                    <w:bCs/>
                    <w:caps/>
                    <w:sz w:val="72"/>
                    <w:szCs w:val="72"/>
                  </w:rPr>
                </w:pPr>
              </w:p>
            </w:tc>
          </w:tr>
          <w:tr w:rsidR="00CD4720" w14:paraId="14C08220" w14:textId="77777777" w:rsidTr="00CD4720">
            <w:tc>
              <w:tcPr>
                <w:tcW w:w="0" w:type="auto"/>
              </w:tcPr>
              <w:p w14:paraId="42356069" w14:textId="77777777" w:rsidR="00CD4720" w:rsidRDefault="00CD4720" w:rsidP="00CD4720">
                <w:pPr>
                  <w:pStyle w:val="NoSpacing"/>
                  <w:rPr>
                    <w:color w:val="808080" w:themeColor="background1" w:themeShade="80"/>
                  </w:rPr>
                </w:pPr>
              </w:p>
            </w:tc>
          </w:tr>
        </w:tbl>
        <w:p w14:paraId="384CC145" w14:textId="77777777" w:rsidR="00D27A66" w:rsidRDefault="00F814D3" w:rsidP="00F814D3">
          <w:pPr>
            <w:spacing w:after="0" w:line="240" w:lineRule="auto"/>
            <w:jc w:val="center"/>
            <w:rPr>
              <w:rFonts w:ascii="Calibri" w:eastAsia="Adobe Song Std L" w:hAnsi="Calibri" w:cs="Calibri"/>
              <w:sz w:val="18"/>
              <w:szCs w:val="18"/>
              <w:lang w:eastAsia="da-DK"/>
            </w:rPr>
          </w:pPr>
          <w:r>
            <w:rPr>
              <w:rFonts w:ascii="Calibri" w:eastAsia="Adobe Song Std L" w:hAnsi="Calibri" w:cs="Calibri"/>
              <w:noProof/>
              <w:sz w:val="18"/>
              <w:szCs w:val="18"/>
              <w:lang w:eastAsia="en-GB"/>
            </w:rPr>
            <w:drawing>
              <wp:inline distT="0" distB="0" distL="0" distR="0" wp14:anchorId="6C13AB5B" wp14:editId="49A1A663">
                <wp:extent cx="4143375" cy="1317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2052" cy="1320689"/>
                        </a:xfrm>
                        <a:prstGeom prst="rect">
                          <a:avLst/>
                        </a:prstGeom>
                      </pic:spPr>
                    </pic:pic>
                  </a:graphicData>
                </a:graphic>
              </wp:inline>
            </w:drawing>
          </w:r>
          <w:r w:rsidR="00D27A66">
            <w:rPr>
              <w:rFonts w:ascii="Calibri" w:eastAsia="Adobe Song Std L" w:hAnsi="Calibri" w:cs="Calibri"/>
              <w:sz w:val="18"/>
              <w:szCs w:val="18"/>
              <w:lang w:eastAsia="da-DK"/>
            </w:rPr>
            <w:br w:type="page"/>
          </w:r>
        </w:p>
      </w:sdtContent>
    </w:sdt>
    <w:p w14:paraId="739F3E05" w14:textId="77777777" w:rsidR="00CB02CD" w:rsidRPr="00A404A3" w:rsidRDefault="00CB02CD" w:rsidP="00CB02CD">
      <w:pPr>
        <w:contextualSpacing/>
        <w:jc w:val="both"/>
        <w:rPr>
          <w:rFonts w:ascii="Calibri" w:eastAsia="Adobe Song Std L" w:hAnsi="Calibri" w:cs="Calibri"/>
          <w:sz w:val="18"/>
          <w:szCs w:val="18"/>
          <w:lang w:eastAsia="da-DK"/>
        </w:rPr>
      </w:pPr>
      <w:r w:rsidRPr="00CB02CD">
        <w:rPr>
          <w:rFonts w:ascii="Calibri" w:eastAsia="Adobe Song Std L" w:hAnsi="Calibri" w:cs="Calibri"/>
          <w:sz w:val="18"/>
          <w:szCs w:val="18"/>
          <w:lang w:eastAsia="da-DK"/>
        </w:rPr>
        <w:lastRenderedPageBreak/>
        <w:t xml:space="preserve">The </w:t>
      </w:r>
      <w:r>
        <w:rPr>
          <w:rFonts w:ascii="Calibri" w:eastAsia="Adobe Song Std L" w:hAnsi="Calibri" w:cs="Calibri"/>
          <w:i/>
          <w:sz w:val="18"/>
          <w:szCs w:val="18"/>
          <w:lang w:eastAsia="da-DK"/>
        </w:rPr>
        <w:t>Equinet Handbook on Strategic Litigation</w:t>
      </w:r>
      <w:r w:rsidRPr="00A404A3">
        <w:rPr>
          <w:rFonts w:ascii="Calibri" w:eastAsia="Adobe Song Std L" w:hAnsi="Calibri" w:cs="Calibri"/>
          <w:i/>
          <w:sz w:val="18"/>
          <w:szCs w:val="18"/>
          <w:lang w:eastAsia="da-DK"/>
        </w:rPr>
        <w:t xml:space="preserve"> </w:t>
      </w:r>
      <w:r w:rsidRPr="00A404A3">
        <w:rPr>
          <w:rFonts w:ascii="Calibri" w:eastAsia="Adobe Song Std L" w:hAnsi="Calibri" w:cs="Calibri"/>
          <w:sz w:val="18"/>
          <w:szCs w:val="18"/>
          <w:lang w:eastAsia="da-DK"/>
        </w:rPr>
        <w:t>is published by Equinet, European Network of Equality Bodies.</w:t>
      </w:r>
    </w:p>
    <w:p w14:paraId="3F1B2A5F" w14:textId="77777777" w:rsidR="00CB02CD" w:rsidRPr="00A404A3" w:rsidRDefault="00CB02CD" w:rsidP="00CB02CD">
      <w:pPr>
        <w:contextualSpacing/>
        <w:jc w:val="both"/>
        <w:rPr>
          <w:rFonts w:ascii="Calibri" w:eastAsia="Adobe Song Std L" w:hAnsi="Calibri" w:cs="Calibri"/>
          <w:sz w:val="18"/>
          <w:szCs w:val="18"/>
          <w:lang w:eastAsia="da-DK"/>
        </w:rPr>
      </w:pPr>
    </w:p>
    <w:p w14:paraId="10354F5D" w14:textId="77777777" w:rsidR="00CB02CD" w:rsidRPr="00A404A3" w:rsidRDefault="00CB02CD" w:rsidP="00CB02CD">
      <w:pPr>
        <w:contextualSpacing/>
        <w:jc w:val="both"/>
        <w:rPr>
          <w:rFonts w:ascii="Calibri" w:eastAsia="Adobe Song Std L" w:hAnsi="Calibri" w:cs="Calibri"/>
          <w:sz w:val="18"/>
          <w:szCs w:val="18"/>
          <w:lang w:eastAsia="da-DK"/>
        </w:rPr>
      </w:pPr>
      <w:r w:rsidRPr="00A404A3">
        <w:rPr>
          <w:rFonts w:ascii="Calibri" w:eastAsia="Adobe Song Std L" w:hAnsi="Calibri" w:cs="Calibri"/>
          <w:b/>
          <w:bCs/>
          <w:sz w:val="18"/>
          <w:szCs w:val="18"/>
          <w:lang w:eastAsia="da-DK"/>
        </w:rPr>
        <w:t>Equinet</w:t>
      </w:r>
      <w:r w:rsidRPr="00A404A3">
        <w:rPr>
          <w:rFonts w:ascii="Calibri" w:eastAsia="Adobe Song Std L" w:hAnsi="Calibri" w:cs="Calibri"/>
          <w:sz w:val="18"/>
          <w:szCs w:val="18"/>
          <w:lang w:eastAsia="da-DK"/>
        </w:rPr>
        <w:t xml:space="preserve"> brings together 46 organisations from 34 European countries which are empowered to counteract discrimination as national equality bodies across the range of grounds including age, disability, gender, race or ethnic origin, religion or belief, and sexual orientation. Equinet works to enable national equality bodies to achieve and exercise their full potential by sustaining and developing a network and a platform at European level.</w:t>
      </w:r>
    </w:p>
    <w:p w14:paraId="683255E2" w14:textId="77777777" w:rsidR="00CB02CD" w:rsidRPr="00A404A3" w:rsidRDefault="00CB02CD" w:rsidP="00CB02CD">
      <w:pPr>
        <w:ind w:firstLine="708"/>
        <w:contextualSpacing/>
        <w:jc w:val="both"/>
        <w:rPr>
          <w:rFonts w:ascii="Calibri" w:eastAsia="Adobe Song Std L" w:hAnsi="Calibri" w:cs="Calibri"/>
          <w:sz w:val="18"/>
          <w:szCs w:val="18"/>
          <w:lang w:eastAsia="da-DK"/>
        </w:rPr>
      </w:pPr>
    </w:p>
    <w:p w14:paraId="6E15BAA8" w14:textId="77777777" w:rsidR="00CB02CD" w:rsidRPr="00A404A3" w:rsidRDefault="00CB02CD" w:rsidP="00CB02CD">
      <w:pPr>
        <w:contextualSpacing/>
        <w:jc w:val="both"/>
        <w:rPr>
          <w:rFonts w:ascii="Calibri" w:eastAsia="Adobe Song Std L" w:hAnsi="Calibri" w:cs="Calibri"/>
          <w:sz w:val="18"/>
          <w:szCs w:val="18"/>
          <w:lang w:eastAsia="da-DK"/>
        </w:rPr>
      </w:pPr>
      <w:r w:rsidRPr="00A404A3">
        <w:rPr>
          <w:rFonts w:ascii="Calibri" w:eastAsia="Adobe Song Std L" w:hAnsi="Calibri" w:cs="Calibri"/>
          <w:b/>
          <w:bCs/>
          <w:sz w:val="18"/>
          <w:szCs w:val="18"/>
          <w:lang w:eastAsia="da-DK"/>
        </w:rPr>
        <w:t>Equinet members</w:t>
      </w:r>
      <w:r w:rsidRPr="00A404A3">
        <w:rPr>
          <w:rFonts w:ascii="Calibri" w:eastAsia="Adobe Song Std L" w:hAnsi="Calibri" w:cs="Calibri"/>
          <w:sz w:val="18"/>
          <w:szCs w:val="18"/>
          <w:lang w:eastAsia="da-DK"/>
        </w:rPr>
        <w:t xml:space="preserve">: Commissioner for the Protection from Discrimination, </w:t>
      </w:r>
      <w:r w:rsidRPr="00A404A3">
        <w:rPr>
          <w:rFonts w:ascii="Calibri" w:eastAsia="Adobe Song Std L" w:hAnsi="Calibri" w:cs="Calibri"/>
          <w:b/>
          <w:sz w:val="18"/>
          <w:szCs w:val="18"/>
          <w:lang w:eastAsia="da-DK"/>
        </w:rPr>
        <w:t>Albania</w:t>
      </w:r>
      <w:r w:rsidRPr="00A404A3">
        <w:rPr>
          <w:rFonts w:ascii="Calibri" w:eastAsia="Adobe Song Std L" w:hAnsi="Calibri" w:cs="Calibri"/>
          <w:sz w:val="18"/>
          <w:szCs w:val="18"/>
          <w:lang w:eastAsia="da-DK"/>
        </w:rPr>
        <w:t xml:space="preserve"> | Austrian Disability Ombudsman, </w:t>
      </w:r>
      <w:r w:rsidRPr="00A404A3">
        <w:rPr>
          <w:rFonts w:ascii="Calibri" w:eastAsia="Adobe Song Std L" w:hAnsi="Calibri" w:cs="Calibri"/>
          <w:b/>
          <w:sz w:val="18"/>
          <w:szCs w:val="18"/>
          <w:lang w:eastAsia="da-DK"/>
        </w:rPr>
        <w:t>Austria</w:t>
      </w:r>
      <w:r w:rsidRPr="00A404A3">
        <w:rPr>
          <w:rFonts w:ascii="Calibri" w:eastAsia="Adobe Song Std L" w:hAnsi="Calibri" w:cs="Calibri"/>
          <w:sz w:val="18"/>
          <w:szCs w:val="18"/>
          <w:lang w:eastAsia="da-DK"/>
        </w:rPr>
        <w:t xml:space="preserve"> | Ombud for Equal Treatment, </w:t>
      </w:r>
      <w:r w:rsidRPr="00A404A3">
        <w:rPr>
          <w:rFonts w:ascii="Calibri" w:eastAsia="Adobe Song Std L" w:hAnsi="Calibri" w:cs="Calibri"/>
          <w:b/>
          <w:sz w:val="18"/>
          <w:szCs w:val="18"/>
          <w:lang w:eastAsia="da-DK"/>
        </w:rPr>
        <w:t>Austria</w:t>
      </w:r>
      <w:r w:rsidRPr="00A404A3">
        <w:rPr>
          <w:rFonts w:ascii="Calibri" w:eastAsia="Adobe Song Std L" w:hAnsi="Calibri" w:cs="Calibri"/>
          <w:sz w:val="18"/>
          <w:szCs w:val="18"/>
          <w:lang w:eastAsia="da-DK"/>
        </w:rPr>
        <w:t xml:space="preserve"> | Unia (Interfederal Centre for Equal Opportunities), </w:t>
      </w:r>
      <w:r w:rsidRPr="00A404A3">
        <w:rPr>
          <w:rFonts w:ascii="Calibri" w:eastAsia="Adobe Song Std L" w:hAnsi="Calibri" w:cs="Calibri"/>
          <w:b/>
          <w:sz w:val="18"/>
          <w:szCs w:val="18"/>
          <w:lang w:eastAsia="da-DK"/>
        </w:rPr>
        <w:t>Belgium</w:t>
      </w:r>
      <w:r w:rsidRPr="00A404A3">
        <w:rPr>
          <w:rFonts w:ascii="Calibri" w:eastAsia="Adobe Song Std L" w:hAnsi="Calibri" w:cs="Calibri"/>
          <w:sz w:val="18"/>
          <w:szCs w:val="18"/>
          <w:lang w:eastAsia="da-DK"/>
        </w:rPr>
        <w:t xml:space="preserve"> | Institute for Equality between Women and Men, </w:t>
      </w:r>
      <w:r w:rsidRPr="00A404A3">
        <w:rPr>
          <w:rFonts w:ascii="Calibri" w:eastAsia="Adobe Song Std L" w:hAnsi="Calibri" w:cs="Calibri"/>
          <w:b/>
          <w:sz w:val="18"/>
          <w:szCs w:val="18"/>
          <w:lang w:eastAsia="da-DK"/>
        </w:rPr>
        <w:t>Belgium</w:t>
      </w:r>
      <w:r w:rsidRPr="00A404A3">
        <w:rPr>
          <w:rFonts w:ascii="Calibri" w:eastAsia="Adobe Song Std L" w:hAnsi="Calibri" w:cs="Calibri"/>
          <w:sz w:val="18"/>
          <w:szCs w:val="18"/>
          <w:lang w:eastAsia="da-DK"/>
        </w:rPr>
        <w:t xml:space="preserve"> | Institution of Human Rights Ombudsman, </w:t>
      </w:r>
      <w:r w:rsidRPr="00A404A3">
        <w:rPr>
          <w:rFonts w:ascii="Calibri" w:eastAsia="Adobe Song Std L" w:hAnsi="Calibri" w:cs="Calibri"/>
          <w:b/>
          <w:sz w:val="18"/>
          <w:szCs w:val="18"/>
          <w:lang w:eastAsia="da-DK"/>
        </w:rPr>
        <w:t>Bosnia and Herzegovina</w:t>
      </w:r>
      <w:r w:rsidRPr="00A404A3">
        <w:rPr>
          <w:rFonts w:ascii="Calibri" w:eastAsia="Adobe Song Std L" w:hAnsi="Calibri" w:cs="Calibri"/>
          <w:sz w:val="18"/>
          <w:szCs w:val="18"/>
          <w:lang w:eastAsia="da-DK"/>
        </w:rPr>
        <w:t xml:space="preserve"> |  Commission for Protection against Discrimination, </w:t>
      </w:r>
      <w:r w:rsidRPr="00A404A3">
        <w:rPr>
          <w:rFonts w:ascii="Calibri" w:eastAsia="Adobe Song Std L" w:hAnsi="Calibri" w:cs="Calibri"/>
          <w:b/>
          <w:sz w:val="18"/>
          <w:szCs w:val="18"/>
          <w:lang w:eastAsia="da-DK"/>
        </w:rPr>
        <w:t>Bulgaria</w:t>
      </w:r>
      <w:r w:rsidRPr="00A404A3">
        <w:rPr>
          <w:rFonts w:ascii="Calibri" w:eastAsia="Adobe Song Std L" w:hAnsi="Calibri" w:cs="Calibri"/>
          <w:sz w:val="18"/>
          <w:szCs w:val="18"/>
          <w:lang w:eastAsia="da-DK"/>
        </w:rPr>
        <w:t xml:space="preserve"> | Office of the Ombudsman, </w:t>
      </w:r>
      <w:r w:rsidRPr="00A404A3">
        <w:rPr>
          <w:rFonts w:ascii="Calibri" w:eastAsia="Adobe Song Std L" w:hAnsi="Calibri" w:cs="Calibri"/>
          <w:b/>
          <w:sz w:val="18"/>
          <w:szCs w:val="18"/>
          <w:lang w:eastAsia="da-DK"/>
        </w:rPr>
        <w:t>Croatia</w:t>
      </w:r>
      <w:r w:rsidRPr="00A404A3">
        <w:rPr>
          <w:rFonts w:ascii="Calibri" w:eastAsia="Adobe Song Std L" w:hAnsi="Calibri" w:cs="Calibri"/>
          <w:sz w:val="18"/>
          <w:szCs w:val="18"/>
          <w:lang w:eastAsia="da-DK"/>
        </w:rPr>
        <w:t xml:space="preserve"> | Ombudsperson for Gender Equality, </w:t>
      </w:r>
      <w:r w:rsidRPr="00A404A3">
        <w:rPr>
          <w:rFonts w:ascii="Calibri" w:eastAsia="Adobe Song Std L" w:hAnsi="Calibri" w:cs="Calibri"/>
          <w:b/>
          <w:sz w:val="18"/>
          <w:szCs w:val="18"/>
          <w:lang w:eastAsia="da-DK"/>
        </w:rPr>
        <w:t>Croatia</w:t>
      </w:r>
      <w:r w:rsidRPr="00A404A3">
        <w:rPr>
          <w:rFonts w:ascii="Calibri" w:eastAsia="Adobe Song Std L" w:hAnsi="Calibri" w:cs="Calibri"/>
          <w:sz w:val="18"/>
          <w:szCs w:val="18"/>
          <w:lang w:eastAsia="da-DK"/>
        </w:rPr>
        <w:t xml:space="preserve"> | Ombudswoman for Persons with Disabilities, </w:t>
      </w:r>
      <w:r w:rsidRPr="00A404A3">
        <w:rPr>
          <w:rFonts w:ascii="Calibri" w:eastAsia="Adobe Song Std L" w:hAnsi="Calibri" w:cs="Calibri"/>
          <w:b/>
          <w:sz w:val="18"/>
          <w:szCs w:val="18"/>
          <w:lang w:eastAsia="da-DK"/>
        </w:rPr>
        <w:t>Croatia</w:t>
      </w:r>
      <w:r w:rsidRPr="00A404A3">
        <w:rPr>
          <w:rFonts w:ascii="Calibri" w:eastAsia="Adobe Song Std L" w:hAnsi="Calibri" w:cs="Calibri"/>
          <w:sz w:val="18"/>
          <w:szCs w:val="18"/>
          <w:lang w:eastAsia="da-DK"/>
        </w:rPr>
        <w:t xml:space="preserve"> | Office of the Commissioner for Administration and Human Rights (Ombudsman), </w:t>
      </w:r>
      <w:r w:rsidRPr="00A404A3">
        <w:rPr>
          <w:rFonts w:ascii="Calibri" w:eastAsia="Adobe Song Std L" w:hAnsi="Calibri" w:cs="Calibri"/>
          <w:b/>
          <w:sz w:val="18"/>
          <w:szCs w:val="18"/>
          <w:lang w:eastAsia="da-DK"/>
        </w:rPr>
        <w:t>Cyprus</w:t>
      </w:r>
      <w:r w:rsidRPr="00A404A3">
        <w:rPr>
          <w:rFonts w:ascii="Calibri" w:eastAsia="Adobe Song Std L" w:hAnsi="Calibri" w:cs="Calibri"/>
          <w:sz w:val="18"/>
          <w:szCs w:val="18"/>
          <w:lang w:eastAsia="da-DK"/>
        </w:rPr>
        <w:t xml:space="preserve"> | Public Defender of Rights </w:t>
      </w:r>
      <w:r w:rsidRPr="00A404A3">
        <w:rPr>
          <w:rFonts w:ascii="Calibri" w:eastAsia="Adobe Song Std L" w:hAnsi="Calibri" w:cs="Calibri"/>
          <w:bCs/>
          <w:sz w:val="18"/>
          <w:szCs w:val="18"/>
          <w:lang w:eastAsia="da-DK"/>
        </w:rPr>
        <w:t>– Ombudsman</w:t>
      </w:r>
      <w:r w:rsidRPr="00A404A3">
        <w:rPr>
          <w:rFonts w:ascii="Calibri" w:eastAsia="Adobe Song Std L" w:hAnsi="Calibri" w:cs="Calibri"/>
          <w:sz w:val="18"/>
          <w:szCs w:val="18"/>
          <w:lang w:eastAsia="da-DK"/>
        </w:rPr>
        <w:t xml:space="preserve">, </w:t>
      </w:r>
      <w:r w:rsidRPr="00A404A3">
        <w:rPr>
          <w:rFonts w:ascii="Calibri" w:eastAsia="Adobe Song Std L" w:hAnsi="Calibri" w:cs="Calibri"/>
          <w:b/>
          <w:sz w:val="18"/>
          <w:szCs w:val="18"/>
          <w:lang w:eastAsia="da-DK"/>
        </w:rPr>
        <w:t>Czech Republic</w:t>
      </w:r>
      <w:r w:rsidRPr="00A404A3">
        <w:rPr>
          <w:rFonts w:ascii="Calibri" w:eastAsia="Adobe Song Std L" w:hAnsi="Calibri" w:cs="Calibri"/>
          <w:sz w:val="18"/>
          <w:szCs w:val="18"/>
          <w:lang w:eastAsia="da-DK"/>
        </w:rPr>
        <w:t xml:space="preserve"> | Board of Equal Treatment, </w:t>
      </w:r>
      <w:r w:rsidRPr="00A404A3">
        <w:rPr>
          <w:rFonts w:ascii="Calibri" w:eastAsia="Adobe Song Std L" w:hAnsi="Calibri" w:cs="Calibri"/>
          <w:b/>
          <w:sz w:val="18"/>
          <w:szCs w:val="18"/>
          <w:lang w:eastAsia="da-DK"/>
        </w:rPr>
        <w:t>Denmark</w:t>
      </w:r>
      <w:r w:rsidRPr="00A404A3">
        <w:rPr>
          <w:rFonts w:ascii="Calibri" w:eastAsia="Adobe Song Std L" w:hAnsi="Calibri" w:cs="Calibri"/>
          <w:sz w:val="18"/>
          <w:szCs w:val="18"/>
          <w:lang w:eastAsia="da-DK"/>
        </w:rPr>
        <w:t xml:space="preserve"> | Danish Institute for Human Rights, </w:t>
      </w:r>
      <w:r w:rsidRPr="00A404A3">
        <w:rPr>
          <w:rFonts w:ascii="Calibri" w:eastAsia="Adobe Song Std L" w:hAnsi="Calibri" w:cs="Calibri"/>
          <w:b/>
          <w:sz w:val="18"/>
          <w:szCs w:val="18"/>
          <w:lang w:eastAsia="da-DK"/>
        </w:rPr>
        <w:t>Denmark</w:t>
      </w:r>
      <w:r w:rsidRPr="00A404A3">
        <w:rPr>
          <w:rFonts w:ascii="Calibri" w:eastAsia="Adobe Song Std L" w:hAnsi="Calibri" w:cs="Calibri"/>
          <w:sz w:val="18"/>
          <w:szCs w:val="18"/>
          <w:lang w:eastAsia="da-DK"/>
        </w:rPr>
        <w:t xml:space="preserve"> | Gender Equality and Equal Treatment Commissioner, </w:t>
      </w:r>
      <w:r w:rsidRPr="00A404A3">
        <w:rPr>
          <w:rFonts w:ascii="Calibri" w:eastAsia="Adobe Song Std L" w:hAnsi="Calibri" w:cs="Calibri"/>
          <w:b/>
          <w:sz w:val="18"/>
          <w:szCs w:val="18"/>
          <w:lang w:eastAsia="da-DK"/>
        </w:rPr>
        <w:t>Estonia</w:t>
      </w:r>
      <w:r w:rsidRPr="00A404A3">
        <w:rPr>
          <w:rFonts w:ascii="Calibri" w:eastAsia="Adobe Song Std L" w:hAnsi="Calibri" w:cs="Calibri"/>
          <w:sz w:val="18"/>
          <w:szCs w:val="18"/>
          <w:lang w:eastAsia="da-DK"/>
        </w:rPr>
        <w:t xml:space="preserve"> | Ombudsman for Equality, </w:t>
      </w:r>
      <w:r w:rsidRPr="00A404A3">
        <w:rPr>
          <w:rFonts w:ascii="Calibri" w:eastAsia="Adobe Song Std L" w:hAnsi="Calibri" w:cs="Calibri"/>
          <w:b/>
          <w:sz w:val="18"/>
          <w:szCs w:val="18"/>
          <w:lang w:eastAsia="da-DK"/>
        </w:rPr>
        <w:t>Finland</w:t>
      </w:r>
      <w:r w:rsidRPr="00A404A3">
        <w:rPr>
          <w:rFonts w:ascii="Calibri" w:eastAsia="Adobe Song Std L" w:hAnsi="Calibri" w:cs="Calibri"/>
          <w:sz w:val="18"/>
          <w:szCs w:val="18"/>
          <w:lang w:eastAsia="da-DK"/>
        </w:rPr>
        <w:t xml:space="preserve"> | Non-Discrimination Ombudsman, </w:t>
      </w:r>
      <w:r w:rsidRPr="00A404A3">
        <w:rPr>
          <w:rFonts w:ascii="Calibri" w:eastAsia="Adobe Song Std L" w:hAnsi="Calibri" w:cs="Calibri"/>
          <w:b/>
          <w:sz w:val="18"/>
          <w:szCs w:val="18"/>
          <w:lang w:eastAsia="da-DK"/>
        </w:rPr>
        <w:t>Finland</w:t>
      </w:r>
      <w:r w:rsidRPr="00A404A3">
        <w:rPr>
          <w:rFonts w:ascii="Calibri" w:eastAsia="Adobe Song Std L" w:hAnsi="Calibri" w:cs="Calibri"/>
          <w:sz w:val="18"/>
          <w:szCs w:val="18"/>
          <w:lang w:eastAsia="da-DK"/>
        </w:rPr>
        <w:t xml:space="preserve"> | Commission for Protection against Discrimination, </w:t>
      </w:r>
      <w:r w:rsidRPr="00A404A3">
        <w:rPr>
          <w:rFonts w:ascii="Calibri" w:eastAsia="Adobe Song Std L" w:hAnsi="Calibri" w:cs="Calibri"/>
          <w:b/>
          <w:sz w:val="18"/>
          <w:szCs w:val="18"/>
          <w:lang w:eastAsia="da-DK"/>
        </w:rPr>
        <w:t>Former Yugoslav Republic of Macedonia (FYROM)</w:t>
      </w:r>
      <w:r w:rsidRPr="00A404A3">
        <w:rPr>
          <w:rFonts w:ascii="Calibri" w:eastAsia="Adobe Song Std L" w:hAnsi="Calibri" w:cs="Calibri"/>
          <w:sz w:val="18"/>
          <w:szCs w:val="18"/>
          <w:lang w:eastAsia="da-DK"/>
        </w:rPr>
        <w:t xml:space="preserve"> | Defender of Rights, </w:t>
      </w:r>
      <w:r w:rsidRPr="00A404A3">
        <w:rPr>
          <w:rFonts w:ascii="Calibri" w:eastAsia="Adobe Song Std L" w:hAnsi="Calibri" w:cs="Calibri"/>
          <w:b/>
          <w:sz w:val="18"/>
          <w:szCs w:val="18"/>
          <w:lang w:eastAsia="da-DK"/>
        </w:rPr>
        <w:t>France</w:t>
      </w:r>
      <w:r w:rsidRPr="00A404A3">
        <w:rPr>
          <w:rFonts w:ascii="Calibri" w:eastAsia="Adobe Song Std L" w:hAnsi="Calibri" w:cs="Calibri"/>
          <w:sz w:val="18"/>
          <w:szCs w:val="18"/>
          <w:lang w:eastAsia="da-DK"/>
        </w:rPr>
        <w:t xml:space="preserve"> | Federal Anti-Discrimination Agency, </w:t>
      </w:r>
      <w:r w:rsidRPr="00A404A3">
        <w:rPr>
          <w:rFonts w:ascii="Calibri" w:eastAsia="Adobe Song Std L" w:hAnsi="Calibri" w:cs="Calibri"/>
          <w:b/>
          <w:sz w:val="18"/>
          <w:szCs w:val="18"/>
          <w:lang w:eastAsia="da-DK"/>
        </w:rPr>
        <w:t>Germany</w:t>
      </w:r>
      <w:r w:rsidRPr="00A404A3">
        <w:rPr>
          <w:rFonts w:ascii="Calibri" w:eastAsia="Adobe Song Std L" w:hAnsi="Calibri" w:cs="Calibri"/>
          <w:sz w:val="18"/>
          <w:szCs w:val="18"/>
          <w:lang w:eastAsia="da-DK"/>
        </w:rPr>
        <w:t xml:space="preserve"> | Greek Ombudsman, </w:t>
      </w:r>
      <w:r w:rsidRPr="00A404A3">
        <w:rPr>
          <w:rFonts w:ascii="Calibri" w:eastAsia="Adobe Song Std L" w:hAnsi="Calibri" w:cs="Calibri"/>
          <w:b/>
          <w:sz w:val="18"/>
          <w:szCs w:val="18"/>
          <w:lang w:eastAsia="da-DK"/>
        </w:rPr>
        <w:t>Greece</w:t>
      </w:r>
      <w:r w:rsidRPr="00A404A3">
        <w:rPr>
          <w:rFonts w:ascii="Calibri" w:eastAsia="Adobe Song Std L" w:hAnsi="Calibri" w:cs="Calibri"/>
          <w:sz w:val="18"/>
          <w:szCs w:val="18"/>
          <w:lang w:eastAsia="da-DK"/>
        </w:rPr>
        <w:t xml:space="preserve"> | Equal Treatment Authority, </w:t>
      </w:r>
      <w:r w:rsidRPr="00A404A3">
        <w:rPr>
          <w:rFonts w:ascii="Calibri" w:eastAsia="Adobe Song Std L" w:hAnsi="Calibri" w:cs="Calibri"/>
          <w:b/>
          <w:sz w:val="18"/>
          <w:szCs w:val="18"/>
          <w:lang w:eastAsia="da-DK"/>
        </w:rPr>
        <w:t>Hungary</w:t>
      </w:r>
      <w:r w:rsidRPr="00A404A3">
        <w:rPr>
          <w:rFonts w:ascii="Calibri" w:eastAsia="Adobe Song Std L" w:hAnsi="Calibri" w:cs="Calibri"/>
          <w:sz w:val="18"/>
          <w:szCs w:val="18"/>
          <w:lang w:eastAsia="da-DK"/>
        </w:rPr>
        <w:t xml:space="preserve"> | </w:t>
      </w:r>
      <w:r w:rsidRPr="00A404A3">
        <w:rPr>
          <w:rFonts w:ascii="Calibri" w:eastAsia="Adobe Song Std L" w:hAnsi="Calibri" w:cs="Calibri"/>
          <w:bCs/>
          <w:iCs/>
          <w:sz w:val="18"/>
          <w:szCs w:val="18"/>
          <w:lang w:eastAsia="da-DK"/>
        </w:rPr>
        <w:t>Office of the Commissioner for Fundamental Rights</w:t>
      </w:r>
      <w:r w:rsidRPr="00A404A3">
        <w:rPr>
          <w:rFonts w:ascii="Calibri" w:eastAsia="Adobe Song Std L" w:hAnsi="Calibri" w:cs="Calibri"/>
          <w:sz w:val="18"/>
          <w:szCs w:val="18"/>
          <w:lang w:eastAsia="da-DK"/>
        </w:rPr>
        <w:t xml:space="preserve">, </w:t>
      </w:r>
      <w:r w:rsidRPr="00A404A3">
        <w:rPr>
          <w:rFonts w:ascii="Calibri" w:eastAsia="Adobe Song Std L" w:hAnsi="Calibri" w:cs="Calibri"/>
          <w:b/>
          <w:sz w:val="18"/>
          <w:szCs w:val="18"/>
          <w:lang w:eastAsia="da-DK"/>
        </w:rPr>
        <w:t>Hungary</w:t>
      </w:r>
      <w:r w:rsidRPr="00A404A3">
        <w:rPr>
          <w:rFonts w:ascii="Calibri" w:eastAsia="Adobe Song Std L" w:hAnsi="Calibri" w:cs="Calibri"/>
          <w:sz w:val="18"/>
          <w:szCs w:val="18"/>
          <w:lang w:eastAsia="da-DK"/>
        </w:rPr>
        <w:t xml:space="preserve"> | Irish Human Rights and Equality Commission, </w:t>
      </w:r>
      <w:r w:rsidRPr="00A404A3">
        <w:rPr>
          <w:rFonts w:ascii="Calibri" w:eastAsia="Adobe Song Std L" w:hAnsi="Calibri" w:cs="Calibri"/>
          <w:b/>
          <w:sz w:val="18"/>
          <w:szCs w:val="18"/>
          <w:lang w:eastAsia="da-DK"/>
        </w:rPr>
        <w:t>Ireland</w:t>
      </w:r>
      <w:r w:rsidRPr="00A404A3">
        <w:rPr>
          <w:rFonts w:ascii="Calibri" w:eastAsia="Adobe Song Std L" w:hAnsi="Calibri" w:cs="Calibri"/>
          <w:sz w:val="18"/>
          <w:szCs w:val="18"/>
          <w:lang w:eastAsia="da-DK"/>
        </w:rPr>
        <w:t xml:space="preserve"> | National Office Against Racial Discrimination, </w:t>
      </w:r>
      <w:r w:rsidRPr="00A404A3">
        <w:rPr>
          <w:rFonts w:ascii="Calibri" w:eastAsia="Adobe Song Std L" w:hAnsi="Calibri" w:cs="Calibri"/>
          <w:b/>
          <w:sz w:val="18"/>
          <w:szCs w:val="18"/>
          <w:lang w:eastAsia="da-DK"/>
        </w:rPr>
        <w:t>Italy</w:t>
      </w:r>
      <w:r w:rsidRPr="00A404A3">
        <w:rPr>
          <w:rFonts w:ascii="Calibri" w:eastAsia="Adobe Song Std L" w:hAnsi="Calibri" w:cs="Calibri"/>
          <w:sz w:val="18"/>
          <w:szCs w:val="18"/>
          <w:lang w:eastAsia="da-DK"/>
        </w:rPr>
        <w:t xml:space="preserve"> | National Equality Councillor, </w:t>
      </w:r>
      <w:r w:rsidRPr="00A404A3">
        <w:rPr>
          <w:rFonts w:ascii="Calibri" w:eastAsia="Adobe Song Std L" w:hAnsi="Calibri" w:cs="Calibri"/>
          <w:b/>
          <w:sz w:val="18"/>
          <w:szCs w:val="18"/>
          <w:lang w:eastAsia="da-DK"/>
        </w:rPr>
        <w:t>Italy</w:t>
      </w:r>
      <w:r w:rsidRPr="00A404A3">
        <w:rPr>
          <w:rFonts w:ascii="Calibri" w:eastAsia="Adobe Song Std L" w:hAnsi="Calibri" w:cs="Calibri"/>
          <w:sz w:val="18"/>
          <w:szCs w:val="18"/>
          <w:lang w:eastAsia="da-DK"/>
        </w:rPr>
        <w:t xml:space="preserve"> | Office of the Ombudsman, </w:t>
      </w:r>
      <w:r w:rsidRPr="00A404A3">
        <w:rPr>
          <w:rFonts w:ascii="Calibri" w:eastAsia="Adobe Song Std L" w:hAnsi="Calibri" w:cs="Calibri"/>
          <w:b/>
          <w:sz w:val="18"/>
          <w:szCs w:val="18"/>
          <w:lang w:eastAsia="da-DK"/>
        </w:rPr>
        <w:t>Latvia</w:t>
      </w:r>
      <w:r w:rsidRPr="00A404A3">
        <w:rPr>
          <w:rFonts w:ascii="Calibri" w:eastAsia="Adobe Song Std L" w:hAnsi="Calibri" w:cs="Calibri"/>
          <w:sz w:val="18"/>
          <w:szCs w:val="18"/>
          <w:lang w:eastAsia="da-DK"/>
        </w:rPr>
        <w:t xml:space="preserve"> | Office of the Equal Opportunities Ombudsperson, </w:t>
      </w:r>
      <w:r w:rsidRPr="00A404A3">
        <w:rPr>
          <w:rFonts w:ascii="Calibri" w:eastAsia="Adobe Song Std L" w:hAnsi="Calibri" w:cs="Calibri"/>
          <w:b/>
          <w:sz w:val="18"/>
          <w:szCs w:val="18"/>
          <w:lang w:eastAsia="da-DK"/>
        </w:rPr>
        <w:t>Lithuania</w:t>
      </w:r>
      <w:r w:rsidRPr="00A404A3">
        <w:rPr>
          <w:rFonts w:ascii="Calibri" w:eastAsia="Adobe Song Std L" w:hAnsi="Calibri" w:cs="Calibri"/>
          <w:sz w:val="18"/>
          <w:szCs w:val="18"/>
          <w:lang w:eastAsia="da-DK"/>
        </w:rPr>
        <w:t xml:space="preserve"> | Centre for Equal Treatment, </w:t>
      </w:r>
      <w:r w:rsidRPr="00A404A3">
        <w:rPr>
          <w:rFonts w:ascii="Calibri" w:eastAsia="Adobe Song Std L" w:hAnsi="Calibri" w:cs="Calibri"/>
          <w:b/>
          <w:sz w:val="18"/>
          <w:szCs w:val="18"/>
          <w:lang w:eastAsia="da-DK"/>
        </w:rPr>
        <w:t>Luxembourg</w:t>
      </w:r>
      <w:r w:rsidRPr="00A404A3">
        <w:rPr>
          <w:rFonts w:ascii="Calibri" w:eastAsia="Adobe Song Std L" w:hAnsi="Calibri" w:cs="Calibri"/>
          <w:sz w:val="18"/>
          <w:szCs w:val="18"/>
          <w:lang w:eastAsia="da-DK"/>
        </w:rPr>
        <w:t xml:space="preserve"> | National Commission for the Promotion of Equality, </w:t>
      </w:r>
      <w:r w:rsidRPr="00A404A3">
        <w:rPr>
          <w:rFonts w:ascii="Calibri" w:eastAsia="Adobe Song Std L" w:hAnsi="Calibri" w:cs="Calibri"/>
          <w:b/>
          <w:sz w:val="18"/>
          <w:szCs w:val="18"/>
          <w:lang w:eastAsia="da-DK"/>
        </w:rPr>
        <w:t>Malta</w:t>
      </w:r>
      <w:r>
        <w:rPr>
          <w:rFonts w:ascii="Calibri" w:eastAsia="Adobe Song Std L" w:hAnsi="Calibri" w:cs="Calibri"/>
          <w:sz w:val="18"/>
          <w:szCs w:val="18"/>
          <w:lang w:eastAsia="da-DK"/>
        </w:rPr>
        <w:t xml:space="preserve"> | </w:t>
      </w:r>
      <w:r w:rsidRPr="00A404A3">
        <w:rPr>
          <w:rFonts w:ascii="Calibri" w:eastAsia="Adobe Song Std L" w:hAnsi="Calibri" w:cs="Calibri"/>
          <w:sz w:val="18"/>
          <w:szCs w:val="18"/>
          <w:lang w:eastAsia="da-DK"/>
        </w:rPr>
        <w:t xml:space="preserve">Commission for </w:t>
      </w:r>
      <w:r>
        <w:rPr>
          <w:rFonts w:ascii="Calibri" w:eastAsia="Adobe Song Std L" w:hAnsi="Calibri" w:cs="Calibri"/>
          <w:sz w:val="18"/>
          <w:szCs w:val="18"/>
          <w:lang w:eastAsia="da-DK"/>
        </w:rPr>
        <w:t xml:space="preserve">the Rights of </w:t>
      </w:r>
      <w:r w:rsidRPr="00A404A3">
        <w:rPr>
          <w:rFonts w:ascii="Calibri" w:eastAsia="Adobe Song Std L" w:hAnsi="Calibri" w:cs="Calibri"/>
          <w:sz w:val="18"/>
          <w:szCs w:val="18"/>
          <w:lang w:eastAsia="da-DK"/>
        </w:rPr>
        <w:t xml:space="preserve">Persons with Disability, </w:t>
      </w:r>
      <w:r w:rsidRPr="00A404A3">
        <w:rPr>
          <w:rFonts w:ascii="Calibri" w:eastAsia="Adobe Song Std L" w:hAnsi="Calibri" w:cs="Calibri"/>
          <w:b/>
          <w:sz w:val="18"/>
          <w:szCs w:val="18"/>
          <w:lang w:eastAsia="da-DK"/>
        </w:rPr>
        <w:t>Malta</w:t>
      </w:r>
      <w:r w:rsidRPr="00A404A3">
        <w:rPr>
          <w:rFonts w:ascii="Calibri" w:eastAsia="Adobe Song Std L" w:hAnsi="Calibri" w:cs="Calibri"/>
          <w:sz w:val="18"/>
          <w:szCs w:val="18"/>
          <w:lang w:eastAsia="da-DK"/>
        </w:rPr>
        <w:t xml:space="preserve"> | The Protector of Human Rights and Freedoms (Ombudsman), </w:t>
      </w:r>
      <w:r w:rsidRPr="00A404A3">
        <w:rPr>
          <w:rFonts w:ascii="Calibri" w:eastAsia="Adobe Song Std L" w:hAnsi="Calibri" w:cs="Calibri"/>
          <w:b/>
          <w:sz w:val="18"/>
          <w:szCs w:val="18"/>
          <w:lang w:eastAsia="da-DK"/>
        </w:rPr>
        <w:t>Montenegro</w:t>
      </w:r>
      <w:r w:rsidRPr="00A404A3">
        <w:rPr>
          <w:rFonts w:ascii="Calibri" w:eastAsia="Adobe Song Std L" w:hAnsi="Calibri" w:cs="Calibri"/>
          <w:sz w:val="18"/>
          <w:szCs w:val="18"/>
          <w:lang w:eastAsia="da-DK"/>
        </w:rPr>
        <w:t xml:space="preserve"> | Netherlands Institute for Human Rights, </w:t>
      </w:r>
      <w:r w:rsidRPr="00A404A3">
        <w:rPr>
          <w:rFonts w:ascii="Calibri" w:eastAsia="Adobe Song Std L" w:hAnsi="Calibri" w:cs="Calibri"/>
          <w:b/>
          <w:sz w:val="18"/>
          <w:szCs w:val="18"/>
          <w:lang w:eastAsia="da-DK"/>
        </w:rPr>
        <w:t>Netherlands</w:t>
      </w:r>
      <w:r w:rsidRPr="00A404A3">
        <w:rPr>
          <w:rFonts w:ascii="Calibri" w:eastAsia="Adobe Song Std L" w:hAnsi="Calibri" w:cs="Calibri"/>
          <w:sz w:val="18"/>
          <w:szCs w:val="18"/>
          <w:lang w:eastAsia="da-DK"/>
        </w:rPr>
        <w:t xml:space="preserve"> | Equality and Anti-Discrimination Ombud, </w:t>
      </w:r>
      <w:r w:rsidRPr="00A404A3">
        <w:rPr>
          <w:rFonts w:ascii="Calibri" w:eastAsia="Adobe Song Std L" w:hAnsi="Calibri" w:cs="Calibri"/>
          <w:b/>
          <w:sz w:val="18"/>
          <w:szCs w:val="18"/>
          <w:lang w:eastAsia="da-DK"/>
        </w:rPr>
        <w:t>Norway</w:t>
      </w:r>
      <w:r w:rsidRPr="00A404A3">
        <w:rPr>
          <w:rFonts w:ascii="Calibri" w:eastAsia="Adobe Song Std L" w:hAnsi="Calibri" w:cs="Calibri"/>
          <w:sz w:val="18"/>
          <w:szCs w:val="18"/>
          <w:lang w:eastAsia="da-DK"/>
        </w:rPr>
        <w:t xml:space="preserve"> | Commissioner for Human Rights, </w:t>
      </w:r>
      <w:r w:rsidRPr="00A404A3">
        <w:rPr>
          <w:rFonts w:ascii="Calibri" w:eastAsia="Adobe Song Std L" w:hAnsi="Calibri" w:cs="Calibri"/>
          <w:b/>
          <w:sz w:val="18"/>
          <w:szCs w:val="18"/>
          <w:lang w:eastAsia="da-DK"/>
        </w:rPr>
        <w:t>Poland</w:t>
      </w:r>
      <w:r w:rsidRPr="00A404A3">
        <w:rPr>
          <w:rFonts w:ascii="Calibri" w:eastAsia="Adobe Song Std L" w:hAnsi="Calibri" w:cs="Calibri"/>
          <w:sz w:val="18"/>
          <w:szCs w:val="18"/>
          <w:lang w:eastAsia="da-DK"/>
        </w:rPr>
        <w:t xml:space="preserve"> | Commission for Citizenship and Gender Equality, </w:t>
      </w:r>
      <w:r w:rsidRPr="00A404A3">
        <w:rPr>
          <w:rFonts w:ascii="Calibri" w:eastAsia="Adobe Song Std L" w:hAnsi="Calibri" w:cs="Calibri"/>
          <w:b/>
          <w:sz w:val="18"/>
          <w:szCs w:val="18"/>
          <w:lang w:eastAsia="da-DK"/>
        </w:rPr>
        <w:t>Portugal</w:t>
      </w:r>
      <w:r w:rsidRPr="00A404A3">
        <w:rPr>
          <w:rFonts w:ascii="Calibri" w:eastAsia="Adobe Song Std L" w:hAnsi="Calibri" w:cs="Calibri"/>
          <w:sz w:val="18"/>
          <w:szCs w:val="18"/>
          <w:lang w:eastAsia="da-DK"/>
        </w:rPr>
        <w:t xml:space="preserve"> | </w:t>
      </w:r>
      <w:r w:rsidRPr="00A404A3">
        <w:rPr>
          <w:rFonts w:ascii="Calibri" w:eastAsia="Adobe Song Std L" w:hAnsi="Calibri" w:cs="Calibri"/>
          <w:bCs/>
          <w:sz w:val="18"/>
          <w:szCs w:val="18"/>
          <w:lang w:eastAsia="da-DK"/>
        </w:rPr>
        <w:t>Commission for Equality in Labour and Employment</w:t>
      </w:r>
      <w:r w:rsidRPr="00A404A3">
        <w:rPr>
          <w:rFonts w:ascii="Calibri" w:eastAsia="Adobe Song Std L" w:hAnsi="Calibri" w:cs="Calibri"/>
          <w:sz w:val="18"/>
          <w:szCs w:val="18"/>
          <w:lang w:eastAsia="da-DK"/>
        </w:rPr>
        <w:t xml:space="preserve">, </w:t>
      </w:r>
      <w:r w:rsidRPr="00A404A3">
        <w:rPr>
          <w:rFonts w:ascii="Calibri" w:eastAsia="Adobe Song Std L" w:hAnsi="Calibri" w:cs="Calibri"/>
          <w:b/>
          <w:sz w:val="18"/>
          <w:szCs w:val="18"/>
          <w:lang w:eastAsia="da-DK"/>
        </w:rPr>
        <w:t>Portugal</w:t>
      </w:r>
      <w:r w:rsidRPr="00A404A3">
        <w:rPr>
          <w:rFonts w:ascii="Calibri" w:eastAsia="Adobe Song Std L" w:hAnsi="Calibri" w:cs="Calibri"/>
          <w:sz w:val="18"/>
          <w:szCs w:val="18"/>
          <w:lang w:eastAsia="da-DK"/>
        </w:rPr>
        <w:t xml:space="preserve"> | </w:t>
      </w:r>
      <w:r w:rsidRPr="00A404A3">
        <w:rPr>
          <w:rFonts w:ascii="Calibri" w:eastAsia="Adobe Song Std L" w:hAnsi="Calibri" w:cs="Calibri"/>
          <w:bCs/>
          <w:sz w:val="18"/>
          <w:szCs w:val="18"/>
          <w:lang w:eastAsia="da-DK"/>
        </w:rPr>
        <w:t xml:space="preserve">High Commission for Migration, </w:t>
      </w:r>
      <w:r w:rsidRPr="00A404A3">
        <w:rPr>
          <w:rFonts w:ascii="Calibri" w:eastAsia="Adobe Song Std L" w:hAnsi="Calibri" w:cs="Calibri"/>
          <w:b/>
          <w:bCs/>
          <w:sz w:val="18"/>
          <w:szCs w:val="18"/>
          <w:lang w:eastAsia="da-DK"/>
        </w:rPr>
        <w:t>Portugal</w:t>
      </w:r>
      <w:r w:rsidRPr="00A404A3">
        <w:rPr>
          <w:rFonts w:ascii="Calibri" w:eastAsia="Adobe Song Std L" w:hAnsi="Calibri" w:cs="Calibri"/>
          <w:sz w:val="18"/>
          <w:szCs w:val="18"/>
          <w:lang w:eastAsia="da-DK"/>
        </w:rPr>
        <w:t xml:space="preserve"> | National Council for Combating Discrimination, </w:t>
      </w:r>
      <w:r w:rsidRPr="00A404A3">
        <w:rPr>
          <w:rFonts w:ascii="Calibri" w:eastAsia="Adobe Song Std L" w:hAnsi="Calibri" w:cs="Calibri"/>
          <w:b/>
          <w:sz w:val="18"/>
          <w:szCs w:val="18"/>
          <w:lang w:eastAsia="da-DK"/>
        </w:rPr>
        <w:t>Romania</w:t>
      </w:r>
      <w:r w:rsidRPr="00A404A3">
        <w:rPr>
          <w:rFonts w:ascii="Calibri" w:eastAsia="Adobe Song Std L" w:hAnsi="Calibri" w:cs="Calibri"/>
          <w:sz w:val="18"/>
          <w:szCs w:val="18"/>
          <w:lang w:eastAsia="da-DK"/>
        </w:rPr>
        <w:t xml:space="preserve"> | Commissioner for Protection of Equality, </w:t>
      </w:r>
      <w:r w:rsidRPr="00A404A3">
        <w:rPr>
          <w:rFonts w:ascii="Calibri" w:eastAsia="Adobe Song Std L" w:hAnsi="Calibri" w:cs="Calibri"/>
          <w:b/>
          <w:sz w:val="18"/>
          <w:szCs w:val="18"/>
          <w:lang w:eastAsia="da-DK"/>
        </w:rPr>
        <w:t>Serbia</w:t>
      </w:r>
      <w:r w:rsidRPr="00A404A3">
        <w:rPr>
          <w:rFonts w:ascii="Calibri" w:eastAsia="Adobe Song Std L" w:hAnsi="Calibri" w:cs="Calibri"/>
          <w:sz w:val="18"/>
          <w:szCs w:val="18"/>
          <w:lang w:eastAsia="da-DK"/>
        </w:rPr>
        <w:t xml:space="preserve"> | National Centre for Human Rights, </w:t>
      </w:r>
      <w:r w:rsidRPr="00A404A3">
        <w:rPr>
          <w:rFonts w:ascii="Calibri" w:eastAsia="Adobe Song Std L" w:hAnsi="Calibri" w:cs="Calibri"/>
          <w:b/>
          <w:sz w:val="18"/>
          <w:szCs w:val="18"/>
          <w:lang w:eastAsia="da-DK"/>
        </w:rPr>
        <w:t>Slovakia</w:t>
      </w:r>
      <w:r w:rsidRPr="00A404A3">
        <w:rPr>
          <w:rFonts w:ascii="Calibri" w:eastAsia="Adobe Song Std L" w:hAnsi="Calibri" w:cs="Calibri"/>
          <w:sz w:val="18"/>
          <w:szCs w:val="18"/>
          <w:lang w:eastAsia="da-DK"/>
        </w:rPr>
        <w:t xml:space="preserve"> | Advocate of the Principle of Equality, </w:t>
      </w:r>
      <w:r w:rsidRPr="00A404A3">
        <w:rPr>
          <w:rFonts w:ascii="Calibri" w:eastAsia="Adobe Song Std L" w:hAnsi="Calibri" w:cs="Calibri"/>
          <w:b/>
          <w:sz w:val="18"/>
          <w:szCs w:val="18"/>
          <w:lang w:eastAsia="da-DK"/>
        </w:rPr>
        <w:t>Slovenia</w:t>
      </w:r>
      <w:r w:rsidRPr="00A404A3">
        <w:rPr>
          <w:rFonts w:ascii="Calibri" w:eastAsia="Adobe Song Std L" w:hAnsi="Calibri" w:cs="Calibri"/>
          <w:sz w:val="18"/>
          <w:szCs w:val="18"/>
          <w:lang w:eastAsia="da-DK"/>
        </w:rPr>
        <w:t xml:space="preserve"> | Council for the Elimination of Ethnic or Racial Discrimination, </w:t>
      </w:r>
      <w:r w:rsidRPr="00A404A3">
        <w:rPr>
          <w:rFonts w:ascii="Calibri" w:eastAsia="Adobe Song Std L" w:hAnsi="Calibri" w:cs="Calibri"/>
          <w:b/>
          <w:sz w:val="18"/>
          <w:szCs w:val="18"/>
          <w:lang w:eastAsia="da-DK"/>
        </w:rPr>
        <w:t>Spain</w:t>
      </w:r>
      <w:r w:rsidRPr="00A404A3">
        <w:rPr>
          <w:rFonts w:ascii="Calibri" w:eastAsia="Adobe Song Std L" w:hAnsi="Calibri" w:cs="Calibri"/>
          <w:sz w:val="18"/>
          <w:szCs w:val="18"/>
          <w:lang w:eastAsia="da-DK"/>
        </w:rPr>
        <w:t xml:space="preserve"> | Equality Ombudsman, </w:t>
      </w:r>
      <w:r w:rsidRPr="00A404A3">
        <w:rPr>
          <w:rFonts w:ascii="Calibri" w:eastAsia="Adobe Song Std L" w:hAnsi="Calibri" w:cs="Calibri"/>
          <w:b/>
          <w:sz w:val="18"/>
          <w:szCs w:val="18"/>
          <w:lang w:eastAsia="da-DK"/>
        </w:rPr>
        <w:t xml:space="preserve">Sweden </w:t>
      </w:r>
      <w:r w:rsidRPr="00A404A3">
        <w:rPr>
          <w:rFonts w:ascii="Calibri" w:eastAsia="Adobe Song Std L" w:hAnsi="Calibri" w:cs="Calibri"/>
          <w:sz w:val="18"/>
          <w:szCs w:val="18"/>
          <w:lang w:eastAsia="da-DK"/>
        </w:rPr>
        <w:t xml:space="preserve">| Equality and Human Rights Commission, </w:t>
      </w:r>
      <w:r w:rsidRPr="00A404A3">
        <w:rPr>
          <w:rFonts w:ascii="Calibri" w:eastAsia="Adobe Song Std L" w:hAnsi="Calibri" w:cs="Calibri"/>
          <w:b/>
          <w:sz w:val="18"/>
          <w:szCs w:val="18"/>
          <w:lang w:eastAsia="da-DK"/>
        </w:rPr>
        <w:t>UK – Great Britain</w:t>
      </w:r>
      <w:r w:rsidRPr="00A404A3">
        <w:rPr>
          <w:rFonts w:ascii="Calibri" w:eastAsia="Adobe Song Std L" w:hAnsi="Calibri" w:cs="Calibri"/>
          <w:sz w:val="18"/>
          <w:szCs w:val="18"/>
          <w:lang w:eastAsia="da-DK"/>
        </w:rPr>
        <w:t xml:space="preserve"> | Equality Commission for Northern Ireland, </w:t>
      </w:r>
      <w:r w:rsidRPr="00A404A3">
        <w:rPr>
          <w:rFonts w:ascii="Calibri" w:eastAsia="Adobe Song Std L" w:hAnsi="Calibri" w:cs="Calibri"/>
          <w:b/>
          <w:sz w:val="18"/>
          <w:szCs w:val="18"/>
          <w:lang w:eastAsia="da-DK"/>
        </w:rPr>
        <w:t>UK – Northern Ireland</w:t>
      </w:r>
      <w:r w:rsidRPr="00A404A3">
        <w:rPr>
          <w:rFonts w:ascii="Calibri" w:eastAsia="Adobe Song Std L" w:hAnsi="Calibri" w:cs="Calibri"/>
          <w:sz w:val="18"/>
          <w:szCs w:val="18"/>
          <w:lang w:eastAsia="da-DK"/>
        </w:rPr>
        <w:t xml:space="preserve"> </w:t>
      </w:r>
    </w:p>
    <w:p w14:paraId="52A6AD06" w14:textId="77777777" w:rsidR="00CB02CD" w:rsidRPr="00A404A3" w:rsidRDefault="00CB02CD" w:rsidP="00CB02CD">
      <w:pPr>
        <w:contextualSpacing/>
        <w:jc w:val="both"/>
        <w:rPr>
          <w:rFonts w:ascii="Calibri" w:eastAsia="Adobe Song Std L" w:hAnsi="Calibri" w:cs="Calibri"/>
          <w:sz w:val="18"/>
          <w:szCs w:val="18"/>
          <w:lang w:eastAsia="da-DK"/>
        </w:rPr>
      </w:pPr>
    </w:p>
    <w:p w14:paraId="5F48B1E5" w14:textId="77777777" w:rsidR="00CB02CD" w:rsidRPr="00A404A3" w:rsidRDefault="00CB02CD" w:rsidP="00CB02CD">
      <w:pPr>
        <w:contextualSpacing/>
        <w:jc w:val="both"/>
        <w:rPr>
          <w:rFonts w:ascii="Calibri" w:eastAsia="Adobe Song Std L" w:hAnsi="Calibri" w:cs="Calibri"/>
          <w:sz w:val="18"/>
          <w:szCs w:val="18"/>
          <w:lang w:val="fr-BE" w:eastAsia="da-DK"/>
        </w:rPr>
      </w:pPr>
      <w:r w:rsidRPr="00A404A3">
        <w:rPr>
          <w:rFonts w:ascii="Calibri" w:eastAsia="Adobe Song Std L" w:hAnsi="Calibri" w:cs="Calibri"/>
          <w:sz w:val="18"/>
          <w:szCs w:val="18"/>
          <w:lang w:val="fr-BE" w:eastAsia="da-DK"/>
        </w:rPr>
        <w:t>Equinet Secretariat | Rue Royale 138 | 1000 Brussels | Belgium</w:t>
      </w:r>
    </w:p>
    <w:p w14:paraId="02DD7B8E" w14:textId="77777777" w:rsidR="00CB02CD" w:rsidRPr="00A404A3" w:rsidRDefault="00CB02CD" w:rsidP="00CB02CD">
      <w:pPr>
        <w:contextualSpacing/>
        <w:jc w:val="both"/>
        <w:rPr>
          <w:rFonts w:ascii="Calibri" w:eastAsia="Adobe Song Std L" w:hAnsi="Calibri" w:cs="Calibri"/>
          <w:sz w:val="18"/>
          <w:szCs w:val="18"/>
          <w:lang w:val="fr-BE" w:eastAsia="da-DK"/>
        </w:rPr>
      </w:pPr>
      <w:r w:rsidRPr="00A404A3">
        <w:rPr>
          <w:rFonts w:ascii="Calibri" w:eastAsia="Adobe Song Std L" w:hAnsi="Calibri" w:cs="Calibri"/>
          <w:sz w:val="18"/>
          <w:szCs w:val="18"/>
          <w:lang w:val="fr-BE" w:eastAsia="da-DK"/>
        </w:rPr>
        <w:t>info@equineteurope.org | www.equineteurope.org</w:t>
      </w:r>
    </w:p>
    <w:p w14:paraId="05D9B681" w14:textId="77777777" w:rsidR="00CB02CD" w:rsidRPr="00A404A3" w:rsidRDefault="00CB02CD" w:rsidP="00CB02CD">
      <w:pPr>
        <w:contextualSpacing/>
        <w:jc w:val="both"/>
        <w:rPr>
          <w:rFonts w:ascii="Calibri" w:eastAsia="Adobe Song Std L" w:hAnsi="Calibri" w:cs="Calibri"/>
          <w:sz w:val="18"/>
          <w:szCs w:val="18"/>
          <w:lang w:eastAsia="da-DK"/>
        </w:rPr>
      </w:pPr>
      <w:r w:rsidRPr="00A404A3">
        <w:rPr>
          <w:rFonts w:ascii="Calibri" w:eastAsia="Adobe Song Std L" w:hAnsi="Calibri" w:cs="Calibri"/>
          <w:sz w:val="18"/>
          <w:szCs w:val="18"/>
          <w:lang w:eastAsia="da-DK"/>
        </w:rPr>
        <w:t xml:space="preserve">ISBN </w:t>
      </w:r>
      <w:r w:rsidRPr="00CB02CD">
        <w:rPr>
          <w:rFonts w:ascii="Calibri" w:eastAsia="Adobe Song Std L" w:hAnsi="Calibri" w:cs="Calibri"/>
          <w:sz w:val="18"/>
          <w:szCs w:val="18"/>
          <w:lang w:eastAsia="da-DK"/>
        </w:rPr>
        <w:t>978-92-95112-06-3</w:t>
      </w:r>
      <w:r>
        <w:rPr>
          <w:rFonts w:ascii="Calibri" w:eastAsia="Adobe Song Std L" w:hAnsi="Calibri" w:cs="Calibri"/>
          <w:sz w:val="18"/>
          <w:szCs w:val="18"/>
          <w:lang w:eastAsia="da-DK"/>
        </w:rPr>
        <w:t xml:space="preserve"> (Print) / </w:t>
      </w:r>
      <w:r w:rsidRPr="00CB02CD">
        <w:rPr>
          <w:rFonts w:ascii="Calibri" w:eastAsia="Adobe Song Std L" w:hAnsi="Calibri" w:cs="Calibri"/>
          <w:sz w:val="18"/>
          <w:szCs w:val="18"/>
          <w:lang w:eastAsia="da-DK"/>
        </w:rPr>
        <w:t>978-92-95112-07-0</w:t>
      </w:r>
      <w:r>
        <w:rPr>
          <w:rFonts w:ascii="Calibri" w:eastAsia="Adobe Song Std L" w:hAnsi="Calibri" w:cs="Calibri"/>
          <w:sz w:val="18"/>
          <w:szCs w:val="18"/>
          <w:lang w:eastAsia="da-DK"/>
        </w:rPr>
        <w:t xml:space="preserve"> (Online)</w:t>
      </w:r>
    </w:p>
    <w:p w14:paraId="0C3B2406" w14:textId="77777777" w:rsidR="00CB02CD" w:rsidRDefault="00CB02CD" w:rsidP="00CB02CD">
      <w:pPr>
        <w:contextualSpacing/>
        <w:jc w:val="both"/>
        <w:rPr>
          <w:rFonts w:ascii="Calibri" w:eastAsia="Adobe Song Std L" w:hAnsi="Calibri" w:cs="Calibri"/>
          <w:sz w:val="18"/>
          <w:szCs w:val="18"/>
          <w:lang w:eastAsia="da-DK"/>
        </w:rPr>
      </w:pPr>
      <w:r w:rsidRPr="00A404A3">
        <w:rPr>
          <w:rFonts w:ascii="Calibri" w:eastAsia="Adobe Song Std L" w:hAnsi="Calibri" w:cs="Calibri"/>
          <w:sz w:val="18"/>
          <w:szCs w:val="18"/>
          <w:lang w:eastAsia="da-DK"/>
        </w:rPr>
        <w:t>© Equinet 2017</w:t>
      </w:r>
    </w:p>
    <w:p w14:paraId="53E1A447" w14:textId="77777777" w:rsidR="00CB02CD" w:rsidRPr="00A404A3" w:rsidRDefault="00CB02CD" w:rsidP="00CB02CD">
      <w:pPr>
        <w:contextualSpacing/>
        <w:jc w:val="both"/>
        <w:rPr>
          <w:rFonts w:ascii="Calibri" w:eastAsia="Adobe Song Std L" w:hAnsi="Calibri" w:cs="Calibri"/>
          <w:sz w:val="18"/>
          <w:szCs w:val="18"/>
          <w:lang w:eastAsia="da-DK"/>
        </w:rPr>
      </w:pPr>
    </w:p>
    <w:p w14:paraId="12682BE3" w14:textId="77777777" w:rsidR="00CB02CD" w:rsidRPr="00A404A3" w:rsidRDefault="00CB02CD" w:rsidP="00CB02CD">
      <w:pPr>
        <w:contextualSpacing/>
        <w:jc w:val="both"/>
        <w:rPr>
          <w:rFonts w:ascii="Calibri" w:eastAsia="Adobe Song Std L" w:hAnsi="Calibri" w:cs="Calibri"/>
          <w:sz w:val="18"/>
          <w:szCs w:val="18"/>
          <w:lang w:eastAsia="da-DK"/>
        </w:rPr>
      </w:pPr>
      <w:r w:rsidRPr="00A404A3">
        <w:rPr>
          <w:rFonts w:ascii="Calibri" w:eastAsia="Adobe Song Std L" w:hAnsi="Calibri" w:cs="Calibri"/>
          <w:sz w:val="18"/>
          <w:szCs w:val="18"/>
          <w:lang w:eastAsia="da-DK"/>
        </w:rPr>
        <w:t xml:space="preserve">Reproduction is permitted provided the source is acknowledged.  </w:t>
      </w:r>
    </w:p>
    <w:p w14:paraId="41686C38" w14:textId="77777777" w:rsidR="00CB02CD" w:rsidRDefault="00CB02CD" w:rsidP="00CB02CD">
      <w:pPr>
        <w:contextualSpacing/>
        <w:jc w:val="both"/>
        <w:rPr>
          <w:rFonts w:ascii="Calibri" w:eastAsia="Adobe Song Std L" w:hAnsi="Calibri" w:cs="Calibri"/>
          <w:sz w:val="20"/>
          <w:szCs w:val="20"/>
          <w:lang w:eastAsia="da-DK"/>
        </w:rPr>
      </w:pPr>
    </w:p>
    <w:p w14:paraId="5E0C887E" w14:textId="77777777" w:rsidR="00CB02CD" w:rsidRDefault="00CB02CD" w:rsidP="00CB02CD">
      <w:pPr>
        <w:contextualSpacing/>
        <w:jc w:val="both"/>
        <w:rPr>
          <w:rFonts w:ascii="Calibri" w:eastAsia="Adobe Song Std L" w:hAnsi="Calibri" w:cs="Calibri"/>
          <w:sz w:val="20"/>
          <w:szCs w:val="20"/>
          <w:lang w:eastAsia="da-DK"/>
        </w:rPr>
      </w:pPr>
      <w:r w:rsidRPr="001C1949">
        <w:rPr>
          <w:rFonts w:ascii="Calibri" w:eastAsia="Adobe Song Std L" w:hAnsi="Calibri" w:cs="Calibri"/>
          <w:sz w:val="20"/>
          <w:szCs w:val="20"/>
          <w:lang w:eastAsia="da-DK"/>
        </w:rPr>
        <w:t xml:space="preserve">This is a publication of Equinet’s </w:t>
      </w:r>
      <w:r>
        <w:rPr>
          <w:rFonts w:ascii="Calibri" w:eastAsia="Adobe Song Std L" w:hAnsi="Calibri" w:cs="Calibri"/>
          <w:sz w:val="20"/>
          <w:szCs w:val="20"/>
          <w:lang w:eastAsia="da-DK"/>
        </w:rPr>
        <w:t>Cluster on Strategic Litigation</w:t>
      </w:r>
      <w:r w:rsidRPr="001C1949">
        <w:rPr>
          <w:rFonts w:ascii="Calibri" w:eastAsia="Adobe Song Std L" w:hAnsi="Calibri" w:cs="Calibri"/>
          <w:sz w:val="20"/>
          <w:szCs w:val="20"/>
          <w:lang w:eastAsia="da-DK"/>
        </w:rPr>
        <w:t xml:space="preserve">, prepared based on the information, contributions and comments provided by members of the </w:t>
      </w:r>
      <w:r>
        <w:rPr>
          <w:rFonts w:ascii="Calibri" w:eastAsia="Adobe Song Std L" w:hAnsi="Calibri" w:cs="Calibri"/>
          <w:sz w:val="20"/>
          <w:szCs w:val="20"/>
          <w:lang w:eastAsia="da-DK"/>
        </w:rPr>
        <w:t>Cluster.</w:t>
      </w:r>
      <w:r w:rsidRPr="001C1949">
        <w:rPr>
          <w:rFonts w:ascii="Calibri" w:eastAsia="Adobe Song Std L" w:hAnsi="Calibri" w:cs="Calibri"/>
          <w:sz w:val="20"/>
          <w:szCs w:val="20"/>
          <w:lang w:eastAsia="da-DK"/>
        </w:rPr>
        <w:t xml:space="preserve"> The views expressed in it belong to the authors and neither Equinet nor the European Commission are liable for any use that may be made of the information contained therein. This information does not necessarily reflect the position or opinion of the European Commission</w:t>
      </w:r>
      <w:r w:rsidR="002275C5">
        <w:rPr>
          <w:rFonts w:ascii="Calibri" w:eastAsia="Adobe Song Std L" w:hAnsi="Calibri" w:cs="Calibri"/>
          <w:sz w:val="20"/>
          <w:szCs w:val="20"/>
          <w:lang w:eastAsia="da-DK"/>
        </w:rPr>
        <w:t xml:space="preserve"> or individual equality bodies</w:t>
      </w:r>
      <w:r w:rsidRPr="001C1949">
        <w:rPr>
          <w:rFonts w:ascii="Calibri" w:eastAsia="Adobe Song Std L" w:hAnsi="Calibri" w:cs="Calibri"/>
          <w:sz w:val="20"/>
          <w:szCs w:val="20"/>
          <w:lang w:eastAsia="da-DK"/>
        </w:rPr>
        <w:t>.</w:t>
      </w:r>
    </w:p>
    <w:p w14:paraId="21DD360C" w14:textId="77777777" w:rsidR="00CB02CD" w:rsidRDefault="00CB02CD" w:rsidP="00CB02CD">
      <w:pPr>
        <w:contextualSpacing/>
        <w:jc w:val="both"/>
        <w:rPr>
          <w:rFonts w:ascii="Calibri" w:eastAsia="Adobe Song Std L" w:hAnsi="Calibri" w:cs="Calibri"/>
          <w:sz w:val="18"/>
          <w:szCs w:val="18"/>
          <w:lang w:eastAsia="da-DK"/>
        </w:rPr>
      </w:pPr>
    </w:p>
    <w:p w14:paraId="3E6F2FE5" w14:textId="77777777" w:rsidR="00CB02CD" w:rsidRDefault="00CB02CD" w:rsidP="00CB02CD">
      <w:pPr>
        <w:contextualSpacing/>
        <w:jc w:val="both"/>
        <w:rPr>
          <w:rFonts w:cs="Arial"/>
          <w:b/>
          <w:sz w:val="24"/>
          <w:szCs w:val="24"/>
        </w:rPr>
      </w:pPr>
      <w:r>
        <w:rPr>
          <w:noProof/>
          <w:lang w:eastAsia="en-GB"/>
        </w:rPr>
        <mc:AlternateContent>
          <mc:Choice Requires="wps">
            <w:drawing>
              <wp:anchor distT="45720" distB="45720" distL="114300" distR="114300" simplePos="0" relativeHeight="251659264" behindDoc="0" locked="0" layoutInCell="1" allowOverlap="1" wp14:anchorId="59790632" wp14:editId="12EF8B07">
                <wp:simplePos x="0" y="0"/>
                <wp:positionH relativeFrom="column">
                  <wp:posOffset>3962400</wp:posOffset>
                </wp:positionH>
                <wp:positionV relativeFrom="paragraph">
                  <wp:posOffset>111125</wp:posOffset>
                </wp:positionV>
                <wp:extent cx="1752600" cy="581025"/>
                <wp:effectExtent l="0" t="0" r="0" b="952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81025"/>
                        </a:xfrm>
                        <a:prstGeom prst="rect">
                          <a:avLst/>
                        </a:prstGeom>
                        <a:solidFill>
                          <a:srgbClr val="FFFFFF"/>
                        </a:solidFill>
                        <a:ln w="9525">
                          <a:noFill/>
                          <a:miter lim="800000"/>
                          <a:headEnd/>
                          <a:tailEnd/>
                        </a:ln>
                      </wps:spPr>
                      <wps:txbx>
                        <w:txbxContent>
                          <w:p w14:paraId="222866FA" w14:textId="77777777" w:rsidR="00A82F43" w:rsidRPr="00982ADF" w:rsidRDefault="00A82F43" w:rsidP="00CB02CD">
                            <w:pPr>
                              <w:pStyle w:val="Footer"/>
                              <w:rPr>
                                <w:rFonts w:ascii="Calibri" w:hAnsi="Calibri" w:cs="Calibri"/>
                                <w:sz w:val="20"/>
                                <w:szCs w:val="20"/>
                              </w:rPr>
                            </w:pPr>
                            <w:r w:rsidRPr="00982ADF">
                              <w:rPr>
                                <w:rFonts w:ascii="Calibri" w:hAnsi="Calibri" w:cs="Calibri"/>
                                <w:sz w:val="18"/>
                                <w:szCs w:val="18"/>
                              </w:rPr>
                              <w:t>Co-funded by the Rights, Equality and Citizenship Programme of the European Union</w:t>
                            </w:r>
                          </w:p>
                          <w:p w14:paraId="03033B5F" w14:textId="77777777" w:rsidR="00A82F43" w:rsidRPr="005640EE" w:rsidRDefault="00A82F43" w:rsidP="00CB02CD">
                            <w:pPr>
                              <w:rPr>
                                <w:rFonts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90632" id="_x0000_t202" coordsize="21600,21600" o:spt="202" path="m,l,21600r21600,l21600,xe">
                <v:stroke joinstyle="miter"/>
                <v:path gradientshapeok="t" o:connecttype="rect"/>
              </v:shapetype>
              <v:shape id="Text Box 27" o:spid="_x0000_s1026" type="#_x0000_t202" style="position:absolute;left:0;text-align:left;margin-left:312pt;margin-top:8.75pt;width:138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" stroked="f">
                <v:textbox>
                  <w:txbxContent>
                    <w:p w14:paraId="222866FA" w14:textId="77777777" w:rsidR="00A82F43" w:rsidRPr="00982ADF" w:rsidRDefault="00A82F43" w:rsidP="00CB02CD">
                      <w:pPr>
                        <w:pStyle w:val="Footer"/>
                        <w:rPr>
                          <w:rFonts w:ascii="Calibri" w:hAnsi="Calibri" w:cs="Calibri"/>
                          <w:sz w:val="20"/>
                          <w:szCs w:val="20"/>
                        </w:rPr>
                      </w:pPr>
                      <w:r w:rsidRPr="00982ADF">
                        <w:rPr>
                          <w:rFonts w:ascii="Calibri" w:hAnsi="Calibri" w:cs="Calibri"/>
                          <w:sz w:val="18"/>
                          <w:szCs w:val="18"/>
                        </w:rPr>
                        <w:t>Co-funded by the Rights, Equality and Citizenship Programme of the European Union</w:t>
                      </w:r>
                    </w:p>
                    <w:p w14:paraId="03033B5F" w14:textId="77777777" w:rsidR="00A82F43" w:rsidRPr="005640EE" w:rsidRDefault="00A82F43" w:rsidP="00CB02CD">
                      <w:pPr>
                        <w:rPr>
                          <w:rFonts w:cs="Calibri"/>
                          <w:sz w:val="18"/>
                          <w:szCs w:val="18"/>
                        </w:rPr>
                      </w:pPr>
                    </w:p>
                  </w:txbxContent>
                </v:textbox>
                <w10:wrap type="square"/>
              </v:shape>
            </w:pict>
          </mc:Fallback>
        </mc:AlternateContent>
      </w:r>
      <w:r>
        <w:rPr>
          <w:rFonts w:ascii="Cambria" w:eastAsia="MS Mincho" w:hAnsi="Cambria"/>
          <w:noProof/>
          <w:lang w:eastAsia="en-GB"/>
        </w:rPr>
        <w:drawing>
          <wp:anchor distT="0" distB="0" distL="114300" distR="114300" simplePos="0" relativeHeight="251660288" behindDoc="0" locked="0" layoutInCell="1" allowOverlap="1" wp14:anchorId="0AB53D60" wp14:editId="66003755">
            <wp:simplePos x="0" y="0"/>
            <wp:positionH relativeFrom="column">
              <wp:posOffset>3238500</wp:posOffset>
            </wp:positionH>
            <wp:positionV relativeFrom="paragraph">
              <wp:posOffset>135890</wp:posOffset>
            </wp:positionV>
            <wp:extent cx="647700" cy="455295"/>
            <wp:effectExtent l="0" t="0" r="0"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lag  - sta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45529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MS Mincho" w:hAnsi="Cambria"/>
        </w:rPr>
        <w:t xml:space="preserve">       </w:t>
      </w:r>
      <w:r>
        <w:rPr>
          <w:rFonts w:cs="Arial"/>
          <w:b/>
          <w:noProof/>
          <w:sz w:val="24"/>
          <w:szCs w:val="24"/>
          <w:lang w:eastAsia="en-GB"/>
        </w:rPr>
        <w:drawing>
          <wp:inline distT="0" distB="0" distL="0" distR="0" wp14:anchorId="31579F35" wp14:editId="09837A3E">
            <wp:extent cx="2257425" cy="7205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_RGB -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5582" cy="719919"/>
                    </a:xfrm>
                    <a:prstGeom prst="rect">
                      <a:avLst/>
                    </a:prstGeom>
                  </pic:spPr>
                </pic:pic>
              </a:graphicData>
            </a:graphic>
          </wp:inline>
        </w:drawing>
      </w:r>
      <w:r>
        <w:rPr>
          <w:rFonts w:cs="Arial"/>
          <w:b/>
          <w:sz w:val="24"/>
          <w:szCs w:val="24"/>
        </w:rPr>
        <w:br w:type="page"/>
      </w:r>
    </w:p>
    <w:p w14:paraId="4A8D2D3F" w14:textId="77777777" w:rsidR="00731730" w:rsidRDefault="00731730" w:rsidP="00731730">
      <w:pPr>
        <w:jc w:val="both"/>
        <w:rPr>
          <w:rFonts w:cs="Arial"/>
          <w:b/>
          <w:sz w:val="24"/>
          <w:szCs w:val="24"/>
        </w:rPr>
      </w:pPr>
      <w:r>
        <w:rPr>
          <w:rFonts w:cs="Arial"/>
          <w:b/>
          <w:sz w:val="24"/>
          <w:szCs w:val="24"/>
        </w:rPr>
        <w:lastRenderedPageBreak/>
        <w:t>TABLE OF CONTENTS</w:t>
      </w:r>
    </w:p>
    <w:p w14:paraId="250DA78D" w14:textId="77777777" w:rsidR="00D27A66" w:rsidRDefault="00D27A66" w:rsidP="00731730">
      <w:pPr>
        <w:jc w:val="both"/>
        <w:rPr>
          <w:rFonts w:cs="Arial"/>
          <w:b/>
          <w:sz w:val="24"/>
          <w:szCs w:val="24"/>
        </w:rPr>
      </w:pPr>
    </w:p>
    <w:p w14:paraId="17E181A6" w14:textId="77777777" w:rsidR="00B529A0" w:rsidRDefault="00B529A0" w:rsidP="00B529A0">
      <w:pPr>
        <w:tabs>
          <w:tab w:val="left" w:pos="7950"/>
        </w:tabs>
        <w:spacing w:after="0" w:line="240" w:lineRule="auto"/>
        <w:rPr>
          <w:rFonts w:cs="Arial"/>
          <w:b/>
          <w:sz w:val="24"/>
          <w:szCs w:val="24"/>
        </w:rPr>
      </w:pPr>
      <w:r>
        <w:rPr>
          <w:rFonts w:cs="Arial"/>
          <w:b/>
          <w:sz w:val="24"/>
          <w:szCs w:val="24"/>
        </w:rPr>
        <w:t xml:space="preserve">Introduction                                                                                                                           </w:t>
      </w:r>
      <w:r w:rsidRPr="00B529A0">
        <w:rPr>
          <w:rFonts w:cs="Arial"/>
          <w:sz w:val="24"/>
          <w:szCs w:val="24"/>
        </w:rPr>
        <w:t>4</w:t>
      </w:r>
    </w:p>
    <w:p w14:paraId="41378456" w14:textId="77777777" w:rsidR="00B529A0" w:rsidRDefault="00B529A0">
      <w:pPr>
        <w:spacing w:after="0" w:line="240" w:lineRule="auto"/>
        <w:rPr>
          <w:rFonts w:cs="Arial"/>
          <w:b/>
          <w:sz w:val="24"/>
          <w:szCs w:val="24"/>
        </w:rPr>
      </w:pPr>
    </w:p>
    <w:p w14:paraId="09DCB894" w14:textId="77777777" w:rsidR="00731730" w:rsidRDefault="008D141E">
      <w:pPr>
        <w:spacing w:after="0" w:line="240" w:lineRule="auto"/>
        <w:rPr>
          <w:rFonts w:cs="Arial"/>
          <w:b/>
          <w:sz w:val="24"/>
          <w:szCs w:val="24"/>
        </w:rPr>
      </w:pPr>
      <w:r>
        <w:rPr>
          <w:rFonts w:cs="Arial"/>
          <w:b/>
          <w:sz w:val="24"/>
          <w:szCs w:val="24"/>
        </w:rPr>
        <w:t>Chapter 1:  What is Strategic Litigation</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B529A0">
        <w:rPr>
          <w:rFonts w:cs="Arial"/>
          <w:sz w:val="24"/>
          <w:szCs w:val="24"/>
        </w:rPr>
        <w:t>5</w:t>
      </w:r>
    </w:p>
    <w:p w14:paraId="73A1B75E" w14:textId="77777777" w:rsidR="008D141E" w:rsidRDefault="008D141E">
      <w:pPr>
        <w:spacing w:after="0" w:line="240" w:lineRule="auto"/>
        <w:rPr>
          <w:rFonts w:cs="Arial"/>
          <w:b/>
          <w:sz w:val="24"/>
          <w:szCs w:val="24"/>
        </w:rPr>
      </w:pPr>
    </w:p>
    <w:p w14:paraId="1E04746E" w14:textId="77777777" w:rsidR="008D141E" w:rsidRDefault="008D141E">
      <w:pPr>
        <w:spacing w:after="0" w:line="240" w:lineRule="auto"/>
        <w:rPr>
          <w:rFonts w:cs="Arial"/>
          <w:sz w:val="24"/>
          <w:szCs w:val="24"/>
        </w:rPr>
      </w:pPr>
      <w:r>
        <w:rPr>
          <w:rFonts w:cs="Arial"/>
          <w:b/>
          <w:sz w:val="24"/>
          <w:szCs w:val="24"/>
        </w:rPr>
        <w:t>Chapter 2: Principles of Case Selection</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B529A0">
        <w:rPr>
          <w:rFonts w:cs="Arial"/>
          <w:sz w:val="24"/>
          <w:szCs w:val="24"/>
        </w:rPr>
        <w:t>12</w:t>
      </w:r>
      <w:r w:rsidRPr="008D141E">
        <w:rPr>
          <w:rFonts w:cs="Arial"/>
          <w:sz w:val="24"/>
          <w:szCs w:val="24"/>
        </w:rPr>
        <w:tab/>
      </w:r>
    </w:p>
    <w:p w14:paraId="2BF36D5D" w14:textId="77777777" w:rsidR="008D141E" w:rsidRDefault="008D141E">
      <w:pPr>
        <w:spacing w:after="0" w:line="240" w:lineRule="auto"/>
        <w:rPr>
          <w:rFonts w:cs="Arial"/>
          <w:sz w:val="24"/>
          <w:szCs w:val="24"/>
        </w:rPr>
      </w:pPr>
    </w:p>
    <w:p w14:paraId="34B7549D" w14:textId="77777777" w:rsidR="008D141E" w:rsidRDefault="008D141E">
      <w:pPr>
        <w:spacing w:after="0" w:line="240" w:lineRule="auto"/>
        <w:rPr>
          <w:rFonts w:cs="Arial"/>
          <w:b/>
          <w:sz w:val="24"/>
          <w:szCs w:val="24"/>
        </w:rPr>
      </w:pPr>
      <w:r w:rsidRPr="008D141E">
        <w:rPr>
          <w:rFonts w:cs="Arial"/>
          <w:b/>
          <w:sz w:val="24"/>
          <w:szCs w:val="24"/>
        </w:rPr>
        <w:t xml:space="preserve">Chapter 3: </w:t>
      </w:r>
      <w:r>
        <w:rPr>
          <w:rFonts w:cs="Arial"/>
          <w:b/>
          <w:sz w:val="24"/>
          <w:szCs w:val="24"/>
        </w:rPr>
        <w:t>Methods</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B529A0">
        <w:rPr>
          <w:rFonts w:cs="Arial"/>
          <w:sz w:val="24"/>
          <w:szCs w:val="24"/>
        </w:rPr>
        <w:t>18</w:t>
      </w:r>
    </w:p>
    <w:p w14:paraId="7835DDFA" w14:textId="77777777" w:rsidR="008D141E" w:rsidRDefault="008D141E">
      <w:pPr>
        <w:spacing w:after="0" w:line="240" w:lineRule="auto"/>
        <w:rPr>
          <w:rFonts w:cs="Arial"/>
          <w:b/>
          <w:sz w:val="24"/>
          <w:szCs w:val="24"/>
        </w:rPr>
      </w:pPr>
    </w:p>
    <w:p w14:paraId="4591C2F2" w14:textId="77777777" w:rsidR="008D141E" w:rsidRDefault="008D141E">
      <w:pPr>
        <w:spacing w:after="0" w:line="240" w:lineRule="auto"/>
        <w:rPr>
          <w:rFonts w:cs="Arial"/>
          <w:b/>
          <w:sz w:val="24"/>
          <w:szCs w:val="24"/>
        </w:rPr>
      </w:pPr>
      <w:r>
        <w:rPr>
          <w:rFonts w:cs="Arial"/>
          <w:b/>
          <w:sz w:val="24"/>
          <w:szCs w:val="24"/>
        </w:rPr>
        <w:t>Chapter 4: Risks of Strategic Litigation</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B529A0">
        <w:rPr>
          <w:rFonts w:cs="Arial"/>
          <w:sz w:val="24"/>
          <w:szCs w:val="24"/>
        </w:rPr>
        <w:t>25</w:t>
      </w:r>
      <w:r w:rsidRPr="008D141E">
        <w:rPr>
          <w:rFonts w:cs="Arial"/>
          <w:b/>
          <w:sz w:val="24"/>
          <w:szCs w:val="24"/>
        </w:rPr>
        <w:tab/>
      </w:r>
    </w:p>
    <w:p w14:paraId="03F092F6" w14:textId="77777777" w:rsidR="008D141E" w:rsidRDefault="008D141E">
      <w:pPr>
        <w:spacing w:after="0" w:line="240" w:lineRule="auto"/>
        <w:rPr>
          <w:rFonts w:cs="Arial"/>
          <w:b/>
          <w:sz w:val="24"/>
          <w:szCs w:val="24"/>
        </w:rPr>
      </w:pPr>
    </w:p>
    <w:p w14:paraId="3F42A110" w14:textId="77777777" w:rsidR="008D141E" w:rsidRDefault="008D141E">
      <w:pPr>
        <w:spacing w:after="0" w:line="240" w:lineRule="auto"/>
        <w:rPr>
          <w:rFonts w:cs="Arial"/>
          <w:b/>
          <w:sz w:val="24"/>
          <w:szCs w:val="24"/>
        </w:rPr>
      </w:pPr>
      <w:r>
        <w:rPr>
          <w:rFonts w:cs="Arial"/>
          <w:b/>
          <w:sz w:val="24"/>
          <w:szCs w:val="24"/>
        </w:rPr>
        <w:t>Chapter 5: Sourcing Cases</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B529A0">
        <w:rPr>
          <w:rFonts w:cs="Arial"/>
          <w:sz w:val="24"/>
          <w:szCs w:val="24"/>
        </w:rPr>
        <w:t>29</w:t>
      </w:r>
      <w:r w:rsidRPr="008D141E">
        <w:rPr>
          <w:rFonts w:cs="Arial"/>
          <w:b/>
          <w:sz w:val="24"/>
          <w:szCs w:val="24"/>
        </w:rPr>
        <w:tab/>
      </w:r>
    </w:p>
    <w:p w14:paraId="7A29B767" w14:textId="77777777" w:rsidR="008D141E" w:rsidRDefault="008D141E">
      <w:pPr>
        <w:spacing w:after="0" w:line="240" w:lineRule="auto"/>
        <w:rPr>
          <w:rFonts w:cs="Arial"/>
          <w:b/>
          <w:sz w:val="24"/>
          <w:szCs w:val="24"/>
        </w:rPr>
      </w:pPr>
    </w:p>
    <w:p w14:paraId="2D6DED65" w14:textId="77777777" w:rsidR="008D141E" w:rsidRPr="008D141E" w:rsidRDefault="008D141E">
      <w:pPr>
        <w:spacing w:after="0" w:line="240" w:lineRule="auto"/>
        <w:rPr>
          <w:rFonts w:cs="Arial"/>
          <w:b/>
          <w:sz w:val="24"/>
          <w:szCs w:val="24"/>
        </w:rPr>
      </w:pPr>
      <w:r>
        <w:rPr>
          <w:rFonts w:cs="Arial"/>
          <w:b/>
          <w:sz w:val="24"/>
          <w:szCs w:val="24"/>
        </w:rPr>
        <w:t>Chapter 6: Media Work and Follow-up Activities</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B529A0">
        <w:rPr>
          <w:rFonts w:cs="Arial"/>
          <w:sz w:val="24"/>
          <w:szCs w:val="24"/>
        </w:rPr>
        <w:t>31</w:t>
      </w:r>
      <w:r w:rsidRPr="008D141E">
        <w:rPr>
          <w:rFonts w:cs="Arial"/>
          <w:b/>
          <w:sz w:val="24"/>
          <w:szCs w:val="24"/>
        </w:rPr>
        <w:tab/>
      </w:r>
    </w:p>
    <w:p w14:paraId="6D3902A5" w14:textId="77777777" w:rsidR="008D141E" w:rsidRDefault="008D141E">
      <w:pPr>
        <w:spacing w:after="0" w:line="240" w:lineRule="auto"/>
        <w:rPr>
          <w:rFonts w:cs="Arial"/>
          <w:b/>
          <w:sz w:val="24"/>
          <w:szCs w:val="24"/>
        </w:rPr>
      </w:pPr>
    </w:p>
    <w:p w14:paraId="3F2774AB" w14:textId="77777777" w:rsidR="008D141E" w:rsidRDefault="008D141E">
      <w:pPr>
        <w:spacing w:after="0" w:line="240" w:lineRule="auto"/>
        <w:rPr>
          <w:rFonts w:cs="Arial"/>
          <w:b/>
          <w:sz w:val="24"/>
          <w:szCs w:val="24"/>
        </w:rPr>
      </w:pPr>
      <w:r>
        <w:rPr>
          <w:rFonts w:cs="Arial"/>
          <w:b/>
          <w:sz w:val="24"/>
          <w:szCs w:val="24"/>
        </w:rPr>
        <w:br w:type="page"/>
      </w:r>
    </w:p>
    <w:p w14:paraId="67B3A05B" w14:textId="77777777" w:rsidR="00731730" w:rsidRPr="00683B48" w:rsidRDefault="00731730" w:rsidP="00731730">
      <w:pPr>
        <w:jc w:val="both"/>
        <w:rPr>
          <w:rFonts w:cs="Arial"/>
          <w:b/>
          <w:sz w:val="24"/>
          <w:szCs w:val="24"/>
        </w:rPr>
      </w:pPr>
      <w:r>
        <w:rPr>
          <w:rFonts w:cs="Arial"/>
          <w:b/>
          <w:sz w:val="24"/>
          <w:szCs w:val="24"/>
        </w:rPr>
        <w:lastRenderedPageBreak/>
        <w:t>ACKNOWLEDGEMENTS</w:t>
      </w:r>
    </w:p>
    <w:p w14:paraId="711BB3E6" w14:textId="77777777" w:rsidR="00731730" w:rsidRPr="00731730" w:rsidRDefault="00731730" w:rsidP="00230369">
      <w:pPr>
        <w:spacing w:after="0"/>
        <w:rPr>
          <w:rFonts w:eastAsia="Adobe Song Std L" w:cs="Arial"/>
          <w:b/>
        </w:rPr>
      </w:pPr>
    </w:p>
    <w:p w14:paraId="4ED16D86" w14:textId="77777777" w:rsidR="00230369" w:rsidRPr="002B6881" w:rsidRDefault="00230369" w:rsidP="00230369">
      <w:pPr>
        <w:spacing w:after="0"/>
        <w:rPr>
          <w:rFonts w:eastAsia="Adobe Song Std L" w:cs="Arial"/>
        </w:rPr>
      </w:pPr>
      <w:r w:rsidRPr="0001796C">
        <w:rPr>
          <w:rFonts w:eastAsia="Adobe Song Std L" w:cs="Arial"/>
        </w:rPr>
        <w:t>This</w:t>
      </w:r>
      <w:r>
        <w:rPr>
          <w:rFonts w:eastAsia="Adobe Song Std L" w:cs="Arial"/>
        </w:rPr>
        <w:t xml:space="preserve"> Handbook was prepared by the members of the Equinet Cluster on Strategic Litigation. </w:t>
      </w:r>
    </w:p>
    <w:p w14:paraId="536387F8" w14:textId="77777777" w:rsidR="00230369" w:rsidRDefault="00230369" w:rsidP="00230369">
      <w:pPr>
        <w:spacing w:after="0"/>
        <w:rPr>
          <w:rFonts w:eastAsia="Adobe Song Std L" w:cs="Arial"/>
        </w:rPr>
      </w:pPr>
    </w:p>
    <w:p w14:paraId="2C640A37" w14:textId="77777777" w:rsidR="00230369" w:rsidRPr="00AA535A" w:rsidRDefault="00230369" w:rsidP="00230369">
      <w:pPr>
        <w:shd w:val="clear" w:color="auto" w:fill="F2F2F2" w:themeFill="background1" w:themeFillShade="F2"/>
        <w:spacing w:line="240" w:lineRule="auto"/>
        <w:jc w:val="both"/>
        <w:rPr>
          <w:rFonts w:eastAsiaTheme="majorEastAsia" w:cstheme="minorHAnsi"/>
          <w:b/>
          <w:color w:val="365F91" w:themeColor="accent1" w:themeShade="BF"/>
          <w:lang w:val="en-US"/>
        </w:rPr>
      </w:pPr>
      <w:r w:rsidRPr="00EE3741">
        <w:rPr>
          <w:rFonts w:eastAsiaTheme="majorEastAsia" w:cstheme="minorHAnsi"/>
          <w:b/>
          <w:lang w:val="en-US"/>
        </w:rPr>
        <w:t xml:space="preserve">List of </w:t>
      </w:r>
      <w:r w:rsidR="006D2A34">
        <w:rPr>
          <w:rFonts w:eastAsiaTheme="majorEastAsia" w:cstheme="minorHAnsi"/>
          <w:b/>
          <w:lang w:val="en-US"/>
        </w:rPr>
        <w:t>Cluster Members</w:t>
      </w:r>
      <w:r w:rsidRPr="00AA535A">
        <w:rPr>
          <w:rFonts w:eastAsiaTheme="majorEastAsia" w:cstheme="minorHAnsi"/>
          <w:b/>
          <w:color w:val="365F91" w:themeColor="accent1" w:themeShade="BF"/>
          <w:lang w:val="en-US"/>
        </w:rPr>
        <w:tab/>
        <w:t xml:space="preserve"> </w:t>
      </w:r>
      <w:r>
        <w:rPr>
          <w:rFonts w:eastAsiaTheme="majorEastAsia" w:cstheme="minorHAnsi"/>
          <w:b/>
          <w:color w:val="365F91" w:themeColor="accent1" w:themeShade="BF"/>
          <w:lang w:val="en-US"/>
        </w:rPr>
        <w:br/>
      </w:r>
      <w:r w:rsidRPr="00FA2D9F">
        <w:rPr>
          <w:sz w:val="18"/>
          <w:szCs w:val="18"/>
          <w:lang w:val="en-US"/>
        </w:rPr>
        <w:br/>
      </w:r>
      <w:r w:rsidRPr="00AA535A">
        <w:rPr>
          <w:lang w:val="en-US"/>
        </w:rPr>
        <w:t xml:space="preserve">Ombud for Equal Treatment, </w:t>
      </w:r>
      <w:r w:rsidRPr="00AA535A">
        <w:rPr>
          <w:b/>
          <w:color w:val="A50021"/>
          <w:lang w:val="en-US"/>
        </w:rPr>
        <w:t>Austria</w:t>
      </w:r>
      <w:r w:rsidRPr="00AA535A">
        <w:rPr>
          <w:lang w:val="en-US"/>
        </w:rPr>
        <w:t xml:space="preserve">; Office of the Ombudswoman, </w:t>
      </w:r>
      <w:r w:rsidRPr="00AA535A">
        <w:rPr>
          <w:b/>
          <w:color w:val="A50021"/>
          <w:lang w:val="en-US"/>
        </w:rPr>
        <w:t>Croatia</w:t>
      </w:r>
      <w:r w:rsidRPr="00AA535A">
        <w:rPr>
          <w:lang w:val="en-US"/>
        </w:rPr>
        <w:t xml:space="preserve">; Public Defender of Rights, </w:t>
      </w:r>
      <w:r w:rsidRPr="00AA535A">
        <w:rPr>
          <w:b/>
          <w:color w:val="A50021"/>
          <w:lang w:val="en-US"/>
        </w:rPr>
        <w:t>Czech Republic</w:t>
      </w:r>
      <w:r w:rsidRPr="00AA535A">
        <w:rPr>
          <w:lang w:val="en-US"/>
        </w:rPr>
        <w:t xml:space="preserve">; </w:t>
      </w:r>
      <w:r w:rsidR="006D2A34">
        <w:rPr>
          <w:lang w:val="en-US"/>
        </w:rPr>
        <w:t>Gender Equality and Equal Treatment Commissioner</w:t>
      </w:r>
      <w:r w:rsidRPr="00AA535A">
        <w:rPr>
          <w:lang w:val="en-US"/>
        </w:rPr>
        <w:t xml:space="preserve">, </w:t>
      </w:r>
      <w:r w:rsidR="006D2A34">
        <w:rPr>
          <w:b/>
          <w:color w:val="A50021"/>
          <w:lang w:val="en-US"/>
        </w:rPr>
        <w:t>Estonia</w:t>
      </w:r>
      <w:r w:rsidRPr="00AA535A">
        <w:rPr>
          <w:lang w:val="en-US"/>
        </w:rPr>
        <w:t xml:space="preserve">; </w:t>
      </w:r>
      <w:r w:rsidR="006D2A34">
        <w:rPr>
          <w:lang w:val="en-US"/>
        </w:rPr>
        <w:t>Non-Discrimination Ombudsman</w:t>
      </w:r>
      <w:r w:rsidRPr="00AA535A">
        <w:rPr>
          <w:lang w:val="en-US"/>
        </w:rPr>
        <w:t xml:space="preserve">, </w:t>
      </w:r>
      <w:r w:rsidRPr="00AA535A">
        <w:rPr>
          <w:b/>
          <w:color w:val="A50021"/>
          <w:lang w:val="en-US"/>
        </w:rPr>
        <w:t>F</w:t>
      </w:r>
      <w:r w:rsidR="006D2A34">
        <w:rPr>
          <w:b/>
          <w:color w:val="A50021"/>
          <w:lang w:val="en-US"/>
        </w:rPr>
        <w:t>inland</w:t>
      </w:r>
      <w:r w:rsidRPr="00AA535A">
        <w:rPr>
          <w:lang w:val="en-US"/>
        </w:rPr>
        <w:t xml:space="preserve">; Federal Anti-Discrimination Agency (FADA), </w:t>
      </w:r>
      <w:r w:rsidRPr="00AA535A">
        <w:rPr>
          <w:b/>
          <w:color w:val="A50021"/>
          <w:lang w:val="en-US"/>
        </w:rPr>
        <w:t>Germany</w:t>
      </w:r>
      <w:r w:rsidRPr="00AA535A">
        <w:rPr>
          <w:lang w:val="en-US"/>
        </w:rPr>
        <w:t xml:space="preserve">; </w:t>
      </w:r>
      <w:r w:rsidR="006D2A34">
        <w:rPr>
          <w:lang w:val="en-US"/>
        </w:rPr>
        <w:t>Greek Ombudsman</w:t>
      </w:r>
      <w:r w:rsidRPr="00AA535A">
        <w:rPr>
          <w:lang w:val="en-US"/>
        </w:rPr>
        <w:t xml:space="preserve">, </w:t>
      </w:r>
      <w:r w:rsidR="006D2A34">
        <w:rPr>
          <w:b/>
          <w:color w:val="A50021"/>
          <w:lang w:val="en-US"/>
        </w:rPr>
        <w:t>Greece</w:t>
      </w:r>
      <w:r w:rsidRPr="00AA535A">
        <w:rPr>
          <w:lang w:val="en-US"/>
        </w:rPr>
        <w:t>;</w:t>
      </w:r>
      <w:r w:rsidR="006D2A34">
        <w:rPr>
          <w:lang w:val="en-US"/>
        </w:rPr>
        <w:t xml:space="preserve"> Commissioner for Human Rights</w:t>
      </w:r>
      <w:r w:rsidRPr="00AA535A">
        <w:rPr>
          <w:lang w:val="en-US"/>
        </w:rPr>
        <w:t xml:space="preserve">, </w:t>
      </w:r>
      <w:r w:rsidR="006D2A34">
        <w:rPr>
          <w:b/>
          <w:color w:val="A50021"/>
          <w:lang w:val="en-US"/>
        </w:rPr>
        <w:t>Poland</w:t>
      </w:r>
      <w:r w:rsidRPr="00AA535A">
        <w:rPr>
          <w:lang w:val="en-US"/>
        </w:rPr>
        <w:t xml:space="preserve">; Commissioner for Protection of Equality, </w:t>
      </w:r>
      <w:r w:rsidRPr="00AA535A">
        <w:rPr>
          <w:b/>
          <w:color w:val="A50021"/>
          <w:lang w:val="en-US"/>
        </w:rPr>
        <w:t>Serbia</w:t>
      </w:r>
      <w:r w:rsidRPr="00AA535A">
        <w:rPr>
          <w:lang w:val="en-US"/>
        </w:rPr>
        <w:t xml:space="preserve">; Equality Ombudsman, </w:t>
      </w:r>
      <w:r w:rsidRPr="00AA535A">
        <w:rPr>
          <w:b/>
          <w:color w:val="A50021"/>
          <w:lang w:val="en-US"/>
        </w:rPr>
        <w:t>Sweden</w:t>
      </w:r>
      <w:r w:rsidR="006D2A34">
        <w:rPr>
          <w:b/>
          <w:color w:val="A50021"/>
          <w:lang w:val="en-US"/>
        </w:rPr>
        <w:t xml:space="preserve">; </w:t>
      </w:r>
      <w:r w:rsidR="006D2A34" w:rsidRPr="00AA535A">
        <w:rPr>
          <w:lang w:val="en-US"/>
        </w:rPr>
        <w:t xml:space="preserve">Equality and Human Rights Commission, </w:t>
      </w:r>
      <w:r w:rsidR="006D2A34" w:rsidRPr="006D2A34">
        <w:rPr>
          <w:b/>
          <w:color w:val="C00000"/>
          <w:lang w:val="en-US"/>
        </w:rPr>
        <w:t xml:space="preserve">UK - </w:t>
      </w:r>
      <w:r w:rsidR="006D2A34" w:rsidRPr="0059683E">
        <w:rPr>
          <w:b/>
          <w:color w:val="C00000"/>
          <w:lang w:val="en-US"/>
        </w:rPr>
        <w:t>Great Britain</w:t>
      </w:r>
      <w:r w:rsidR="006D2A34" w:rsidRPr="00AA535A">
        <w:rPr>
          <w:lang w:val="en-US"/>
        </w:rPr>
        <w:t>;</w:t>
      </w:r>
      <w:r w:rsidR="006D2A34">
        <w:rPr>
          <w:lang w:val="en-US"/>
        </w:rPr>
        <w:t xml:space="preserve"> Equality Commission for Northern Ireland</w:t>
      </w:r>
      <w:r w:rsidR="006D2A34" w:rsidRPr="00AA535A">
        <w:rPr>
          <w:lang w:val="en-US"/>
        </w:rPr>
        <w:t xml:space="preserve">, </w:t>
      </w:r>
      <w:r w:rsidR="006D2A34" w:rsidRPr="006D2A34">
        <w:rPr>
          <w:b/>
          <w:color w:val="A50021"/>
          <w:lang w:val="en-US"/>
        </w:rPr>
        <w:t xml:space="preserve">UK - </w:t>
      </w:r>
      <w:r w:rsidR="006D2A34">
        <w:rPr>
          <w:b/>
          <w:color w:val="A50021"/>
          <w:lang w:val="en-US"/>
        </w:rPr>
        <w:t>Northern Ireland</w:t>
      </w:r>
      <w:r w:rsidR="006D2A34">
        <w:rPr>
          <w:lang w:val="en-US"/>
        </w:rPr>
        <w:t>.</w:t>
      </w:r>
    </w:p>
    <w:p w14:paraId="14E8A0A6" w14:textId="77777777" w:rsidR="00230369" w:rsidRDefault="00230369" w:rsidP="00230369">
      <w:pPr>
        <w:spacing w:after="0"/>
        <w:rPr>
          <w:rFonts w:eastAsiaTheme="majorEastAsia" w:cstheme="minorHAnsi"/>
          <w:b/>
          <w:color w:val="365F91" w:themeColor="accent1" w:themeShade="BF"/>
          <w:lang w:val="en-US"/>
        </w:rPr>
      </w:pPr>
    </w:p>
    <w:p w14:paraId="3B67AA6A" w14:textId="77777777" w:rsidR="00230369" w:rsidRPr="00EE3741" w:rsidRDefault="00230369" w:rsidP="00230369">
      <w:pPr>
        <w:spacing w:after="0"/>
        <w:rPr>
          <w:rFonts w:eastAsiaTheme="majorEastAsia" w:cstheme="minorHAnsi"/>
          <w:b/>
          <w:lang w:val="en-US"/>
        </w:rPr>
      </w:pPr>
      <w:r w:rsidRPr="00EE3741">
        <w:rPr>
          <w:rFonts w:eastAsiaTheme="majorEastAsia" w:cstheme="minorHAnsi"/>
          <w:b/>
          <w:lang w:val="en-US"/>
        </w:rPr>
        <w:t>Authors</w:t>
      </w:r>
    </w:p>
    <w:p w14:paraId="1301817F" w14:textId="77777777" w:rsidR="00230369" w:rsidRDefault="00230369" w:rsidP="00230369">
      <w:pPr>
        <w:spacing w:after="0"/>
        <w:rPr>
          <w:rFonts w:eastAsia="Adobe Song Std L" w:cs="Arial"/>
        </w:rPr>
      </w:pPr>
      <w:r>
        <w:rPr>
          <w:rFonts w:eastAsia="Adobe Song Std L" w:cs="Arial"/>
        </w:rPr>
        <w:t xml:space="preserve">The national experiences were collected and drafted into the respective chapters by the following </w:t>
      </w:r>
      <w:r w:rsidR="006D2A34">
        <w:rPr>
          <w:rFonts w:eastAsia="Adobe Song Std L" w:cs="Arial"/>
        </w:rPr>
        <w:t>Cluster</w:t>
      </w:r>
      <w:r>
        <w:rPr>
          <w:rFonts w:eastAsia="Adobe Song Std L" w:cs="Arial"/>
        </w:rPr>
        <w:t xml:space="preserve"> members:</w:t>
      </w:r>
    </w:p>
    <w:p w14:paraId="3BD1A893" w14:textId="77777777" w:rsidR="00230369" w:rsidRPr="0001796C" w:rsidRDefault="00230369" w:rsidP="00230369">
      <w:pPr>
        <w:spacing w:after="0"/>
        <w:rPr>
          <w:rFonts w:eastAsia="Adobe Song Std L" w:cs="Arial"/>
        </w:rPr>
      </w:pPr>
    </w:p>
    <w:p w14:paraId="753CD528" w14:textId="7E7E3182" w:rsidR="006D2A34" w:rsidRPr="006D2A34" w:rsidRDefault="006D2A34" w:rsidP="006D2A34">
      <w:pPr>
        <w:spacing w:after="0"/>
        <w:rPr>
          <w:lang w:val="en-US"/>
        </w:rPr>
      </w:pPr>
      <w:r w:rsidRPr="006D2A34">
        <w:rPr>
          <w:lang w:val="en-US"/>
        </w:rPr>
        <w:t xml:space="preserve">Chapter 1: </w:t>
      </w:r>
      <w:r w:rsidRPr="006D2A34">
        <w:rPr>
          <w:b/>
          <w:lang w:val="en-US"/>
        </w:rPr>
        <w:t>Francine Morris</w:t>
      </w:r>
      <w:r w:rsidRPr="006D2A34">
        <w:rPr>
          <w:lang w:val="en-US"/>
        </w:rPr>
        <w:t xml:space="preserve"> (Equality and Human Rights Commission, </w:t>
      </w:r>
      <w:r w:rsidR="00337027">
        <w:rPr>
          <w:lang w:val="en-US"/>
        </w:rPr>
        <w:t>UK – Great Britain</w:t>
      </w:r>
      <w:r w:rsidRPr="006D2A34">
        <w:rPr>
          <w:lang w:val="en-US"/>
        </w:rPr>
        <w:t>)</w:t>
      </w:r>
    </w:p>
    <w:p w14:paraId="39CA63DB" w14:textId="77777777" w:rsidR="006D2A34" w:rsidRPr="006D2A34" w:rsidRDefault="006D2A34" w:rsidP="006D2A34">
      <w:pPr>
        <w:spacing w:after="0"/>
        <w:rPr>
          <w:lang w:val="en-US"/>
        </w:rPr>
      </w:pPr>
      <w:r w:rsidRPr="006D2A34">
        <w:rPr>
          <w:rFonts w:ascii="Times New Roman" w:hAnsi="Times New Roman" w:cs="Times New Roman"/>
          <w:sz w:val="14"/>
          <w:szCs w:val="14"/>
          <w:lang w:val="en-US"/>
        </w:rPr>
        <w:t xml:space="preserve"> </w:t>
      </w:r>
      <w:r w:rsidRPr="006D2A34">
        <w:rPr>
          <w:lang w:val="en-US"/>
        </w:rPr>
        <w:t xml:space="preserve">Chapter 2: </w:t>
      </w:r>
      <w:r w:rsidRPr="006D2A34">
        <w:rPr>
          <w:b/>
          <w:lang w:val="en-US"/>
        </w:rPr>
        <w:t xml:space="preserve">Martin </w:t>
      </w:r>
      <w:r w:rsidRPr="006D2A34">
        <w:rPr>
          <w:b/>
          <w:lang w:val="hu-HU"/>
        </w:rPr>
        <w:t>Mörk</w:t>
      </w:r>
      <w:r w:rsidRPr="006D2A34">
        <w:rPr>
          <w:lang w:val="en-US"/>
        </w:rPr>
        <w:t xml:space="preserve"> (Equality Ombudsman, Sweden)</w:t>
      </w:r>
    </w:p>
    <w:p w14:paraId="24659A02" w14:textId="4A3E382C" w:rsidR="006D2A34" w:rsidRPr="006D2A34" w:rsidRDefault="006D2A34" w:rsidP="006D2A34">
      <w:pPr>
        <w:spacing w:after="0"/>
        <w:rPr>
          <w:lang w:val="fr-BE"/>
        </w:rPr>
      </w:pPr>
      <w:r w:rsidRPr="006D2A34">
        <w:rPr>
          <w:lang w:val="fr-BE"/>
        </w:rPr>
        <w:t xml:space="preserve">Chapter 3: </w:t>
      </w:r>
      <w:r w:rsidRPr="006D2A34">
        <w:rPr>
          <w:b/>
          <w:lang w:val="fr-BE"/>
        </w:rPr>
        <w:t>Robin Harms</w:t>
      </w:r>
      <w:r w:rsidRPr="006D2A34">
        <w:rPr>
          <w:lang w:val="fr-BE"/>
        </w:rPr>
        <w:t xml:space="preserve"> (Non-</w:t>
      </w:r>
      <w:r w:rsidR="00337027">
        <w:rPr>
          <w:lang w:val="fr-BE"/>
        </w:rPr>
        <w:t>D</w:t>
      </w:r>
      <w:r w:rsidRPr="006D2A34">
        <w:rPr>
          <w:lang w:val="fr-BE"/>
        </w:rPr>
        <w:t>iscrimination Ombudsman, Finland)</w:t>
      </w:r>
    </w:p>
    <w:p w14:paraId="68D20335" w14:textId="4FFDBD3C" w:rsidR="006D2A34" w:rsidRDefault="0077782D" w:rsidP="006D2A34">
      <w:pPr>
        <w:spacing w:after="0"/>
      </w:pPr>
      <w:r>
        <w:t>Chapter 4</w:t>
      </w:r>
      <w:r w:rsidR="006D2A34">
        <w:t xml:space="preserve">: </w:t>
      </w:r>
      <w:r w:rsidR="006D2A34" w:rsidRPr="006D2A34">
        <w:rPr>
          <w:b/>
          <w:lang w:val="en-US"/>
        </w:rPr>
        <w:t>Francine Morris</w:t>
      </w:r>
      <w:r w:rsidR="006D2A34" w:rsidRPr="006D2A34">
        <w:rPr>
          <w:lang w:val="en-US"/>
        </w:rPr>
        <w:t xml:space="preserve"> (Equality and Human Rights Commission,</w:t>
      </w:r>
      <w:r w:rsidR="00337027" w:rsidRPr="00337027">
        <w:rPr>
          <w:lang w:val="en-US"/>
        </w:rPr>
        <w:t xml:space="preserve"> </w:t>
      </w:r>
      <w:r w:rsidR="00337027">
        <w:rPr>
          <w:lang w:val="en-US"/>
        </w:rPr>
        <w:t>UK – Great Britain</w:t>
      </w:r>
      <w:r w:rsidR="006D2A34" w:rsidRPr="006D2A34">
        <w:rPr>
          <w:lang w:val="en-US"/>
        </w:rPr>
        <w:t>)</w:t>
      </w:r>
    </w:p>
    <w:p w14:paraId="5BD20934" w14:textId="77777777" w:rsidR="006D2A34" w:rsidRDefault="006D2A34" w:rsidP="006D2A34">
      <w:pPr>
        <w:spacing w:after="0"/>
      </w:pPr>
      <w:r>
        <w:t xml:space="preserve">Chapter 5: </w:t>
      </w:r>
      <w:r w:rsidRPr="006D2A34">
        <w:rPr>
          <w:b/>
        </w:rPr>
        <w:t>Zuzanna Rudzińska-Bluszcz</w:t>
      </w:r>
      <w:r>
        <w:t xml:space="preserve"> (Commissioner for Human Rights, Poland)</w:t>
      </w:r>
    </w:p>
    <w:p w14:paraId="23B800E2" w14:textId="54518B0D" w:rsidR="00230369" w:rsidRPr="006D2A34" w:rsidRDefault="006D2A34" w:rsidP="006D2A34">
      <w:pPr>
        <w:spacing w:after="0"/>
      </w:pPr>
      <w:r>
        <w:t xml:space="preserve">Chapter 6: </w:t>
      </w:r>
      <w:r w:rsidRPr="006D2A34">
        <w:rPr>
          <w:b/>
        </w:rPr>
        <w:t>Dijana Kesonja</w:t>
      </w:r>
      <w:r>
        <w:t xml:space="preserve"> (Office of the Ombudswoman, Croatia) and </w:t>
      </w:r>
      <w:r w:rsidRPr="0077782D">
        <w:rPr>
          <w:b/>
        </w:rPr>
        <w:t>Francine Morris</w:t>
      </w:r>
      <w:r>
        <w:t xml:space="preserve"> (Equality and Human Rights Commission, </w:t>
      </w:r>
      <w:r w:rsidR="00337027">
        <w:rPr>
          <w:lang w:val="en-US"/>
        </w:rPr>
        <w:t>UK – Great Britain</w:t>
      </w:r>
      <w:r>
        <w:t>)</w:t>
      </w:r>
    </w:p>
    <w:p w14:paraId="6506B4A4" w14:textId="77777777" w:rsidR="00230369" w:rsidRDefault="00230369" w:rsidP="00230369">
      <w:pPr>
        <w:spacing w:after="0"/>
        <w:rPr>
          <w:rFonts w:eastAsiaTheme="majorEastAsia" w:cstheme="minorHAnsi"/>
          <w:b/>
          <w:i/>
          <w:color w:val="365F91" w:themeColor="accent1" w:themeShade="BF"/>
          <w:sz w:val="18"/>
          <w:szCs w:val="18"/>
          <w:lang w:val="en-US"/>
        </w:rPr>
      </w:pPr>
    </w:p>
    <w:p w14:paraId="4D4CEFEA" w14:textId="77777777" w:rsidR="006D2A34" w:rsidRDefault="00230369" w:rsidP="006D2A34">
      <w:pPr>
        <w:rPr>
          <w:rFonts w:eastAsia="Adobe Song Std L" w:cstheme="minorHAnsi"/>
          <w:lang w:val="en-US"/>
        </w:rPr>
      </w:pPr>
      <w:r w:rsidRPr="006D2A34">
        <w:rPr>
          <w:rFonts w:eastAsiaTheme="majorEastAsia" w:cstheme="minorHAnsi"/>
          <w:b/>
          <w:lang w:val="en-US"/>
        </w:rPr>
        <w:t>Editorial and publication coordination</w:t>
      </w:r>
    </w:p>
    <w:p w14:paraId="1B9CB2E9" w14:textId="57504CE9" w:rsidR="006D2A34" w:rsidRDefault="006D2A34" w:rsidP="006D2A34">
      <w:pPr>
        <w:spacing w:after="0"/>
      </w:pPr>
      <w:r w:rsidRPr="00731730">
        <w:rPr>
          <w:b/>
        </w:rPr>
        <w:t>Francine Morris</w:t>
      </w:r>
      <w:r w:rsidRPr="006D2A34">
        <w:t xml:space="preserve"> (Equality and Human Rights Commission, </w:t>
      </w:r>
      <w:r w:rsidR="00CA09FC">
        <w:rPr>
          <w:lang w:val="en-US"/>
        </w:rPr>
        <w:t>UK – Great Britain</w:t>
      </w:r>
      <w:r w:rsidRPr="006D2A34">
        <w:t>)</w:t>
      </w:r>
    </w:p>
    <w:p w14:paraId="65885262" w14:textId="77777777" w:rsidR="006D2A34" w:rsidRPr="006D2A34" w:rsidRDefault="006D2A34" w:rsidP="006D2A34">
      <w:pPr>
        <w:spacing w:after="0"/>
      </w:pPr>
      <w:r w:rsidRPr="00731730">
        <w:rPr>
          <w:b/>
        </w:rPr>
        <w:t>Julia DeMarinis Giddings</w:t>
      </w:r>
      <w:r w:rsidRPr="006D2A34">
        <w:t xml:space="preserve"> (Equality Ombudsman, Sweden)</w:t>
      </w:r>
    </w:p>
    <w:p w14:paraId="39CD6D37" w14:textId="77777777" w:rsidR="00230369" w:rsidRDefault="00230369" w:rsidP="006D2A34">
      <w:pPr>
        <w:spacing w:after="0"/>
        <w:rPr>
          <w:rFonts w:eastAsia="Adobe Song Std L" w:cstheme="minorHAnsi"/>
          <w:lang w:val="en-US"/>
        </w:rPr>
      </w:pPr>
      <w:r w:rsidRPr="0001796C">
        <w:rPr>
          <w:rFonts w:eastAsia="Adobe Song Std L" w:cstheme="minorHAnsi"/>
          <w:b/>
        </w:rPr>
        <w:t>Tamás Kádár</w:t>
      </w:r>
      <w:r>
        <w:rPr>
          <w:rFonts w:eastAsia="Adobe Song Std L" w:cstheme="minorHAnsi"/>
          <w:lang w:val="en-US"/>
        </w:rPr>
        <w:t xml:space="preserve"> (</w:t>
      </w:r>
      <w:r w:rsidRPr="0001796C">
        <w:rPr>
          <w:rFonts w:eastAsia="Adobe Song Std L" w:cstheme="minorHAnsi"/>
          <w:lang w:val="en-US"/>
        </w:rPr>
        <w:t>Equinet, European Network of Equality Bodies</w:t>
      </w:r>
      <w:r>
        <w:rPr>
          <w:rFonts w:eastAsia="Adobe Song Std L" w:cstheme="minorHAnsi"/>
          <w:lang w:val="en-US"/>
        </w:rPr>
        <w:t>)</w:t>
      </w:r>
    </w:p>
    <w:p w14:paraId="18E3BB3D" w14:textId="77777777" w:rsidR="00230369" w:rsidRDefault="00230369" w:rsidP="00230369">
      <w:pPr>
        <w:spacing w:after="0"/>
        <w:rPr>
          <w:rFonts w:eastAsiaTheme="majorEastAsia" w:cstheme="minorHAnsi"/>
          <w:b/>
          <w:color w:val="365F91" w:themeColor="accent1" w:themeShade="BF"/>
          <w:lang w:val="en-US"/>
        </w:rPr>
      </w:pPr>
    </w:p>
    <w:p w14:paraId="7392C7FB" w14:textId="77777777" w:rsidR="00230369" w:rsidRPr="00EE3741" w:rsidRDefault="00230369" w:rsidP="00230369">
      <w:pPr>
        <w:spacing w:after="0"/>
        <w:rPr>
          <w:rFonts w:eastAsia="Adobe Song Std L" w:cstheme="minorHAnsi"/>
          <w:lang w:val="en-US"/>
        </w:rPr>
      </w:pPr>
      <w:r w:rsidRPr="00EE3741">
        <w:rPr>
          <w:rFonts w:eastAsiaTheme="majorEastAsia" w:cstheme="minorHAnsi"/>
          <w:b/>
          <w:lang w:val="en-US"/>
        </w:rPr>
        <w:t>Design</w:t>
      </w:r>
    </w:p>
    <w:p w14:paraId="610EEA8F" w14:textId="77777777" w:rsidR="00230369" w:rsidRPr="00A41C92" w:rsidRDefault="00230369" w:rsidP="00230369">
      <w:pPr>
        <w:spacing w:after="0"/>
        <w:rPr>
          <w:rFonts w:eastAsia="Adobe Song Std L" w:cstheme="minorHAnsi"/>
          <w:lang w:val="en-US"/>
        </w:rPr>
      </w:pPr>
      <w:r w:rsidRPr="00A41C92">
        <w:rPr>
          <w:rFonts w:eastAsia="Adobe Song Std L" w:cstheme="minorHAnsi"/>
          <w:lang w:val="en-US"/>
        </w:rPr>
        <w:t>Vertige</w:t>
      </w:r>
      <w:r>
        <w:rPr>
          <w:rFonts w:eastAsia="Adobe Song Std L" w:cstheme="minorHAnsi"/>
          <w:lang w:val="en-US"/>
        </w:rPr>
        <w:t xml:space="preserve"> ASBL</w:t>
      </w:r>
    </w:p>
    <w:p w14:paraId="14494BE4" w14:textId="77777777" w:rsidR="00230369" w:rsidRDefault="00230369" w:rsidP="00230369">
      <w:pPr>
        <w:spacing w:after="0"/>
        <w:rPr>
          <w:rFonts w:eastAsiaTheme="majorEastAsia" w:cstheme="minorHAnsi"/>
          <w:b/>
          <w:color w:val="365F91" w:themeColor="accent1" w:themeShade="BF"/>
          <w:lang w:val="en-US"/>
        </w:rPr>
      </w:pPr>
    </w:p>
    <w:p w14:paraId="5AF1186F" w14:textId="77777777" w:rsidR="00230369" w:rsidRDefault="00230369" w:rsidP="00230369">
      <w:pPr>
        <w:rPr>
          <w:rFonts w:eastAsiaTheme="majorEastAsia" w:cstheme="minorHAnsi"/>
          <w:color w:val="17365D" w:themeColor="text2" w:themeShade="BF"/>
          <w:spacing w:val="5"/>
          <w:kern w:val="28"/>
          <w:sz w:val="52"/>
          <w:szCs w:val="52"/>
          <w:lang w:val="en-US"/>
        </w:rPr>
      </w:pPr>
      <w:r>
        <w:rPr>
          <w:rFonts w:cstheme="minorHAnsi"/>
          <w:lang w:val="en-US"/>
        </w:rPr>
        <w:br w:type="page"/>
      </w:r>
    </w:p>
    <w:p w14:paraId="6E433369" w14:textId="77777777" w:rsidR="00B529A0" w:rsidRPr="00D27A66" w:rsidRDefault="00B529A0" w:rsidP="00B529A0">
      <w:pPr>
        <w:jc w:val="both"/>
        <w:rPr>
          <w:rFonts w:cs="Arial"/>
          <w:b/>
          <w:sz w:val="36"/>
          <w:szCs w:val="36"/>
        </w:rPr>
      </w:pPr>
      <w:bookmarkStart w:id="0" w:name="chapter1"/>
      <w:r>
        <w:rPr>
          <w:rFonts w:cs="Arial"/>
          <w:b/>
          <w:sz w:val="36"/>
          <w:szCs w:val="36"/>
        </w:rPr>
        <w:lastRenderedPageBreak/>
        <w:t>INTRODUCTION</w:t>
      </w:r>
      <w:r w:rsidRPr="00D27A66">
        <w:rPr>
          <w:rFonts w:cs="Arial"/>
          <w:b/>
          <w:sz w:val="36"/>
          <w:szCs w:val="36"/>
        </w:rPr>
        <w:t xml:space="preserve"> </w:t>
      </w:r>
    </w:p>
    <w:p w14:paraId="2318423A" w14:textId="77777777" w:rsidR="00A830E3" w:rsidRDefault="00A830E3" w:rsidP="00A13880">
      <w:pPr>
        <w:jc w:val="both"/>
        <w:rPr>
          <w:rFonts w:cs="Arial"/>
          <w:sz w:val="24"/>
          <w:szCs w:val="24"/>
        </w:rPr>
      </w:pPr>
      <w:r>
        <w:rPr>
          <w:rFonts w:cs="Arial"/>
          <w:sz w:val="24"/>
          <w:szCs w:val="24"/>
        </w:rPr>
        <w:t>This Handbook on strategic litigation was produced by Equinet, the European Network of Equality Bodies. E</w:t>
      </w:r>
      <w:r w:rsidRPr="00A830E3">
        <w:rPr>
          <w:rFonts w:cs="Arial"/>
          <w:sz w:val="24"/>
          <w:szCs w:val="24"/>
        </w:rPr>
        <w:t xml:space="preserve">quinet brings together 46 organizations from 34 European countries, which are empowered to </w:t>
      </w:r>
      <w:r>
        <w:rPr>
          <w:rFonts w:cs="Arial"/>
          <w:sz w:val="24"/>
          <w:szCs w:val="24"/>
        </w:rPr>
        <w:t xml:space="preserve">promote equality and </w:t>
      </w:r>
      <w:r w:rsidRPr="00A830E3">
        <w:rPr>
          <w:rFonts w:cs="Arial"/>
          <w:sz w:val="24"/>
          <w:szCs w:val="24"/>
        </w:rPr>
        <w:t>counteract discrimination as national equality bodies across a range of grounds including age, disability, gender, race or ethnic origin, religion or belief, and sexual orientation.</w:t>
      </w:r>
      <w:r>
        <w:rPr>
          <w:rFonts w:cs="Arial"/>
          <w:sz w:val="24"/>
          <w:szCs w:val="24"/>
        </w:rPr>
        <w:t xml:space="preserve"> </w:t>
      </w:r>
    </w:p>
    <w:p w14:paraId="74B160F1" w14:textId="689813E6" w:rsidR="00A830E3" w:rsidRDefault="00A830E3" w:rsidP="00A13880">
      <w:pPr>
        <w:jc w:val="both"/>
        <w:rPr>
          <w:rFonts w:cs="Arial"/>
          <w:sz w:val="24"/>
          <w:szCs w:val="24"/>
        </w:rPr>
      </w:pPr>
      <w:r w:rsidRPr="00A830E3">
        <w:rPr>
          <w:rFonts w:cs="Arial"/>
          <w:sz w:val="24"/>
          <w:szCs w:val="24"/>
        </w:rPr>
        <w:t>National equality bodies are independent organisations established on the basis of</w:t>
      </w:r>
      <w:r>
        <w:rPr>
          <w:rFonts w:cs="Arial"/>
          <w:sz w:val="24"/>
          <w:szCs w:val="24"/>
        </w:rPr>
        <w:t xml:space="preserve"> EU equal treatment directives</w:t>
      </w:r>
      <w:r>
        <w:rPr>
          <w:rStyle w:val="FootnoteReference"/>
          <w:rFonts w:cs="Arial"/>
          <w:sz w:val="24"/>
          <w:szCs w:val="24"/>
        </w:rPr>
        <w:footnoteReference w:id="1"/>
      </w:r>
      <w:r w:rsidRPr="00A830E3">
        <w:rPr>
          <w:rFonts w:cs="Arial"/>
          <w:sz w:val="24"/>
          <w:szCs w:val="24"/>
        </w:rPr>
        <w:t xml:space="preserve"> with a mandate to provide independent assistance to victims of discrimination, conduct independent surveys concerning discrimination</w:t>
      </w:r>
      <w:r w:rsidR="00CA09FC">
        <w:rPr>
          <w:rFonts w:cs="Arial"/>
          <w:sz w:val="24"/>
          <w:szCs w:val="24"/>
        </w:rPr>
        <w:t>,</w:t>
      </w:r>
      <w:r w:rsidRPr="00A830E3">
        <w:rPr>
          <w:rFonts w:cs="Arial"/>
          <w:sz w:val="24"/>
          <w:szCs w:val="24"/>
        </w:rPr>
        <w:t xml:space="preserve"> publish independent reports and make recommendations on any issue relating to discrimination in their country.</w:t>
      </w:r>
      <w:r>
        <w:rPr>
          <w:rFonts w:cs="Arial"/>
          <w:sz w:val="24"/>
          <w:szCs w:val="24"/>
        </w:rPr>
        <w:t xml:space="preserve"> While equality bodies exist in all EU Member </w:t>
      </w:r>
      <w:r w:rsidR="00DB4AEE">
        <w:rPr>
          <w:rFonts w:cs="Arial"/>
          <w:sz w:val="24"/>
          <w:szCs w:val="24"/>
        </w:rPr>
        <w:t>States</w:t>
      </w:r>
      <w:r w:rsidR="00CA09FC">
        <w:rPr>
          <w:rFonts w:cs="Arial"/>
          <w:sz w:val="24"/>
          <w:szCs w:val="24"/>
        </w:rPr>
        <w:t>,</w:t>
      </w:r>
      <w:r w:rsidR="00DB4AEE">
        <w:rPr>
          <w:rFonts w:cs="Arial"/>
          <w:sz w:val="24"/>
          <w:szCs w:val="24"/>
        </w:rPr>
        <w:t xml:space="preserve"> candidate countries and beyond,</w:t>
      </w:r>
      <w:r>
        <w:rPr>
          <w:rFonts w:cs="Arial"/>
          <w:sz w:val="24"/>
          <w:szCs w:val="24"/>
        </w:rPr>
        <w:t xml:space="preserve"> their mandate, powers and resources vary greatly. Notably, some of them focus </w:t>
      </w:r>
      <w:r w:rsidR="00DB4AEE">
        <w:rPr>
          <w:rFonts w:cs="Arial"/>
          <w:sz w:val="24"/>
          <w:szCs w:val="24"/>
        </w:rPr>
        <w:t xml:space="preserve">on </w:t>
      </w:r>
      <w:r>
        <w:rPr>
          <w:rFonts w:cs="Arial"/>
          <w:sz w:val="24"/>
          <w:szCs w:val="24"/>
        </w:rPr>
        <w:t>legal advice and support, while others are mandated to investigate and decide the merits of discrimination cases as impartial state institutions.</w:t>
      </w:r>
    </w:p>
    <w:p w14:paraId="53E0EE64" w14:textId="77777777" w:rsidR="00740ABC" w:rsidRDefault="00A13880" w:rsidP="00A13880">
      <w:pPr>
        <w:jc w:val="both"/>
        <w:rPr>
          <w:rFonts w:cs="Arial"/>
          <w:sz w:val="24"/>
          <w:szCs w:val="24"/>
        </w:rPr>
      </w:pPr>
      <w:r w:rsidRPr="00A13880">
        <w:rPr>
          <w:rFonts w:cs="Arial"/>
          <w:sz w:val="24"/>
          <w:szCs w:val="24"/>
        </w:rPr>
        <w:t>Throughout 201</w:t>
      </w:r>
      <w:r w:rsidR="00740ABC">
        <w:rPr>
          <w:rFonts w:cs="Arial"/>
          <w:sz w:val="24"/>
          <w:szCs w:val="24"/>
        </w:rPr>
        <w:t>5-2016, a members-led thematic C</w:t>
      </w:r>
      <w:r w:rsidRPr="00A13880">
        <w:rPr>
          <w:rFonts w:cs="Arial"/>
          <w:sz w:val="24"/>
          <w:szCs w:val="24"/>
        </w:rPr>
        <w:t xml:space="preserve">luster </w:t>
      </w:r>
      <w:r w:rsidR="00A830E3">
        <w:rPr>
          <w:rFonts w:cs="Arial"/>
          <w:sz w:val="24"/>
          <w:szCs w:val="24"/>
        </w:rPr>
        <w:t xml:space="preserve">within Equinet </w:t>
      </w:r>
      <w:r w:rsidRPr="00A13880">
        <w:rPr>
          <w:rFonts w:cs="Arial"/>
          <w:sz w:val="24"/>
          <w:szCs w:val="24"/>
        </w:rPr>
        <w:t xml:space="preserve">brought together legal experts from equality bodies with an interest in strategic litigation in discrimination cases. </w:t>
      </w:r>
      <w:r w:rsidR="00A830E3">
        <w:rPr>
          <w:rFonts w:cs="Arial"/>
          <w:sz w:val="24"/>
          <w:szCs w:val="24"/>
        </w:rPr>
        <w:t xml:space="preserve">This was followed up by an Equinet training on strategic litigation organised in December 2017, hosted in Warsaw by the Polish Commissioner for Human Rights. </w:t>
      </w:r>
    </w:p>
    <w:p w14:paraId="77266172" w14:textId="77777777" w:rsidR="00A13880" w:rsidRPr="00A13880" w:rsidRDefault="00A13880" w:rsidP="00A13880">
      <w:pPr>
        <w:jc w:val="both"/>
        <w:rPr>
          <w:rFonts w:cs="Arial"/>
          <w:sz w:val="24"/>
          <w:szCs w:val="24"/>
        </w:rPr>
      </w:pPr>
      <w:r w:rsidRPr="00A13880">
        <w:rPr>
          <w:rFonts w:cs="Arial"/>
          <w:sz w:val="24"/>
          <w:szCs w:val="24"/>
        </w:rPr>
        <w:t xml:space="preserve">Strategic litigation is already used by some equality bodies, while others currently consider experimenting the use of this tool to take up cases that can result in important clarifications and adjustments of the applicable law and positive changes going beyond the particular case. The </w:t>
      </w:r>
      <w:r w:rsidR="00740ABC">
        <w:rPr>
          <w:rFonts w:cs="Arial"/>
          <w:sz w:val="24"/>
          <w:szCs w:val="24"/>
        </w:rPr>
        <w:t>Cluster and the training</w:t>
      </w:r>
      <w:r w:rsidRPr="00A13880">
        <w:rPr>
          <w:rFonts w:cs="Arial"/>
          <w:sz w:val="24"/>
          <w:szCs w:val="24"/>
        </w:rPr>
        <w:t xml:space="preserve"> provided a space for interested equality bodies as part of an expert group to discuss the advantages, disadvantages and challenges of strategic litigation, share and discuss criteria for strategic litigation and analyse successful examples of court cases.</w:t>
      </w:r>
    </w:p>
    <w:p w14:paraId="16753A91" w14:textId="77777777" w:rsidR="00740ABC" w:rsidRPr="00740ABC" w:rsidRDefault="00740ABC" w:rsidP="00740ABC">
      <w:pPr>
        <w:jc w:val="both"/>
        <w:rPr>
          <w:rFonts w:cs="Arial"/>
          <w:sz w:val="24"/>
          <w:szCs w:val="24"/>
        </w:rPr>
      </w:pPr>
      <w:r>
        <w:rPr>
          <w:rFonts w:cs="Arial"/>
          <w:sz w:val="24"/>
          <w:szCs w:val="24"/>
        </w:rPr>
        <w:t>D</w:t>
      </w:r>
      <w:r w:rsidR="00A830E3">
        <w:rPr>
          <w:rFonts w:cs="Arial"/>
          <w:sz w:val="24"/>
          <w:szCs w:val="24"/>
        </w:rPr>
        <w:t xml:space="preserve">iscussions </w:t>
      </w:r>
      <w:r>
        <w:rPr>
          <w:rFonts w:cs="Arial"/>
          <w:sz w:val="24"/>
          <w:szCs w:val="24"/>
        </w:rPr>
        <w:t>in the Cluster and at the training and their c</w:t>
      </w:r>
      <w:r w:rsidR="00A830E3">
        <w:rPr>
          <w:rFonts w:cs="Arial"/>
          <w:sz w:val="24"/>
          <w:szCs w:val="24"/>
        </w:rPr>
        <w:t>onclusions serve</w:t>
      </w:r>
      <w:r>
        <w:rPr>
          <w:rFonts w:cs="Arial"/>
          <w:sz w:val="24"/>
          <w:szCs w:val="24"/>
        </w:rPr>
        <w:t>d</w:t>
      </w:r>
      <w:r w:rsidR="00A830E3">
        <w:rPr>
          <w:rFonts w:cs="Arial"/>
          <w:sz w:val="24"/>
          <w:szCs w:val="24"/>
        </w:rPr>
        <w:t xml:space="preserve"> as the basis of this </w:t>
      </w:r>
      <w:r w:rsidR="00A830E3" w:rsidRPr="00A13880">
        <w:rPr>
          <w:rFonts w:cs="Arial"/>
          <w:sz w:val="24"/>
          <w:szCs w:val="24"/>
        </w:rPr>
        <w:t>Equinet Handbook on Strategic Litigat</w:t>
      </w:r>
      <w:r>
        <w:rPr>
          <w:rFonts w:cs="Arial"/>
          <w:sz w:val="24"/>
          <w:szCs w:val="24"/>
        </w:rPr>
        <w:t>ion which we hope will serve as a useful resource for equality bodies and their partners considering to engage in strategic litigation.</w:t>
      </w:r>
    </w:p>
    <w:p w14:paraId="2A5492BC" w14:textId="77777777" w:rsidR="00B529A0" w:rsidRPr="00B529A0" w:rsidRDefault="00B529A0" w:rsidP="00A13880">
      <w:pPr>
        <w:jc w:val="both"/>
        <w:rPr>
          <w:rFonts w:cs="Arial"/>
          <w:sz w:val="24"/>
          <w:szCs w:val="24"/>
        </w:rPr>
      </w:pPr>
      <w:r>
        <w:rPr>
          <w:rFonts w:cs="Arial"/>
          <w:b/>
          <w:sz w:val="36"/>
          <w:szCs w:val="36"/>
        </w:rPr>
        <w:br w:type="page"/>
      </w:r>
    </w:p>
    <w:p w14:paraId="098E09C5" w14:textId="77777777" w:rsidR="00647EA0" w:rsidRPr="00D27A66" w:rsidRDefault="007B5705" w:rsidP="00FD78A5">
      <w:pPr>
        <w:jc w:val="both"/>
        <w:rPr>
          <w:rFonts w:cs="Arial"/>
          <w:b/>
          <w:sz w:val="36"/>
          <w:szCs w:val="36"/>
        </w:rPr>
      </w:pPr>
      <w:r w:rsidRPr="00D27A66">
        <w:rPr>
          <w:rFonts w:cs="Arial"/>
          <w:b/>
          <w:sz w:val="36"/>
          <w:szCs w:val="36"/>
        </w:rPr>
        <w:lastRenderedPageBreak/>
        <w:t>CHAPTER 1</w:t>
      </w:r>
      <w:r w:rsidR="00731730" w:rsidRPr="00D27A66">
        <w:rPr>
          <w:rFonts w:cs="Arial"/>
          <w:b/>
          <w:sz w:val="36"/>
          <w:szCs w:val="36"/>
        </w:rPr>
        <w:t xml:space="preserve">: </w:t>
      </w:r>
      <w:r w:rsidR="00647EA0" w:rsidRPr="00D27A66">
        <w:rPr>
          <w:rFonts w:cs="Arial"/>
          <w:b/>
          <w:sz w:val="36"/>
          <w:szCs w:val="36"/>
        </w:rPr>
        <w:t xml:space="preserve">WHAT IS STRATEGIC LITIGATION? </w:t>
      </w:r>
    </w:p>
    <w:bookmarkEnd w:id="0"/>
    <w:p w14:paraId="29198B62" w14:textId="77777777" w:rsidR="00647EA0" w:rsidRPr="00683B48" w:rsidRDefault="00647EA0" w:rsidP="00FD78A5">
      <w:pPr>
        <w:jc w:val="both"/>
        <w:rPr>
          <w:rFonts w:cs="Arial"/>
          <w:sz w:val="24"/>
          <w:szCs w:val="24"/>
        </w:rPr>
      </w:pPr>
      <w:r w:rsidRPr="00683B48">
        <w:rPr>
          <w:rFonts w:cs="Arial"/>
          <w:sz w:val="24"/>
          <w:szCs w:val="24"/>
        </w:rPr>
        <w:t xml:space="preserve">Strategic litigation is a method </w:t>
      </w:r>
      <w:r w:rsidR="00464830" w:rsidRPr="00683B48">
        <w:rPr>
          <w:rFonts w:cs="Arial"/>
          <w:sz w:val="24"/>
          <w:szCs w:val="24"/>
        </w:rPr>
        <w:t xml:space="preserve">used to </w:t>
      </w:r>
      <w:r w:rsidRPr="00683B48">
        <w:rPr>
          <w:rFonts w:cs="Arial"/>
          <w:sz w:val="24"/>
          <w:szCs w:val="24"/>
        </w:rPr>
        <w:t>select</w:t>
      </w:r>
      <w:r w:rsidR="00464830" w:rsidRPr="00683B48">
        <w:rPr>
          <w:rFonts w:cs="Arial"/>
          <w:sz w:val="24"/>
          <w:szCs w:val="24"/>
        </w:rPr>
        <w:t xml:space="preserve"> suitable </w:t>
      </w:r>
      <w:r w:rsidRPr="00683B48">
        <w:rPr>
          <w:rFonts w:cs="Arial"/>
          <w:sz w:val="24"/>
          <w:szCs w:val="24"/>
        </w:rPr>
        <w:t xml:space="preserve">cases </w:t>
      </w:r>
      <w:r w:rsidR="00464830" w:rsidRPr="00683B48">
        <w:rPr>
          <w:rFonts w:cs="Arial"/>
          <w:sz w:val="24"/>
          <w:szCs w:val="24"/>
        </w:rPr>
        <w:t xml:space="preserve">(‘test cases’) </w:t>
      </w:r>
      <w:r w:rsidRPr="00683B48">
        <w:rPr>
          <w:rFonts w:cs="Arial"/>
          <w:sz w:val="24"/>
          <w:szCs w:val="24"/>
        </w:rPr>
        <w:t>to bring to court in order</w:t>
      </w:r>
      <w:r w:rsidR="00464830" w:rsidRPr="00683B48">
        <w:rPr>
          <w:rFonts w:cs="Arial"/>
          <w:sz w:val="24"/>
          <w:szCs w:val="24"/>
        </w:rPr>
        <w:t xml:space="preserve"> </w:t>
      </w:r>
      <w:r w:rsidRPr="00683B48">
        <w:rPr>
          <w:rFonts w:cs="Arial"/>
          <w:sz w:val="24"/>
          <w:szCs w:val="24"/>
        </w:rPr>
        <w:t>to achieve a specific outcome</w:t>
      </w:r>
      <w:r w:rsidR="00464830" w:rsidRPr="00683B48">
        <w:rPr>
          <w:rFonts w:cs="Arial"/>
          <w:sz w:val="24"/>
          <w:szCs w:val="24"/>
        </w:rPr>
        <w:t>. The intention is that these legal proceedings</w:t>
      </w:r>
      <w:r w:rsidR="005E2B8D" w:rsidRPr="00683B48">
        <w:rPr>
          <w:rFonts w:cs="Arial"/>
          <w:sz w:val="24"/>
          <w:szCs w:val="24"/>
        </w:rPr>
        <w:t xml:space="preserve"> </w:t>
      </w:r>
      <w:r w:rsidR="00464830" w:rsidRPr="00683B48">
        <w:rPr>
          <w:rFonts w:cs="Arial"/>
          <w:sz w:val="24"/>
          <w:szCs w:val="24"/>
        </w:rPr>
        <w:t>will</w:t>
      </w:r>
      <w:r w:rsidR="005E2B8D" w:rsidRPr="00683B48">
        <w:rPr>
          <w:rFonts w:cs="Arial"/>
          <w:sz w:val="24"/>
          <w:szCs w:val="24"/>
        </w:rPr>
        <w:t xml:space="preserve"> </w:t>
      </w:r>
      <w:r w:rsidRPr="00683B48">
        <w:rPr>
          <w:rFonts w:cs="Arial"/>
          <w:sz w:val="24"/>
          <w:szCs w:val="24"/>
        </w:rPr>
        <w:t xml:space="preserve">have </w:t>
      </w:r>
      <w:r w:rsidR="00F90303" w:rsidRPr="00683B48">
        <w:rPr>
          <w:rFonts w:cs="Arial"/>
          <w:sz w:val="24"/>
          <w:szCs w:val="24"/>
        </w:rPr>
        <w:t xml:space="preserve">a positive </w:t>
      </w:r>
      <w:r w:rsidR="005E2B8D" w:rsidRPr="00683B48">
        <w:rPr>
          <w:rFonts w:cs="Arial"/>
          <w:sz w:val="24"/>
          <w:szCs w:val="24"/>
        </w:rPr>
        <w:t xml:space="preserve">broader </w:t>
      </w:r>
      <w:r w:rsidRPr="00683B48">
        <w:rPr>
          <w:rFonts w:cs="Arial"/>
          <w:sz w:val="24"/>
          <w:szCs w:val="24"/>
        </w:rPr>
        <w:t>impact on law and policy development</w:t>
      </w:r>
      <w:r w:rsidR="00464830" w:rsidRPr="00683B48">
        <w:rPr>
          <w:rFonts w:cs="Arial"/>
          <w:sz w:val="24"/>
          <w:szCs w:val="24"/>
        </w:rPr>
        <w:t xml:space="preserve"> as well as setting a precedent for the</w:t>
      </w:r>
      <w:r w:rsidRPr="00683B48">
        <w:rPr>
          <w:rFonts w:cs="Arial"/>
          <w:sz w:val="24"/>
          <w:szCs w:val="24"/>
        </w:rPr>
        <w:t xml:space="preserve"> outcome </w:t>
      </w:r>
      <w:r w:rsidR="00464830" w:rsidRPr="00683B48">
        <w:rPr>
          <w:rFonts w:cs="Arial"/>
          <w:sz w:val="24"/>
          <w:szCs w:val="24"/>
        </w:rPr>
        <w:t xml:space="preserve">in </w:t>
      </w:r>
      <w:r w:rsidRPr="00683B48">
        <w:rPr>
          <w:rFonts w:cs="Arial"/>
          <w:sz w:val="24"/>
          <w:szCs w:val="24"/>
        </w:rPr>
        <w:t xml:space="preserve">similar cases. </w:t>
      </w:r>
    </w:p>
    <w:p w14:paraId="5404E6A6" w14:textId="77777777" w:rsidR="00647EA0" w:rsidRPr="00683B48" w:rsidRDefault="00647EA0" w:rsidP="00FD78A5">
      <w:pPr>
        <w:jc w:val="both"/>
        <w:rPr>
          <w:rFonts w:cs="Arial"/>
          <w:sz w:val="24"/>
          <w:szCs w:val="24"/>
        </w:rPr>
      </w:pPr>
      <w:r w:rsidRPr="00683B48">
        <w:rPr>
          <w:rFonts w:cs="Arial"/>
          <w:sz w:val="24"/>
          <w:szCs w:val="24"/>
        </w:rPr>
        <w:t xml:space="preserve">The </w:t>
      </w:r>
      <w:r w:rsidR="00464830" w:rsidRPr="00683B48">
        <w:rPr>
          <w:rFonts w:cs="Arial"/>
          <w:sz w:val="24"/>
          <w:szCs w:val="24"/>
        </w:rPr>
        <w:t>objectives</w:t>
      </w:r>
      <w:r w:rsidRPr="00683B48">
        <w:rPr>
          <w:rFonts w:cs="Arial"/>
          <w:sz w:val="24"/>
          <w:szCs w:val="24"/>
        </w:rPr>
        <w:t xml:space="preserve"> of strategic litigation can be intra-legal and extra-legal. Intra-legal </w:t>
      </w:r>
      <w:r w:rsidR="00464830" w:rsidRPr="00683B48">
        <w:rPr>
          <w:rFonts w:cs="Arial"/>
          <w:sz w:val="24"/>
          <w:szCs w:val="24"/>
        </w:rPr>
        <w:t>objectives concern</w:t>
      </w:r>
      <w:r w:rsidRPr="00683B48">
        <w:rPr>
          <w:rFonts w:cs="Arial"/>
          <w:sz w:val="24"/>
          <w:szCs w:val="24"/>
        </w:rPr>
        <w:t xml:space="preserve"> the </w:t>
      </w:r>
      <w:r w:rsidR="00283EA5" w:rsidRPr="00683B48">
        <w:rPr>
          <w:rFonts w:cs="Arial"/>
          <w:sz w:val="24"/>
          <w:szCs w:val="24"/>
        </w:rPr>
        <w:t xml:space="preserve">interpretation, application and content </w:t>
      </w:r>
      <w:r w:rsidRPr="00683B48">
        <w:rPr>
          <w:rFonts w:cs="Arial"/>
          <w:sz w:val="24"/>
          <w:szCs w:val="24"/>
        </w:rPr>
        <w:t>of the law in question, for example establishing whether certain treatment is direct or indirect discrimination. Extra-legal aims do</w:t>
      </w:r>
      <w:r w:rsidR="00464830" w:rsidRPr="00683B48">
        <w:rPr>
          <w:rFonts w:cs="Arial"/>
          <w:sz w:val="24"/>
          <w:szCs w:val="24"/>
        </w:rPr>
        <w:t xml:space="preserve"> </w:t>
      </w:r>
      <w:r w:rsidRPr="00683B48">
        <w:rPr>
          <w:rFonts w:cs="Arial"/>
          <w:sz w:val="24"/>
          <w:szCs w:val="24"/>
        </w:rPr>
        <w:t>n</w:t>
      </w:r>
      <w:r w:rsidR="00464830" w:rsidRPr="00683B48">
        <w:rPr>
          <w:rFonts w:cs="Arial"/>
          <w:sz w:val="24"/>
          <w:szCs w:val="24"/>
        </w:rPr>
        <w:t>o</w:t>
      </w:r>
      <w:r w:rsidRPr="00683B48">
        <w:rPr>
          <w:rFonts w:cs="Arial"/>
          <w:sz w:val="24"/>
          <w:szCs w:val="24"/>
        </w:rPr>
        <w:t xml:space="preserve">t </w:t>
      </w:r>
      <w:r w:rsidR="00283EA5" w:rsidRPr="00683B48">
        <w:rPr>
          <w:rFonts w:cs="Arial"/>
          <w:sz w:val="24"/>
          <w:szCs w:val="24"/>
        </w:rPr>
        <w:t>target the content of</w:t>
      </w:r>
      <w:r w:rsidRPr="00683B48">
        <w:rPr>
          <w:rFonts w:cs="Arial"/>
          <w:sz w:val="24"/>
          <w:szCs w:val="24"/>
        </w:rPr>
        <w:t xml:space="preserve"> the law</w:t>
      </w:r>
      <w:r w:rsidR="00283EA5" w:rsidRPr="00683B48">
        <w:rPr>
          <w:rFonts w:cs="Arial"/>
          <w:sz w:val="24"/>
          <w:szCs w:val="24"/>
        </w:rPr>
        <w:t xml:space="preserve"> in this way, but instead </w:t>
      </w:r>
      <w:r w:rsidRPr="00683B48">
        <w:rPr>
          <w:rFonts w:cs="Arial"/>
          <w:sz w:val="24"/>
          <w:szCs w:val="24"/>
        </w:rPr>
        <w:t xml:space="preserve">typically serve to raise awareness and/or put pressure on relevant actors to take measures to </w:t>
      </w:r>
      <w:r w:rsidR="00283EA5" w:rsidRPr="00683B48">
        <w:rPr>
          <w:rFonts w:cs="Arial"/>
          <w:sz w:val="24"/>
          <w:szCs w:val="24"/>
        </w:rPr>
        <w:t xml:space="preserve">prevent </w:t>
      </w:r>
      <w:r w:rsidRPr="00683B48">
        <w:rPr>
          <w:rFonts w:cs="Arial"/>
          <w:sz w:val="24"/>
          <w:szCs w:val="24"/>
        </w:rPr>
        <w:t xml:space="preserve">discrimination. </w:t>
      </w:r>
      <w:r w:rsidR="00283EA5" w:rsidRPr="00683B48">
        <w:rPr>
          <w:rFonts w:cs="Arial"/>
          <w:sz w:val="24"/>
          <w:szCs w:val="24"/>
        </w:rPr>
        <w:t>This may be done by f</w:t>
      </w:r>
      <w:r w:rsidRPr="00683B48">
        <w:rPr>
          <w:rFonts w:cs="Arial"/>
          <w:sz w:val="24"/>
          <w:szCs w:val="24"/>
        </w:rPr>
        <w:t>or example</w:t>
      </w:r>
      <w:r w:rsidR="00283EA5" w:rsidRPr="00683B48">
        <w:rPr>
          <w:rFonts w:cs="Arial"/>
          <w:sz w:val="24"/>
          <w:szCs w:val="24"/>
        </w:rPr>
        <w:t xml:space="preserve"> </w:t>
      </w:r>
      <w:r w:rsidRPr="00683B48">
        <w:rPr>
          <w:rFonts w:cs="Arial"/>
          <w:sz w:val="24"/>
          <w:szCs w:val="24"/>
        </w:rPr>
        <w:t>attract</w:t>
      </w:r>
      <w:r w:rsidR="00283EA5" w:rsidRPr="00683B48">
        <w:rPr>
          <w:rFonts w:cs="Arial"/>
          <w:sz w:val="24"/>
          <w:szCs w:val="24"/>
        </w:rPr>
        <w:t>ing</w:t>
      </w:r>
      <w:r w:rsidRPr="00683B48">
        <w:rPr>
          <w:rFonts w:cs="Arial"/>
          <w:sz w:val="24"/>
          <w:szCs w:val="24"/>
        </w:rPr>
        <w:t xml:space="preserve"> media attention </w:t>
      </w:r>
      <w:r w:rsidR="008D005C" w:rsidRPr="00683B48">
        <w:rPr>
          <w:rFonts w:cs="Arial"/>
          <w:sz w:val="24"/>
          <w:szCs w:val="24"/>
        </w:rPr>
        <w:t>to</w:t>
      </w:r>
      <w:r w:rsidRPr="00683B48">
        <w:rPr>
          <w:rFonts w:cs="Arial"/>
          <w:sz w:val="24"/>
          <w:szCs w:val="24"/>
        </w:rPr>
        <w:t xml:space="preserve"> shed light on a particular problem, sector, or group. </w:t>
      </w:r>
    </w:p>
    <w:p w14:paraId="5B11430C" w14:textId="77777777" w:rsidR="00647EA0" w:rsidRPr="00683B48" w:rsidRDefault="00647EA0" w:rsidP="00FD78A5">
      <w:pPr>
        <w:jc w:val="both"/>
        <w:rPr>
          <w:rFonts w:cs="Arial"/>
          <w:sz w:val="24"/>
          <w:szCs w:val="24"/>
        </w:rPr>
      </w:pPr>
      <w:r w:rsidRPr="00683B48">
        <w:rPr>
          <w:rFonts w:cs="Arial"/>
          <w:sz w:val="24"/>
          <w:szCs w:val="24"/>
        </w:rPr>
        <w:t xml:space="preserve">The </w:t>
      </w:r>
      <w:r w:rsidR="008D005C" w:rsidRPr="00683B48">
        <w:rPr>
          <w:rFonts w:cs="Arial"/>
          <w:sz w:val="24"/>
          <w:szCs w:val="24"/>
        </w:rPr>
        <w:t xml:space="preserve">objective </w:t>
      </w:r>
      <w:r w:rsidRPr="00683B48">
        <w:rPr>
          <w:rFonts w:cs="Arial"/>
          <w:sz w:val="24"/>
          <w:szCs w:val="24"/>
        </w:rPr>
        <w:t xml:space="preserve">of strategic </w:t>
      </w:r>
      <w:r w:rsidR="008D005C" w:rsidRPr="00683B48">
        <w:rPr>
          <w:rFonts w:cs="Arial"/>
          <w:sz w:val="24"/>
          <w:szCs w:val="24"/>
        </w:rPr>
        <w:t xml:space="preserve">litigation is commonly </w:t>
      </w:r>
      <w:r w:rsidRPr="00683B48">
        <w:rPr>
          <w:rFonts w:cs="Arial"/>
          <w:sz w:val="24"/>
          <w:szCs w:val="24"/>
        </w:rPr>
        <w:t xml:space="preserve">to achieve one or more of the </w:t>
      </w:r>
      <w:r w:rsidR="008D005C" w:rsidRPr="00683B48">
        <w:rPr>
          <w:rFonts w:cs="Arial"/>
          <w:sz w:val="24"/>
          <w:szCs w:val="24"/>
        </w:rPr>
        <w:t>results</w:t>
      </w:r>
      <w:r w:rsidRPr="00683B48">
        <w:rPr>
          <w:rFonts w:cs="Arial"/>
          <w:sz w:val="24"/>
          <w:szCs w:val="24"/>
        </w:rPr>
        <w:t xml:space="preserve"> listed below: </w:t>
      </w:r>
    </w:p>
    <w:p w14:paraId="40460DE8" w14:textId="77777777" w:rsidR="00FD233A" w:rsidRPr="00683B48" w:rsidRDefault="00FD233A" w:rsidP="00FD233A">
      <w:pPr>
        <w:pStyle w:val="ListParagraph"/>
        <w:numPr>
          <w:ilvl w:val="0"/>
          <w:numId w:val="5"/>
        </w:numPr>
        <w:jc w:val="both"/>
        <w:rPr>
          <w:rFonts w:cs="Arial"/>
          <w:sz w:val="24"/>
          <w:szCs w:val="24"/>
        </w:rPr>
      </w:pPr>
      <w:r w:rsidRPr="00683B48">
        <w:rPr>
          <w:rFonts w:cs="Arial"/>
          <w:sz w:val="24"/>
          <w:szCs w:val="24"/>
        </w:rPr>
        <w:t xml:space="preserve">To clarify or establish a point of law / the meaning of a particular legal provision </w:t>
      </w:r>
    </w:p>
    <w:p w14:paraId="5A90625C" w14:textId="77777777" w:rsidR="00FD233A" w:rsidRPr="00683B48" w:rsidRDefault="00FD233A" w:rsidP="00FD233A">
      <w:pPr>
        <w:pStyle w:val="ListParagraph"/>
        <w:numPr>
          <w:ilvl w:val="0"/>
          <w:numId w:val="5"/>
        </w:numPr>
        <w:jc w:val="both"/>
        <w:rPr>
          <w:rFonts w:cs="Arial"/>
          <w:sz w:val="24"/>
          <w:szCs w:val="24"/>
        </w:rPr>
      </w:pPr>
      <w:r w:rsidRPr="00683B48">
        <w:rPr>
          <w:rFonts w:cs="Arial"/>
          <w:sz w:val="24"/>
          <w:szCs w:val="24"/>
        </w:rPr>
        <w:t>To effect a change in the law</w:t>
      </w:r>
    </w:p>
    <w:p w14:paraId="701A3E88" w14:textId="77777777" w:rsidR="00FD233A" w:rsidRPr="00683B48" w:rsidRDefault="00647EA0" w:rsidP="00FD233A">
      <w:pPr>
        <w:pStyle w:val="ListParagraph"/>
        <w:numPr>
          <w:ilvl w:val="0"/>
          <w:numId w:val="5"/>
        </w:numPr>
        <w:jc w:val="both"/>
        <w:rPr>
          <w:rFonts w:cs="Arial"/>
          <w:sz w:val="24"/>
          <w:szCs w:val="24"/>
        </w:rPr>
      </w:pPr>
      <w:r w:rsidRPr="00683B48">
        <w:rPr>
          <w:rFonts w:cs="Arial"/>
          <w:sz w:val="24"/>
          <w:szCs w:val="24"/>
        </w:rPr>
        <w:t xml:space="preserve">To </w:t>
      </w:r>
      <w:r w:rsidR="00FD233A" w:rsidRPr="00683B48">
        <w:rPr>
          <w:rFonts w:cs="Arial"/>
          <w:sz w:val="24"/>
          <w:szCs w:val="24"/>
        </w:rPr>
        <w:t>obtain judicial clarity on the application of equality and non-discrimination law</w:t>
      </w:r>
    </w:p>
    <w:p w14:paraId="39DDE2D0" w14:textId="77777777" w:rsidR="00FD233A" w:rsidRPr="00683B48" w:rsidRDefault="00FD233A" w:rsidP="00FD233A">
      <w:pPr>
        <w:pStyle w:val="ListParagraph"/>
        <w:numPr>
          <w:ilvl w:val="0"/>
          <w:numId w:val="5"/>
        </w:numPr>
        <w:jc w:val="both"/>
        <w:rPr>
          <w:rFonts w:cs="Arial"/>
          <w:sz w:val="24"/>
          <w:szCs w:val="24"/>
        </w:rPr>
      </w:pPr>
      <w:r w:rsidRPr="00683B48">
        <w:rPr>
          <w:rFonts w:cs="Arial"/>
          <w:sz w:val="24"/>
          <w:szCs w:val="24"/>
        </w:rPr>
        <w:t xml:space="preserve">To establish that non-discrimination law covers or does not cover a particular situation </w:t>
      </w:r>
    </w:p>
    <w:p w14:paraId="105325B3" w14:textId="77777777" w:rsidR="00FD233A" w:rsidRPr="00683B48" w:rsidRDefault="00FD233A" w:rsidP="00FD233A">
      <w:pPr>
        <w:pStyle w:val="ListParagraph"/>
        <w:numPr>
          <w:ilvl w:val="0"/>
          <w:numId w:val="5"/>
        </w:numPr>
        <w:jc w:val="both"/>
        <w:rPr>
          <w:rFonts w:cs="Arial"/>
          <w:sz w:val="24"/>
          <w:szCs w:val="24"/>
        </w:rPr>
      </w:pPr>
      <w:r w:rsidRPr="00683B48">
        <w:rPr>
          <w:rFonts w:cs="Arial"/>
          <w:sz w:val="24"/>
          <w:szCs w:val="24"/>
        </w:rPr>
        <w:t>To highlight a serious issue such as a policy or practice which has a negative effect on many people, as part of a wider campaign for legal and social change</w:t>
      </w:r>
    </w:p>
    <w:p w14:paraId="60D9F93A" w14:textId="77777777" w:rsidR="00647EA0" w:rsidRPr="00683B48" w:rsidRDefault="00FD233A" w:rsidP="00FD78A5">
      <w:pPr>
        <w:pStyle w:val="ListParagraph"/>
        <w:numPr>
          <w:ilvl w:val="0"/>
          <w:numId w:val="5"/>
        </w:numPr>
        <w:jc w:val="both"/>
        <w:rPr>
          <w:rFonts w:cs="Arial"/>
          <w:sz w:val="24"/>
          <w:szCs w:val="24"/>
        </w:rPr>
      </w:pPr>
      <w:r w:rsidRPr="00683B48">
        <w:rPr>
          <w:rFonts w:cs="Arial"/>
          <w:sz w:val="24"/>
          <w:szCs w:val="24"/>
        </w:rPr>
        <w:t xml:space="preserve">To </w:t>
      </w:r>
      <w:r w:rsidR="00647EA0" w:rsidRPr="00683B48">
        <w:rPr>
          <w:rFonts w:cs="Arial"/>
          <w:sz w:val="24"/>
          <w:szCs w:val="24"/>
        </w:rPr>
        <w:t xml:space="preserve">ensure that </w:t>
      </w:r>
      <w:r w:rsidRPr="00683B48">
        <w:rPr>
          <w:rFonts w:cs="Arial"/>
          <w:sz w:val="24"/>
          <w:szCs w:val="24"/>
        </w:rPr>
        <w:t>non-discrimination</w:t>
      </w:r>
      <w:r w:rsidR="00647EA0" w:rsidRPr="00683B48">
        <w:rPr>
          <w:rFonts w:cs="Arial"/>
          <w:sz w:val="24"/>
          <w:szCs w:val="24"/>
        </w:rPr>
        <w:t xml:space="preserve"> law </w:t>
      </w:r>
      <w:r w:rsidRPr="00683B48">
        <w:rPr>
          <w:rFonts w:cs="Arial"/>
          <w:sz w:val="24"/>
          <w:szCs w:val="24"/>
        </w:rPr>
        <w:t>is</w:t>
      </w:r>
      <w:r w:rsidR="00647EA0" w:rsidRPr="00683B48">
        <w:rPr>
          <w:rFonts w:cs="Arial"/>
          <w:sz w:val="24"/>
          <w:szCs w:val="24"/>
        </w:rPr>
        <w:t xml:space="preserve"> upheld</w:t>
      </w:r>
    </w:p>
    <w:p w14:paraId="253AFE90" w14:textId="77777777" w:rsidR="00647EA0" w:rsidRPr="00683B48" w:rsidRDefault="00CA316A" w:rsidP="00FD78A5">
      <w:pPr>
        <w:pStyle w:val="ListParagraph"/>
        <w:numPr>
          <w:ilvl w:val="0"/>
          <w:numId w:val="5"/>
        </w:numPr>
        <w:jc w:val="both"/>
        <w:rPr>
          <w:rFonts w:cs="Arial"/>
          <w:sz w:val="24"/>
          <w:szCs w:val="24"/>
        </w:rPr>
      </w:pPr>
      <w:r w:rsidRPr="00683B48">
        <w:rPr>
          <w:rFonts w:cs="Arial"/>
          <w:sz w:val="24"/>
          <w:szCs w:val="24"/>
        </w:rPr>
        <w:t>To overturn ‘bad’ case law</w:t>
      </w:r>
    </w:p>
    <w:p w14:paraId="6344A1A4" w14:textId="77777777" w:rsidR="00647EA0" w:rsidRPr="00D27A66" w:rsidRDefault="00647EA0" w:rsidP="00D27A66">
      <w:pPr>
        <w:pStyle w:val="ListParagraph"/>
        <w:numPr>
          <w:ilvl w:val="0"/>
          <w:numId w:val="5"/>
        </w:numPr>
        <w:jc w:val="both"/>
        <w:rPr>
          <w:rFonts w:cs="Arial"/>
          <w:sz w:val="24"/>
          <w:szCs w:val="24"/>
        </w:rPr>
      </w:pPr>
      <w:r w:rsidRPr="00683B48">
        <w:rPr>
          <w:rFonts w:cs="Arial"/>
          <w:sz w:val="24"/>
          <w:szCs w:val="24"/>
        </w:rPr>
        <w:t xml:space="preserve">To </w:t>
      </w:r>
      <w:r w:rsidR="00030633" w:rsidRPr="00683B48">
        <w:rPr>
          <w:rFonts w:cs="Arial"/>
          <w:sz w:val="24"/>
          <w:szCs w:val="24"/>
        </w:rPr>
        <w:t>establish legal precedent,</w:t>
      </w:r>
      <w:r w:rsidRPr="00683B48">
        <w:rPr>
          <w:rFonts w:cs="Arial"/>
          <w:sz w:val="24"/>
          <w:szCs w:val="24"/>
        </w:rPr>
        <w:t xml:space="preserve"> </w:t>
      </w:r>
      <w:r w:rsidR="00030633" w:rsidRPr="00683B48">
        <w:rPr>
          <w:rFonts w:cs="Arial"/>
          <w:sz w:val="24"/>
          <w:szCs w:val="24"/>
        </w:rPr>
        <w:t xml:space="preserve">enabling </w:t>
      </w:r>
      <w:r w:rsidRPr="00683B48">
        <w:rPr>
          <w:rFonts w:cs="Arial"/>
          <w:sz w:val="24"/>
          <w:szCs w:val="24"/>
        </w:rPr>
        <w:t>others to enforce their rights more confidently</w:t>
      </w:r>
    </w:p>
    <w:p w14:paraId="5AFA0DC8" w14:textId="77777777" w:rsidR="00647EA0" w:rsidRPr="00683B48" w:rsidRDefault="00030633" w:rsidP="00FD78A5">
      <w:pPr>
        <w:jc w:val="both"/>
        <w:rPr>
          <w:rFonts w:cs="Arial"/>
          <w:sz w:val="24"/>
          <w:szCs w:val="24"/>
        </w:rPr>
      </w:pPr>
      <w:r w:rsidRPr="00683B48">
        <w:rPr>
          <w:rFonts w:cs="Arial"/>
          <w:sz w:val="24"/>
          <w:szCs w:val="24"/>
        </w:rPr>
        <w:t xml:space="preserve">The specific objectives in each case must be kept in mind throughout the litigation process in order to ensure </w:t>
      </w:r>
      <w:r w:rsidR="00F0420E" w:rsidRPr="00683B48">
        <w:rPr>
          <w:rFonts w:cs="Arial"/>
          <w:sz w:val="24"/>
          <w:szCs w:val="24"/>
        </w:rPr>
        <w:t>adequate adjustment in the event of</w:t>
      </w:r>
      <w:r w:rsidRPr="00683B48">
        <w:rPr>
          <w:rFonts w:cs="Arial"/>
          <w:sz w:val="24"/>
          <w:szCs w:val="24"/>
        </w:rPr>
        <w:t xml:space="preserve"> a </w:t>
      </w:r>
      <w:r w:rsidR="00647EA0" w:rsidRPr="00683B48">
        <w:rPr>
          <w:rFonts w:cs="Arial"/>
          <w:sz w:val="24"/>
          <w:szCs w:val="24"/>
        </w:rPr>
        <w:t>chang</w:t>
      </w:r>
      <w:r w:rsidRPr="00683B48">
        <w:rPr>
          <w:rFonts w:cs="Arial"/>
          <w:sz w:val="24"/>
          <w:szCs w:val="24"/>
        </w:rPr>
        <w:t>e in</w:t>
      </w:r>
      <w:r w:rsidR="00647EA0" w:rsidRPr="00683B48">
        <w:rPr>
          <w:rFonts w:cs="Arial"/>
          <w:sz w:val="24"/>
          <w:szCs w:val="24"/>
        </w:rPr>
        <w:t xml:space="preserve"> circumstances</w:t>
      </w:r>
      <w:r w:rsidR="00F0420E" w:rsidRPr="00683B48">
        <w:rPr>
          <w:rFonts w:cs="Arial"/>
          <w:sz w:val="24"/>
          <w:szCs w:val="24"/>
        </w:rPr>
        <w:t>.</w:t>
      </w:r>
      <w:r w:rsidR="00647EA0" w:rsidRPr="00683B48">
        <w:rPr>
          <w:rFonts w:cs="Arial"/>
          <w:sz w:val="24"/>
          <w:szCs w:val="24"/>
        </w:rPr>
        <w:t xml:space="preserve"> </w:t>
      </w:r>
      <w:r w:rsidR="00F0420E" w:rsidRPr="00683B48">
        <w:rPr>
          <w:rFonts w:cs="Arial"/>
          <w:sz w:val="24"/>
          <w:szCs w:val="24"/>
        </w:rPr>
        <w:t xml:space="preserve">This may be the case where </w:t>
      </w:r>
      <w:r w:rsidR="00647EA0" w:rsidRPr="00683B48">
        <w:rPr>
          <w:rFonts w:cs="Arial"/>
          <w:sz w:val="24"/>
          <w:szCs w:val="24"/>
        </w:rPr>
        <w:t xml:space="preserve">the legal issue </w:t>
      </w:r>
      <w:r w:rsidR="00F0420E" w:rsidRPr="00683B48">
        <w:rPr>
          <w:rFonts w:cs="Arial"/>
          <w:sz w:val="24"/>
          <w:szCs w:val="24"/>
        </w:rPr>
        <w:t xml:space="preserve">in question is </w:t>
      </w:r>
      <w:r w:rsidR="00647EA0" w:rsidRPr="00683B48">
        <w:rPr>
          <w:rFonts w:cs="Arial"/>
          <w:sz w:val="24"/>
          <w:szCs w:val="24"/>
        </w:rPr>
        <w:t>resolved in another case, or there are legal or political developments which impact the case or media</w:t>
      </w:r>
      <w:r w:rsidR="00F0420E" w:rsidRPr="00683B48">
        <w:rPr>
          <w:rFonts w:cs="Arial"/>
          <w:sz w:val="24"/>
          <w:szCs w:val="24"/>
        </w:rPr>
        <w:t>’s</w:t>
      </w:r>
      <w:r w:rsidR="00647EA0" w:rsidRPr="00683B48">
        <w:rPr>
          <w:rFonts w:cs="Arial"/>
          <w:sz w:val="24"/>
          <w:szCs w:val="24"/>
        </w:rPr>
        <w:t xml:space="preserve"> interest in it.</w:t>
      </w:r>
    </w:p>
    <w:p w14:paraId="45EF9F80" w14:textId="77777777" w:rsidR="00647EA0" w:rsidRPr="00683B48" w:rsidRDefault="00695C28" w:rsidP="00FD78A5">
      <w:pPr>
        <w:jc w:val="both"/>
        <w:rPr>
          <w:rFonts w:cs="Arial"/>
          <w:sz w:val="24"/>
          <w:szCs w:val="24"/>
        </w:rPr>
      </w:pPr>
      <w:r w:rsidRPr="00683B48">
        <w:rPr>
          <w:rFonts w:cs="Arial"/>
          <w:sz w:val="24"/>
          <w:szCs w:val="24"/>
        </w:rPr>
        <w:t>The principles described in this handbook can also be applied to other functions</w:t>
      </w:r>
      <w:r w:rsidRPr="00683B48" w:rsidDel="000B5C73">
        <w:rPr>
          <w:rFonts w:cs="Arial"/>
          <w:sz w:val="24"/>
          <w:szCs w:val="24"/>
        </w:rPr>
        <w:t xml:space="preserve"> </w:t>
      </w:r>
      <w:r w:rsidRPr="00683B48">
        <w:rPr>
          <w:rFonts w:cs="Arial"/>
          <w:sz w:val="24"/>
          <w:szCs w:val="24"/>
        </w:rPr>
        <w:t>performed</w:t>
      </w:r>
      <w:r w:rsidR="000B5C73" w:rsidRPr="00683B48">
        <w:rPr>
          <w:rFonts w:cs="Arial"/>
          <w:sz w:val="24"/>
          <w:szCs w:val="24"/>
        </w:rPr>
        <w:t xml:space="preserve"> </w:t>
      </w:r>
      <w:r w:rsidRPr="00683B48">
        <w:rPr>
          <w:rFonts w:cs="Arial"/>
          <w:sz w:val="24"/>
          <w:szCs w:val="24"/>
        </w:rPr>
        <w:t xml:space="preserve">by </w:t>
      </w:r>
      <w:r w:rsidR="00647EA0" w:rsidRPr="00683B48">
        <w:rPr>
          <w:rFonts w:cs="Arial"/>
          <w:sz w:val="24"/>
          <w:szCs w:val="24"/>
        </w:rPr>
        <w:t>National Eq</w:t>
      </w:r>
      <w:r w:rsidR="00874611" w:rsidRPr="00683B48">
        <w:rPr>
          <w:rFonts w:cs="Arial"/>
          <w:sz w:val="24"/>
          <w:szCs w:val="24"/>
        </w:rPr>
        <w:t xml:space="preserve">uality Bodies </w:t>
      </w:r>
      <w:r w:rsidR="00647EA0" w:rsidRPr="00683B48">
        <w:rPr>
          <w:rFonts w:cs="Arial"/>
          <w:sz w:val="24"/>
          <w:szCs w:val="24"/>
        </w:rPr>
        <w:t>and National Human Rights Institutions (NHRI</w:t>
      </w:r>
      <w:r w:rsidRPr="00683B48">
        <w:rPr>
          <w:rFonts w:cs="Arial"/>
          <w:sz w:val="24"/>
          <w:szCs w:val="24"/>
        </w:rPr>
        <w:t>) in order to achieve the maximum possible impact of their work.</w:t>
      </w:r>
      <w:r w:rsidR="00647EA0" w:rsidRPr="00683B48">
        <w:rPr>
          <w:rFonts w:cs="Arial"/>
          <w:sz w:val="24"/>
          <w:szCs w:val="24"/>
        </w:rPr>
        <w:t xml:space="preserve"> </w:t>
      </w:r>
      <w:r w:rsidRPr="00683B48">
        <w:rPr>
          <w:rFonts w:cs="Arial"/>
          <w:sz w:val="24"/>
          <w:szCs w:val="24"/>
        </w:rPr>
        <w:t>These principles</w:t>
      </w:r>
      <w:r w:rsidR="00647EA0" w:rsidRPr="00683B48">
        <w:rPr>
          <w:rFonts w:cs="Arial"/>
          <w:sz w:val="24"/>
          <w:szCs w:val="24"/>
        </w:rPr>
        <w:t xml:space="preserve"> </w:t>
      </w:r>
      <w:r w:rsidRPr="00683B48">
        <w:rPr>
          <w:rFonts w:cs="Arial"/>
          <w:sz w:val="24"/>
          <w:szCs w:val="24"/>
        </w:rPr>
        <w:t xml:space="preserve">may be of use when deciding </w:t>
      </w:r>
      <w:r w:rsidR="00647EA0" w:rsidRPr="00683B48">
        <w:rPr>
          <w:rFonts w:cs="Arial"/>
          <w:sz w:val="24"/>
          <w:szCs w:val="24"/>
        </w:rPr>
        <w:t xml:space="preserve">whether to exercise legal powers or duties, lobbying, briefing the media, and providing information </w:t>
      </w:r>
      <w:r w:rsidRPr="00683B48">
        <w:rPr>
          <w:rFonts w:cs="Arial"/>
          <w:sz w:val="24"/>
          <w:szCs w:val="24"/>
        </w:rPr>
        <w:t>or</w:t>
      </w:r>
      <w:r w:rsidR="00647EA0" w:rsidRPr="00683B48">
        <w:rPr>
          <w:rFonts w:cs="Arial"/>
          <w:sz w:val="24"/>
          <w:szCs w:val="24"/>
        </w:rPr>
        <w:t xml:space="preserve"> </w:t>
      </w:r>
      <w:r w:rsidRPr="00683B48">
        <w:rPr>
          <w:rFonts w:cs="Arial"/>
          <w:sz w:val="24"/>
          <w:szCs w:val="24"/>
        </w:rPr>
        <w:t>training</w:t>
      </w:r>
      <w:r w:rsidR="00647EA0" w:rsidRPr="00683B48">
        <w:rPr>
          <w:rFonts w:cs="Arial"/>
          <w:sz w:val="24"/>
          <w:szCs w:val="24"/>
        </w:rPr>
        <w:t xml:space="preserve">. </w:t>
      </w:r>
    </w:p>
    <w:p w14:paraId="14C6D648" w14:textId="77777777" w:rsidR="00647EA0" w:rsidRPr="00683B48" w:rsidRDefault="00647EA0" w:rsidP="00FD78A5">
      <w:pPr>
        <w:jc w:val="both"/>
        <w:rPr>
          <w:rFonts w:cs="Arial"/>
          <w:b/>
          <w:sz w:val="24"/>
          <w:szCs w:val="24"/>
        </w:rPr>
      </w:pPr>
      <w:r w:rsidRPr="00683B48">
        <w:rPr>
          <w:rFonts w:cs="Arial"/>
          <w:b/>
          <w:sz w:val="24"/>
          <w:szCs w:val="24"/>
        </w:rPr>
        <w:t xml:space="preserve">BENEFITS OF STRATEGIC LITIGATION </w:t>
      </w:r>
    </w:p>
    <w:p w14:paraId="2B174766" w14:textId="2D405DA2" w:rsidR="00647EA0" w:rsidRPr="00683B48" w:rsidRDefault="00647EA0" w:rsidP="00FD78A5">
      <w:pPr>
        <w:jc w:val="both"/>
        <w:rPr>
          <w:rFonts w:cs="Arial"/>
          <w:sz w:val="24"/>
          <w:szCs w:val="24"/>
        </w:rPr>
      </w:pPr>
      <w:r w:rsidRPr="00683B48">
        <w:rPr>
          <w:rFonts w:cs="Arial"/>
          <w:sz w:val="24"/>
          <w:szCs w:val="24"/>
        </w:rPr>
        <w:t xml:space="preserve">When successful, strategic litigation can </w:t>
      </w:r>
      <w:r w:rsidR="000879F4" w:rsidRPr="00683B48">
        <w:rPr>
          <w:rFonts w:cs="Arial"/>
          <w:sz w:val="24"/>
          <w:szCs w:val="24"/>
        </w:rPr>
        <w:t xml:space="preserve">entail </w:t>
      </w:r>
      <w:r w:rsidR="002C0FD9" w:rsidRPr="00683B48">
        <w:rPr>
          <w:rFonts w:cs="Arial"/>
          <w:sz w:val="24"/>
          <w:szCs w:val="24"/>
        </w:rPr>
        <w:t>widespread</w:t>
      </w:r>
      <w:r w:rsidRPr="00683B48">
        <w:rPr>
          <w:rFonts w:cs="Arial"/>
          <w:sz w:val="24"/>
          <w:szCs w:val="24"/>
        </w:rPr>
        <w:t xml:space="preserve"> benefits</w:t>
      </w:r>
      <w:r w:rsidR="002C0FD9" w:rsidRPr="00683B48">
        <w:rPr>
          <w:rFonts w:cs="Arial"/>
          <w:sz w:val="24"/>
          <w:szCs w:val="24"/>
        </w:rPr>
        <w:t xml:space="preserve"> for society in general in addition to </w:t>
      </w:r>
      <w:r w:rsidRPr="00683B48">
        <w:rPr>
          <w:rFonts w:cs="Arial"/>
          <w:sz w:val="24"/>
          <w:szCs w:val="24"/>
        </w:rPr>
        <w:t>those involved in the</w:t>
      </w:r>
      <w:r w:rsidR="002C0FD9" w:rsidRPr="00683B48">
        <w:rPr>
          <w:rFonts w:cs="Arial"/>
          <w:sz w:val="24"/>
          <w:szCs w:val="24"/>
        </w:rPr>
        <w:t xml:space="preserve"> specific</w:t>
      </w:r>
      <w:r w:rsidRPr="00683B48">
        <w:rPr>
          <w:rFonts w:cs="Arial"/>
          <w:sz w:val="24"/>
          <w:szCs w:val="24"/>
        </w:rPr>
        <w:t xml:space="preserve"> case. </w:t>
      </w:r>
      <w:r w:rsidR="00F72547" w:rsidRPr="00683B48">
        <w:rPr>
          <w:rFonts w:cs="Arial"/>
          <w:sz w:val="24"/>
          <w:szCs w:val="24"/>
        </w:rPr>
        <w:t xml:space="preserve">The outcome of these cases </w:t>
      </w:r>
      <w:r w:rsidRPr="00683B48">
        <w:rPr>
          <w:rFonts w:cs="Arial"/>
          <w:sz w:val="24"/>
          <w:szCs w:val="24"/>
        </w:rPr>
        <w:t xml:space="preserve">can lead to </w:t>
      </w:r>
      <w:r w:rsidRPr="00683B48">
        <w:rPr>
          <w:rFonts w:cs="Arial"/>
          <w:sz w:val="24"/>
          <w:szCs w:val="24"/>
        </w:rPr>
        <w:lastRenderedPageBreak/>
        <w:t>changes</w:t>
      </w:r>
      <w:r w:rsidR="00F72547" w:rsidRPr="00683B48">
        <w:rPr>
          <w:rFonts w:cs="Arial"/>
          <w:sz w:val="24"/>
          <w:szCs w:val="24"/>
        </w:rPr>
        <w:t xml:space="preserve"> in legislation and</w:t>
      </w:r>
      <w:r w:rsidRPr="00683B48">
        <w:rPr>
          <w:rFonts w:cs="Arial"/>
          <w:sz w:val="24"/>
          <w:szCs w:val="24"/>
        </w:rPr>
        <w:t xml:space="preserve"> </w:t>
      </w:r>
      <w:r w:rsidR="00CA09FC">
        <w:rPr>
          <w:rFonts w:cs="Arial"/>
          <w:sz w:val="24"/>
          <w:szCs w:val="24"/>
        </w:rPr>
        <w:t>g</w:t>
      </w:r>
      <w:r w:rsidRPr="00683B48">
        <w:rPr>
          <w:rFonts w:cs="Arial"/>
          <w:sz w:val="24"/>
          <w:szCs w:val="24"/>
        </w:rPr>
        <w:t>overnment policy, raise public awareness</w:t>
      </w:r>
      <w:r w:rsidR="00F72547" w:rsidRPr="00683B48">
        <w:rPr>
          <w:rFonts w:cs="Arial"/>
          <w:sz w:val="24"/>
          <w:szCs w:val="24"/>
        </w:rPr>
        <w:t>, as well as</w:t>
      </w:r>
      <w:r w:rsidRPr="00683B48">
        <w:rPr>
          <w:rFonts w:cs="Arial"/>
          <w:sz w:val="24"/>
          <w:szCs w:val="24"/>
        </w:rPr>
        <w:t xml:space="preserve"> foster support for a particular issue. </w:t>
      </w:r>
    </w:p>
    <w:p w14:paraId="371AD338" w14:textId="77777777" w:rsidR="00647EA0" w:rsidRPr="00683B48" w:rsidRDefault="00647EA0" w:rsidP="00FD78A5">
      <w:pPr>
        <w:jc w:val="both"/>
        <w:rPr>
          <w:rFonts w:cs="Arial"/>
          <w:sz w:val="24"/>
          <w:szCs w:val="24"/>
        </w:rPr>
      </w:pPr>
      <w:r w:rsidRPr="00683B48">
        <w:rPr>
          <w:rFonts w:cs="Arial"/>
          <w:sz w:val="24"/>
          <w:szCs w:val="24"/>
        </w:rPr>
        <w:t xml:space="preserve">Below are </w:t>
      </w:r>
      <w:r w:rsidR="00F72547" w:rsidRPr="00683B48">
        <w:rPr>
          <w:rFonts w:cs="Arial"/>
          <w:sz w:val="24"/>
          <w:szCs w:val="24"/>
        </w:rPr>
        <w:t xml:space="preserve">examples of </w:t>
      </w:r>
      <w:r w:rsidRPr="00683B48">
        <w:rPr>
          <w:rFonts w:cs="Arial"/>
          <w:sz w:val="24"/>
          <w:szCs w:val="24"/>
        </w:rPr>
        <w:t>case</w:t>
      </w:r>
      <w:r w:rsidR="00F72547" w:rsidRPr="00683B48">
        <w:rPr>
          <w:rFonts w:cs="Arial"/>
          <w:sz w:val="24"/>
          <w:szCs w:val="24"/>
        </w:rPr>
        <w:t xml:space="preserve"> law</w:t>
      </w:r>
      <w:r w:rsidRPr="00683B48">
        <w:rPr>
          <w:rFonts w:cs="Arial"/>
          <w:sz w:val="24"/>
          <w:szCs w:val="24"/>
        </w:rPr>
        <w:t xml:space="preserve"> which illustrate the benefits of strategic litigation. </w:t>
      </w:r>
    </w:p>
    <w:p w14:paraId="1B25E9E8" w14:textId="77777777" w:rsidR="00647EA0" w:rsidRPr="00683B48" w:rsidRDefault="00647EA0" w:rsidP="00FD78A5">
      <w:pPr>
        <w:jc w:val="both"/>
        <w:rPr>
          <w:rFonts w:cs="Arial"/>
          <w:b/>
          <w:sz w:val="24"/>
          <w:szCs w:val="24"/>
        </w:rPr>
      </w:pPr>
      <w:r w:rsidRPr="00683B48">
        <w:rPr>
          <w:rFonts w:cs="Arial"/>
          <w:b/>
          <w:sz w:val="24"/>
          <w:szCs w:val="24"/>
        </w:rPr>
        <w:t xml:space="preserve">STRATEGIC LITIGATION IN ACTION </w:t>
      </w:r>
      <w:r w:rsidR="00F72547" w:rsidRPr="00683B48">
        <w:rPr>
          <w:rFonts w:cs="Arial"/>
          <w:b/>
          <w:sz w:val="24"/>
          <w:szCs w:val="24"/>
        </w:rPr>
        <w:t xml:space="preserve">– CASE LAW </w:t>
      </w:r>
      <w:r w:rsidRPr="00683B48">
        <w:rPr>
          <w:rFonts w:cs="Arial"/>
          <w:b/>
          <w:sz w:val="24"/>
          <w:szCs w:val="24"/>
        </w:rPr>
        <w:t xml:space="preserve"> </w:t>
      </w:r>
    </w:p>
    <w:p w14:paraId="188B259A" w14:textId="7DD51A8B" w:rsidR="00647EA0" w:rsidRPr="006F3139" w:rsidRDefault="00F72547" w:rsidP="006F3139">
      <w:pPr>
        <w:pStyle w:val="ListParagraph"/>
        <w:numPr>
          <w:ilvl w:val="0"/>
          <w:numId w:val="13"/>
        </w:numPr>
        <w:jc w:val="both"/>
        <w:rPr>
          <w:rFonts w:cs="Arial"/>
          <w:b/>
          <w:sz w:val="24"/>
          <w:szCs w:val="24"/>
          <w:u w:val="single"/>
        </w:rPr>
      </w:pPr>
      <w:r w:rsidRPr="006F3139">
        <w:rPr>
          <w:rFonts w:cs="Arial"/>
          <w:b/>
          <w:sz w:val="24"/>
          <w:szCs w:val="24"/>
          <w:u w:val="single"/>
        </w:rPr>
        <w:t>S</w:t>
      </w:r>
      <w:r w:rsidR="00647EA0" w:rsidRPr="006F3139">
        <w:rPr>
          <w:rFonts w:cs="Arial"/>
          <w:b/>
          <w:sz w:val="24"/>
          <w:szCs w:val="24"/>
          <w:u w:val="single"/>
        </w:rPr>
        <w:t xml:space="preserve">trategic </w:t>
      </w:r>
      <w:r w:rsidRPr="006F3139">
        <w:rPr>
          <w:rFonts w:cs="Arial"/>
          <w:b/>
          <w:sz w:val="24"/>
          <w:szCs w:val="24"/>
          <w:u w:val="single"/>
        </w:rPr>
        <w:t>L</w:t>
      </w:r>
      <w:r w:rsidR="00647EA0" w:rsidRPr="006F3139">
        <w:rPr>
          <w:rFonts w:cs="Arial"/>
          <w:b/>
          <w:sz w:val="24"/>
          <w:szCs w:val="24"/>
          <w:u w:val="single"/>
        </w:rPr>
        <w:t xml:space="preserve">itigation to </w:t>
      </w:r>
      <w:r w:rsidRPr="006F3139">
        <w:rPr>
          <w:rFonts w:cs="Arial"/>
          <w:b/>
          <w:sz w:val="24"/>
          <w:szCs w:val="24"/>
          <w:u w:val="single"/>
        </w:rPr>
        <w:t>C</w:t>
      </w:r>
      <w:r w:rsidR="00647EA0" w:rsidRPr="006F3139">
        <w:rPr>
          <w:rFonts w:cs="Arial"/>
          <w:b/>
          <w:sz w:val="24"/>
          <w:szCs w:val="24"/>
          <w:u w:val="single"/>
        </w:rPr>
        <w:t xml:space="preserve">larify </w:t>
      </w:r>
      <w:r w:rsidRPr="006F3139">
        <w:rPr>
          <w:rFonts w:cs="Arial"/>
          <w:b/>
          <w:sz w:val="24"/>
          <w:szCs w:val="24"/>
          <w:u w:val="single"/>
        </w:rPr>
        <w:t>or Establish a Point of L</w:t>
      </w:r>
      <w:r w:rsidR="00647EA0" w:rsidRPr="006F3139">
        <w:rPr>
          <w:rFonts w:cs="Arial"/>
          <w:b/>
          <w:sz w:val="24"/>
          <w:szCs w:val="24"/>
          <w:u w:val="single"/>
        </w:rPr>
        <w:t>aw</w:t>
      </w:r>
    </w:p>
    <w:p w14:paraId="2D2E40E4" w14:textId="77777777" w:rsidR="00647EA0" w:rsidRPr="00683B48" w:rsidRDefault="00647EA0" w:rsidP="00FD78A5">
      <w:pPr>
        <w:jc w:val="both"/>
        <w:rPr>
          <w:rFonts w:cs="Arial"/>
          <w:b/>
          <w:sz w:val="24"/>
          <w:szCs w:val="24"/>
        </w:rPr>
      </w:pPr>
      <w:r w:rsidRPr="00683B48">
        <w:rPr>
          <w:rFonts w:cs="Arial"/>
          <w:b/>
          <w:sz w:val="24"/>
          <w:szCs w:val="24"/>
        </w:rPr>
        <w:t xml:space="preserve">EBR Attridge Law LLP v Coleman </w:t>
      </w:r>
      <w:r w:rsidRPr="00872D62">
        <w:rPr>
          <w:rFonts w:cs="Arial"/>
          <w:sz w:val="24"/>
          <w:szCs w:val="24"/>
        </w:rPr>
        <w:t>(Employment Tribunal, UK</w:t>
      </w:r>
      <w:r w:rsidR="00316A3B" w:rsidRPr="00872D62">
        <w:rPr>
          <w:rFonts w:cs="Arial"/>
          <w:sz w:val="24"/>
          <w:szCs w:val="24"/>
        </w:rPr>
        <w:t>; CJEU C-303/06</w:t>
      </w:r>
      <w:r w:rsidRPr="00872D62">
        <w:rPr>
          <w:rFonts w:cs="Arial"/>
          <w:sz w:val="24"/>
          <w:szCs w:val="24"/>
        </w:rPr>
        <w:t>)</w:t>
      </w:r>
      <w:r w:rsidRPr="00683B48">
        <w:rPr>
          <w:rFonts w:cs="Arial"/>
          <w:b/>
          <w:sz w:val="24"/>
          <w:szCs w:val="24"/>
        </w:rPr>
        <w:t xml:space="preserve"> </w:t>
      </w:r>
    </w:p>
    <w:p w14:paraId="627C2A4A" w14:textId="73EE71C4" w:rsidR="00647EA0" w:rsidRPr="00683B48" w:rsidRDefault="00647EA0" w:rsidP="00FD78A5">
      <w:pPr>
        <w:jc w:val="both"/>
        <w:rPr>
          <w:rFonts w:cs="Arial"/>
          <w:sz w:val="24"/>
          <w:szCs w:val="24"/>
        </w:rPr>
      </w:pPr>
      <w:r w:rsidRPr="00683B48">
        <w:rPr>
          <w:rFonts w:cs="Arial"/>
          <w:sz w:val="24"/>
          <w:szCs w:val="24"/>
        </w:rPr>
        <w:t xml:space="preserve">Ms Coleman was </w:t>
      </w:r>
      <w:r w:rsidR="00237C87" w:rsidRPr="00683B48">
        <w:rPr>
          <w:rFonts w:cs="Arial"/>
          <w:sz w:val="24"/>
          <w:szCs w:val="24"/>
        </w:rPr>
        <w:t xml:space="preserve">not herself disabled, but was </w:t>
      </w:r>
      <w:r w:rsidRPr="00683B48">
        <w:rPr>
          <w:rFonts w:cs="Arial"/>
          <w:sz w:val="24"/>
          <w:szCs w:val="24"/>
        </w:rPr>
        <w:t>the care</w:t>
      </w:r>
      <w:r w:rsidR="008F2056" w:rsidRPr="00683B48">
        <w:rPr>
          <w:rFonts w:cs="Arial"/>
          <w:sz w:val="24"/>
          <w:szCs w:val="24"/>
        </w:rPr>
        <w:t>give</w:t>
      </w:r>
      <w:r w:rsidRPr="00683B48">
        <w:rPr>
          <w:rFonts w:cs="Arial"/>
          <w:sz w:val="24"/>
          <w:szCs w:val="24"/>
        </w:rPr>
        <w:t xml:space="preserve">r of her disabled young son. She brought a claim against her employer for unlawful discrimination on the grounds of her son’s disability. The employer argued that associative discrimination was not prohibited by UK </w:t>
      </w:r>
      <w:r w:rsidR="00237C87" w:rsidRPr="00683B48">
        <w:rPr>
          <w:rFonts w:cs="Arial"/>
          <w:sz w:val="24"/>
          <w:szCs w:val="24"/>
        </w:rPr>
        <w:t>non-</w:t>
      </w:r>
      <w:r w:rsidRPr="00683B48">
        <w:rPr>
          <w:rFonts w:cs="Arial"/>
          <w:sz w:val="24"/>
          <w:szCs w:val="24"/>
        </w:rPr>
        <w:t xml:space="preserve">discrimination law, and as a result the </w:t>
      </w:r>
      <w:r w:rsidR="00E32F5C" w:rsidRPr="00683B48">
        <w:rPr>
          <w:rFonts w:cs="Arial"/>
          <w:sz w:val="24"/>
          <w:szCs w:val="24"/>
        </w:rPr>
        <w:t>T</w:t>
      </w:r>
      <w:r w:rsidRPr="00683B48">
        <w:rPr>
          <w:rFonts w:cs="Arial"/>
          <w:sz w:val="24"/>
          <w:szCs w:val="24"/>
        </w:rPr>
        <w:t xml:space="preserve">ribunal had no jurisdiction to hear the claim. The tribunal referred the matter to the </w:t>
      </w:r>
      <w:r w:rsidR="00F05EC4" w:rsidRPr="00683B48">
        <w:rPr>
          <w:rFonts w:cs="Arial"/>
          <w:sz w:val="24"/>
          <w:szCs w:val="24"/>
        </w:rPr>
        <w:t xml:space="preserve">Court of Justice </w:t>
      </w:r>
      <w:r w:rsidR="004161B7">
        <w:rPr>
          <w:rFonts w:cs="Arial"/>
          <w:sz w:val="24"/>
          <w:szCs w:val="24"/>
        </w:rPr>
        <w:t xml:space="preserve">of the </w:t>
      </w:r>
      <w:r w:rsidR="004161B7" w:rsidRPr="00683B48">
        <w:rPr>
          <w:rFonts w:cs="Arial"/>
          <w:sz w:val="24"/>
          <w:szCs w:val="24"/>
        </w:rPr>
        <w:t xml:space="preserve">European </w:t>
      </w:r>
      <w:r w:rsidR="004161B7">
        <w:rPr>
          <w:rFonts w:cs="Arial"/>
          <w:sz w:val="24"/>
          <w:szCs w:val="24"/>
        </w:rPr>
        <w:t>Union</w:t>
      </w:r>
      <w:r w:rsidRPr="00683B48">
        <w:rPr>
          <w:rFonts w:cs="Arial"/>
          <w:sz w:val="24"/>
          <w:szCs w:val="24"/>
        </w:rPr>
        <w:t>(</w:t>
      </w:r>
      <w:r w:rsidR="00F05EC4" w:rsidRPr="00F05EC4">
        <w:rPr>
          <w:rFonts w:cs="Arial"/>
          <w:sz w:val="24"/>
          <w:szCs w:val="24"/>
        </w:rPr>
        <w:t xml:space="preserve"> </w:t>
      </w:r>
      <w:r w:rsidR="004161B7">
        <w:rPr>
          <w:rFonts w:cs="Arial"/>
          <w:sz w:val="24"/>
          <w:szCs w:val="24"/>
        </w:rPr>
        <w:t>CJEU</w:t>
      </w:r>
      <w:r w:rsidRPr="00683B48">
        <w:rPr>
          <w:rFonts w:cs="Arial"/>
          <w:sz w:val="24"/>
          <w:szCs w:val="24"/>
        </w:rPr>
        <w:t>, (C-303/06)), which ruled that Directive 2000/78</w:t>
      </w:r>
      <w:r w:rsidR="00B139C1" w:rsidRPr="00683B48">
        <w:rPr>
          <w:rFonts w:cs="Arial"/>
          <w:sz w:val="24"/>
          <w:szCs w:val="24"/>
        </w:rPr>
        <w:t>/EC</w:t>
      </w:r>
      <w:r w:rsidRPr="00683B48">
        <w:rPr>
          <w:rFonts w:cs="Arial"/>
          <w:sz w:val="24"/>
          <w:szCs w:val="24"/>
        </w:rPr>
        <w:t xml:space="preserve"> prohibited discrimination on the grounds of disability and </w:t>
      </w:r>
      <w:r w:rsidR="00E32F5C" w:rsidRPr="00683B48">
        <w:rPr>
          <w:rFonts w:cs="Arial"/>
          <w:sz w:val="24"/>
          <w:szCs w:val="24"/>
        </w:rPr>
        <w:t xml:space="preserve">that </w:t>
      </w:r>
      <w:r w:rsidRPr="00683B48">
        <w:rPr>
          <w:rFonts w:cs="Arial"/>
          <w:sz w:val="24"/>
          <w:szCs w:val="24"/>
        </w:rPr>
        <w:t xml:space="preserve">it was not necessary for the person who suffered discrimination to be disabled.  </w:t>
      </w:r>
    </w:p>
    <w:p w14:paraId="506F5351" w14:textId="77777777" w:rsidR="00647EA0" w:rsidRPr="00683B48" w:rsidRDefault="00647EA0" w:rsidP="00FD78A5">
      <w:pPr>
        <w:jc w:val="both"/>
        <w:rPr>
          <w:rFonts w:cs="Arial"/>
          <w:sz w:val="24"/>
          <w:szCs w:val="24"/>
        </w:rPr>
      </w:pPr>
      <w:r w:rsidRPr="00683B48">
        <w:rPr>
          <w:rFonts w:cs="Arial"/>
          <w:sz w:val="24"/>
          <w:szCs w:val="24"/>
        </w:rPr>
        <w:t xml:space="preserve">As a result, Ms Coleman’s case </w:t>
      </w:r>
      <w:r w:rsidR="00E32F5C" w:rsidRPr="00683B48">
        <w:rPr>
          <w:rFonts w:cs="Arial"/>
          <w:sz w:val="24"/>
          <w:szCs w:val="24"/>
        </w:rPr>
        <w:t>was tried by</w:t>
      </w:r>
      <w:r w:rsidRPr="00683B48">
        <w:rPr>
          <w:rFonts w:cs="Arial"/>
          <w:sz w:val="24"/>
          <w:szCs w:val="24"/>
        </w:rPr>
        <w:t xml:space="preserve"> the </w:t>
      </w:r>
      <w:r w:rsidR="00E32F5C" w:rsidRPr="00683B48">
        <w:rPr>
          <w:rFonts w:cs="Arial"/>
          <w:sz w:val="24"/>
          <w:szCs w:val="24"/>
        </w:rPr>
        <w:t>E</w:t>
      </w:r>
      <w:r w:rsidRPr="00683B48">
        <w:rPr>
          <w:rFonts w:cs="Arial"/>
          <w:sz w:val="24"/>
          <w:szCs w:val="24"/>
        </w:rPr>
        <w:t xml:space="preserve">mployment </w:t>
      </w:r>
      <w:r w:rsidR="00E32F5C" w:rsidRPr="00683B48">
        <w:rPr>
          <w:rFonts w:cs="Arial"/>
          <w:sz w:val="24"/>
          <w:szCs w:val="24"/>
        </w:rPr>
        <w:t>T</w:t>
      </w:r>
      <w:r w:rsidRPr="00683B48">
        <w:rPr>
          <w:rFonts w:cs="Arial"/>
          <w:sz w:val="24"/>
          <w:szCs w:val="24"/>
        </w:rPr>
        <w:t xml:space="preserve">ribunal. This case was strategic </w:t>
      </w:r>
      <w:r w:rsidR="00B139C1" w:rsidRPr="00683B48">
        <w:rPr>
          <w:rFonts w:cs="Arial"/>
          <w:sz w:val="24"/>
          <w:szCs w:val="24"/>
        </w:rPr>
        <w:t xml:space="preserve">as </w:t>
      </w:r>
      <w:r w:rsidRPr="00683B48">
        <w:rPr>
          <w:rFonts w:cs="Arial"/>
          <w:sz w:val="24"/>
          <w:szCs w:val="24"/>
        </w:rPr>
        <w:t>it clarified that Directive 2000/78</w:t>
      </w:r>
      <w:r w:rsidR="00B139C1" w:rsidRPr="00683B48">
        <w:rPr>
          <w:rFonts w:cs="Arial"/>
          <w:sz w:val="24"/>
          <w:szCs w:val="24"/>
        </w:rPr>
        <w:t>/EC</w:t>
      </w:r>
      <w:r w:rsidRPr="00683B48">
        <w:rPr>
          <w:rFonts w:cs="Arial"/>
          <w:sz w:val="24"/>
          <w:szCs w:val="24"/>
        </w:rPr>
        <w:t xml:space="preserve"> prohibited associative discrimination, and will affect the outcome of similar cases. </w:t>
      </w:r>
    </w:p>
    <w:p w14:paraId="59DC1C9F" w14:textId="231359F6" w:rsidR="00F72547" w:rsidRPr="00AF32C1" w:rsidRDefault="00F72547" w:rsidP="00FD78A5">
      <w:pPr>
        <w:jc w:val="both"/>
        <w:rPr>
          <w:rFonts w:cs="Arial"/>
          <w:sz w:val="24"/>
          <w:szCs w:val="24"/>
        </w:rPr>
      </w:pPr>
      <w:r w:rsidRPr="00683B48">
        <w:rPr>
          <w:rFonts w:cs="Arial"/>
          <w:b/>
          <w:sz w:val="24"/>
          <w:szCs w:val="24"/>
        </w:rPr>
        <w:t xml:space="preserve">Swedish Equality Ombudsman v The State Unemployment Board </w:t>
      </w:r>
      <w:r w:rsidR="00AF32C1">
        <w:rPr>
          <w:rFonts w:cs="Arial"/>
          <w:sz w:val="24"/>
          <w:szCs w:val="24"/>
        </w:rPr>
        <w:t>(</w:t>
      </w:r>
      <w:r w:rsidR="007F6BE6">
        <w:rPr>
          <w:rFonts w:cs="Arial"/>
          <w:sz w:val="24"/>
          <w:szCs w:val="24"/>
        </w:rPr>
        <w:t>S</w:t>
      </w:r>
      <w:r w:rsidR="00E8679C">
        <w:rPr>
          <w:rFonts w:cs="Arial"/>
          <w:sz w:val="24"/>
          <w:szCs w:val="24"/>
        </w:rPr>
        <w:t xml:space="preserve">vea </w:t>
      </w:r>
      <w:r w:rsidR="004A6813">
        <w:rPr>
          <w:rFonts w:cs="Arial"/>
          <w:sz w:val="24"/>
          <w:szCs w:val="24"/>
        </w:rPr>
        <w:t>C</w:t>
      </w:r>
      <w:r w:rsidR="007F6BE6">
        <w:rPr>
          <w:rFonts w:cs="Arial"/>
          <w:sz w:val="24"/>
          <w:szCs w:val="24"/>
        </w:rPr>
        <w:t xml:space="preserve">ourt of </w:t>
      </w:r>
      <w:r w:rsidR="004A6813">
        <w:rPr>
          <w:rFonts w:cs="Arial"/>
          <w:sz w:val="24"/>
          <w:szCs w:val="24"/>
        </w:rPr>
        <w:t>A</w:t>
      </w:r>
      <w:r w:rsidR="007F6BE6">
        <w:rPr>
          <w:rFonts w:cs="Arial"/>
          <w:sz w:val="24"/>
          <w:szCs w:val="24"/>
        </w:rPr>
        <w:t>ppeal, T 777-16)</w:t>
      </w:r>
    </w:p>
    <w:p w14:paraId="6C42E390" w14:textId="77777777" w:rsidR="00F72547" w:rsidRPr="00683B48" w:rsidRDefault="00F72547" w:rsidP="00FD78A5">
      <w:pPr>
        <w:jc w:val="both"/>
        <w:rPr>
          <w:rFonts w:cs="Arial"/>
          <w:sz w:val="24"/>
          <w:szCs w:val="24"/>
        </w:rPr>
      </w:pPr>
      <w:r w:rsidRPr="00683B48">
        <w:rPr>
          <w:rFonts w:cs="Arial"/>
          <w:sz w:val="24"/>
          <w:szCs w:val="24"/>
        </w:rPr>
        <w:t>An unemployed man in Sweden was directed by the State Unemployment Agency to apply for a sales pos</w:t>
      </w:r>
      <w:r w:rsidR="00B139C1" w:rsidRPr="00683B48">
        <w:rPr>
          <w:rFonts w:cs="Arial"/>
          <w:sz w:val="24"/>
          <w:szCs w:val="24"/>
        </w:rPr>
        <w:t>i</w:t>
      </w:r>
      <w:r w:rsidRPr="00683B48">
        <w:rPr>
          <w:rFonts w:cs="Arial"/>
          <w:sz w:val="24"/>
          <w:szCs w:val="24"/>
        </w:rPr>
        <w:t>t</w:t>
      </w:r>
      <w:r w:rsidR="00B139C1" w:rsidRPr="00683B48">
        <w:rPr>
          <w:rFonts w:cs="Arial"/>
          <w:sz w:val="24"/>
          <w:szCs w:val="24"/>
        </w:rPr>
        <w:t>ion</w:t>
      </w:r>
      <w:r w:rsidRPr="00683B48">
        <w:rPr>
          <w:rFonts w:cs="Arial"/>
          <w:sz w:val="24"/>
          <w:szCs w:val="24"/>
        </w:rPr>
        <w:t xml:space="preserve"> in a company which mainly sold lotter</w:t>
      </w:r>
      <w:r w:rsidR="00B139C1" w:rsidRPr="00683B48">
        <w:rPr>
          <w:rFonts w:cs="Arial"/>
          <w:sz w:val="24"/>
          <w:szCs w:val="24"/>
        </w:rPr>
        <w:t>y tickets</w:t>
      </w:r>
      <w:r w:rsidRPr="00683B48">
        <w:rPr>
          <w:rFonts w:cs="Arial"/>
          <w:sz w:val="24"/>
          <w:szCs w:val="24"/>
        </w:rPr>
        <w:t>. When the man informed his prospective employer that his faith as a Jehova</w:t>
      </w:r>
      <w:r w:rsidR="00B00112" w:rsidRPr="00683B48">
        <w:rPr>
          <w:rFonts w:cs="Arial"/>
          <w:sz w:val="24"/>
          <w:szCs w:val="24"/>
        </w:rPr>
        <w:t>’</w:t>
      </w:r>
      <w:r w:rsidRPr="00683B48">
        <w:rPr>
          <w:rFonts w:cs="Arial"/>
          <w:sz w:val="24"/>
          <w:szCs w:val="24"/>
        </w:rPr>
        <w:t xml:space="preserve">s Witness prevented him from interviewing for the job, he lost his unemployment benefits </w:t>
      </w:r>
      <w:r w:rsidR="00B139C1" w:rsidRPr="00683B48">
        <w:rPr>
          <w:rFonts w:cs="Arial"/>
          <w:sz w:val="24"/>
          <w:szCs w:val="24"/>
        </w:rPr>
        <w:t>on the grounds of</w:t>
      </w:r>
      <w:r w:rsidRPr="00683B48">
        <w:rPr>
          <w:rFonts w:cs="Arial"/>
          <w:sz w:val="24"/>
          <w:szCs w:val="24"/>
        </w:rPr>
        <w:t xml:space="preserve"> misconduct</w:t>
      </w:r>
      <w:r w:rsidR="00B139C1" w:rsidRPr="00683B48">
        <w:rPr>
          <w:rFonts w:cs="Arial"/>
          <w:sz w:val="24"/>
          <w:szCs w:val="24"/>
        </w:rPr>
        <w:t>.</w:t>
      </w:r>
      <w:r w:rsidRPr="00683B48">
        <w:rPr>
          <w:rFonts w:cs="Arial"/>
          <w:sz w:val="24"/>
          <w:szCs w:val="24"/>
        </w:rPr>
        <w:t xml:space="preserve"> The Equality Ombudsman </w:t>
      </w:r>
      <w:r w:rsidR="00B139C1" w:rsidRPr="00683B48">
        <w:rPr>
          <w:rFonts w:cs="Arial"/>
          <w:sz w:val="24"/>
          <w:szCs w:val="24"/>
        </w:rPr>
        <w:t>brought a claim against</w:t>
      </w:r>
      <w:r w:rsidRPr="00683B48">
        <w:rPr>
          <w:rFonts w:cs="Arial"/>
          <w:sz w:val="24"/>
          <w:szCs w:val="24"/>
        </w:rPr>
        <w:t xml:space="preserve"> the state (the Unemployment Board) for indirect discrimination on grounds of religion. Both the lower court and the Court of Appeal found</w:t>
      </w:r>
      <w:r w:rsidR="00B139C1" w:rsidRPr="00683B48">
        <w:rPr>
          <w:rFonts w:cs="Arial"/>
          <w:sz w:val="24"/>
          <w:szCs w:val="24"/>
        </w:rPr>
        <w:t xml:space="preserve"> that</w:t>
      </w:r>
      <w:r w:rsidRPr="00683B48">
        <w:rPr>
          <w:rFonts w:cs="Arial"/>
          <w:sz w:val="24"/>
          <w:szCs w:val="24"/>
        </w:rPr>
        <w:t xml:space="preserve"> the man had been </w:t>
      </w:r>
      <w:r w:rsidR="00B139C1" w:rsidRPr="00683B48">
        <w:rPr>
          <w:rFonts w:cs="Arial"/>
          <w:sz w:val="24"/>
          <w:szCs w:val="24"/>
        </w:rPr>
        <w:t xml:space="preserve">subject to unlawful </w:t>
      </w:r>
      <w:r w:rsidRPr="00683B48">
        <w:rPr>
          <w:rFonts w:cs="Arial"/>
          <w:sz w:val="24"/>
          <w:szCs w:val="24"/>
        </w:rPr>
        <w:t>discriminat</w:t>
      </w:r>
      <w:r w:rsidR="00B139C1" w:rsidRPr="00683B48">
        <w:rPr>
          <w:rFonts w:cs="Arial"/>
          <w:sz w:val="24"/>
          <w:szCs w:val="24"/>
        </w:rPr>
        <w:t>ion</w:t>
      </w:r>
      <w:r w:rsidRPr="00683B48">
        <w:rPr>
          <w:rFonts w:cs="Arial"/>
          <w:sz w:val="24"/>
          <w:szCs w:val="24"/>
        </w:rPr>
        <w:t xml:space="preserve">. The Court of Appeal held that, when assessing whether an individual’s benefits should be cancelled </w:t>
      </w:r>
      <w:r w:rsidR="008B5D37" w:rsidRPr="00683B48">
        <w:rPr>
          <w:rFonts w:cs="Arial"/>
          <w:sz w:val="24"/>
          <w:szCs w:val="24"/>
        </w:rPr>
        <w:t>due to</w:t>
      </w:r>
      <w:r w:rsidRPr="00683B48">
        <w:rPr>
          <w:rFonts w:cs="Arial"/>
          <w:sz w:val="24"/>
          <w:szCs w:val="24"/>
        </w:rPr>
        <w:t xml:space="preserve"> </w:t>
      </w:r>
      <w:r w:rsidR="008B5D37" w:rsidRPr="00683B48">
        <w:rPr>
          <w:rFonts w:cs="Arial"/>
          <w:sz w:val="24"/>
          <w:szCs w:val="24"/>
        </w:rPr>
        <w:t>their</w:t>
      </w:r>
      <w:r w:rsidRPr="00683B48">
        <w:rPr>
          <w:rFonts w:cs="Arial"/>
          <w:sz w:val="24"/>
          <w:szCs w:val="24"/>
        </w:rPr>
        <w:t xml:space="preserve"> conduct, it is disproportionate to apply a rule </w:t>
      </w:r>
      <w:r w:rsidR="008B5D37" w:rsidRPr="00683B48">
        <w:rPr>
          <w:rFonts w:cs="Arial"/>
          <w:sz w:val="24"/>
          <w:szCs w:val="24"/>
        </w:rPr>
        <w:t>concerning</w:t>
      </w:r>
      <w:r w:rsidRPr="00683B48">
        <w:rPr>
          <w:rFonts w:cs="Arial"/>
          <w:sz w:val="24"/>
          <w:szCs w:val="24"/>
        </w:rPr>
        <w:t xml:space="preserve"> misconduct in such a fashion that it equates religious reasons with other reasons, </w:t>
      </w:r>
      <w:r w:rsidR="008B5D37" w:rsidRPr="00683B48">
        <w:rPr>
          <w:rFonts w:cs="Arial"/>
          <w:sz w:val="24"/>
          <w:szCs w:val="24"/>
        </w:rPr>
        <w:t>as</w:t>
      </w:r>
      <w:r w:rsidRPr="00683B48">
        <w:rPr>
          <w:rFonts w:cs="Arial"/>
          <w:sz w:val="24"/>
          <w:szCs w:val="24"/>
        </w:rPr>
        <w:t xml:space="preserve"> religious reasons carry a particular weight.  </w:t>
      </w:r>
    </w:p>
    <w:p w14:paraId="5D21096A" w14:textId="77777777" w:rsidR="00F72547" w:rsidRPr="00683B48" w:rsidRDefault="00F72547" w:rsidP="00FD78A5">
      <w:pPr>
        <w:jc w:val="both"/>
        <w:rPr>
          <w:rFonts w:cs="Arial"/>
          <w:sz w:val="24"/>
          <w:szCs w:val="24"/>
        </w:rPr>
      </w:pPr>
      <w:r w:rsidRPr="00683B48">
        <w:rPr>
          <w:rFonts w:cs="Arial"/>
          <w:sz w:val="24"/>
          <w:szCs w:val="24"/>
        </w:rPr>
        <w:t xml:space="preserve">The ruling was important since it established, as a matter of Swedish non-discrimination law, </w:t>
      </w:r>
      <w:r w:rsidR="009F474C" w:rsidRPr="00683B48">
        <w:rPr>
          <w:rFonts w:cs="Arial"/>
          <w:sz w:val="24"/>
          <w:szCs w:val="24"/>
        </w:rPr>
        <w:t>that</w:t>
      </w:r>
      <w:r w:rsidRPr="00683B48">
        <w:rPr>
          <w:rFonts w:cs="Arial"/>
          <w:sz w:val="24"/>
          <w:szCs w:val="24"/>
        </w:rPr>
        <w:t xml:space="preserve"> religious unemployed persons </w:t>
      </w:r>
      <w:r w:rsidR="009F474C" w:rsidRPr="00683B48">
        <w:rPr>
          <w:rFonts w:cs="Arial"/>
          <w:sz w:val="24"/>
          <w:szCs w:val="24"/>
        </w:rPr>
        <w:t>may</w:t>
      </w:r>
      <w:r w:rsidRPr="00683B48">
        <w:rPr>
          <w:rFonts w:cs="Arial"/>
          <w:sz w:val="24"/>
          <w:szCs w:val="24"/>
        </w:rPr>
        <w:t xml:space="preserve"> (within reason) refuse </w:t>
      </w:r>
      <w:r w:rsidR="009F474C" w:rsidRPr="00683B48">
        <w:rPr>
          <w:rFonts w:cs="Arial"/>
          <w:sz w:val="24"/>
          <w:szCs w:val="24"/>
        </w:rPr>
        <w:t xml:space="preserve">to </w:t>
      </w:r>
      <w:r w:rsidRPr="00683B48">
        <w:rPr>
          <w:rFonts w:cs="Arial"/>
          <w:sz w:val="24"/>
          <w:szCs w:val="24"/>
        </w:rPr>
        <w:t>tak</w:t>
      </w:r>
      <w:r w:rsidR="009F474C" w:rsidRPr="00683B48">
        <w:rPr>
          <w:rFonts w:cs="Arial"/>
          <w:sz w:val="24"/>
          <w:szCs w:val="24"/>
        </w:rPr>
        <w:t>e</w:t>
      </w:r>
      <w:r w:rsidRPr="00683B48">
        <w:rPr>
          <w:rFonts w:cs="Arial"/>
          <w:sz w:val="24"/>
          <w:szCs w:val="24"/>
        </w:rPr>
        <w:t xml:space="preserve"> certain jobs without negative repercussions </w:t>
      </w:r>
      <w:r w:rsidR="009F474C" w:rsidRPr="00683B48">
        <w:rPr>
          <w:rFonts w:cs="Arial"/>
          <w:sz w:val="24"/>
          <w:szCs w:val="24"/>
        </w:rPr>
        <w:t>for</w:t>
      </w:r>
      <w:r w:rsidRPr="00683B48">
        <w:rPr>
          <w:rFonts w:cs="Arial"/>
          <w:sz w:val="24"/>
          <w:szCs w:val="24"/>
        </w:rPr>
        <w:t xml:space="preserve"> their unemployment benefits</w:t>
      </w:r>
      <w:r w:rsidR="009F474C" w:rsidRPr="00683B48">
        <w:rPr>
          <w:rFonts w:cs="Arial"/>
          <w:sz w:val="24"/>
          <w:szCs w:val="24"/>
        </w:rPr>
        <w:t>. This applies</w:t>
      </w:r>
      <w:r w:rsidRPr="00683B48">
        <w:rPr>
          <w:rFonts w:cs="Arial"/>
          <w:sz w:val="24"/>
          <w:szCs w:val="24"/>
        </w:rPr>
        <w:t xml:space="preserve"> when the nature of the job </w:t>
      </w:r>
      <w:r w:rsidR="009F474C" w:rsidRPr="00683B48">
        <w:rPr>
          <w:rFonts w:cs="Arial"/>
          <w:sz w:val="24"/>
          <w:szCs w:val="24"/>
        </w:rPr>
        <w:t xml:space="preserve">in question </w:t>
      </w:r>
      <w:r w:rsidRPr="00683B48">
        <w:rPr>
          <w:rFonts w:cs="Arial"/>
          <w:sz w:val="24"/>
          <w:szCs w:val="24"/>
        </w:rPr>
        <w:t>is such that the</w:t>
      </w:r>
      <w:r w:rsidR="009F474C" w:rsidRPr="00683B48">
        <w:rPr>
          <w:rFonts w:cs="Arial"/>
          <w:sz w:val="24"/>
          <w:szCs w:val="24"/>
        </w:rPr>
        <w:t xml:space="preserve"> unemployed persons</w:t>
      </w:r>
      <w:r w:rsidRPr="00683B48">
        <w:rPr>
          <w:rFonts w:cs="Arial"/>
          <w:sz w:val="24"/>
          <w:szCs w:val="24"/>
        </w:rPr>
        <w:t xml:space="preserve"> cannot reasonably be asked to perform it in light of their religion. </w:t>
      </w:r>
    </w:p>
    <w:p w14:paraId="57731C52" w14:textId="77777777" w:rsidR="00D27A66" w:rsidRDefault="00D27A66" w:rsidP="00FD78A5">
      <w:pPr>
        <w:jc w:val="both"/>
        <w:rPr>
          <w:rFonts w:cs="Arial"/>
          <w:b/>
          <w:sz w:val="24"/>
          <w:szCs w:val="24"/>
        </w:rPr>
      </w:pPr>
    </w:p>
    <w:p w14:paraId="76125672" w14:textId="77777777" w:rsidR="00D27A66" w:rsidRDefault="00D27A66" w:rsidP="00FD78A5">
      <w:pPr>
        <w:jc w:val="both"/>
        <w:rPr>
          <w:rFonts w:cs="Arial"/>
          <w:b/>
          <w:sz w:val="24"/>
          <w:szCs w:val="24"/>
        </w:rPr>
      </w:pPr>
    </w:p>
    <w:p w14:paraId="388B3964" w14:textId="3892BF3E" w:rsidR="00647EA0" w:rsidRPr="00683B48" w:rsidRDefault="00F05EC4" w:rsidP="00FD78A5">
      <w:pPr>
        <w:jc w:val="both"/>
        <w:rPr>
          <w:rFonts w:cs="Arial"/>
          <w:b/>
          <w:sz w:val="24"/>
          <w:szCs w:val="24"/>
        </w:rPr>
      </w:pPr>
      <w:r w:rsidRPr="006F3139">
        <w:rPr>
          <w:rFonts w:cs="Arial"/>
          <w:b/>
          <w:sz w:val="24"/>
          <w:szCs w:val="24"/>
          <w:u w:val="single"/>
        </w:rPr>
        <w:t xml:space="preserve">2. </w:t>
      </w:r>
      <w:r w:rsidR="00647EA0" w:rsidRPr="006F3139">
        <w:rPr>
          <w:rFonts w:cs="Arial"/>
          <w:b/>
          <w:sz w:val="24"/>
          <w:szCs w:val="24"/>
          <w:u w:val="single"/>
        </w:rPr>
        <w:t xml:space="preserve">Strategic Litigation </w:t>
      </w:r>
      <w:r w:rsidR="00F3159D" w:rsidRPr="006F3139">
        <w:rPr>
          <w:rFonts w:cs="Arial"/>
          <w:b/>
          <w:sz w:val="24"/>
          <w:szCs w:val="24"/>
          <w:u w:val="single"/>
        </w:rPr>
        <w:t>L</w:t>
      </w:r>
      <w:r w:rsidR="00647EA0" w:rsidRPr="006F3139">
        <w:rPr>
          <w:rFonts w:cs="Arial"/>
          <w:b/>
          <w:sz w:val="24"/>
          <w:szCs w:val="24"/>
          <w:u w:val="single"/>
        </w:rPr>
        <w:t xml:space="preserve">eading to a </w:t>
      </w:r>
      <w:r w:rsidR="00F3159D" w:rsidRPr="006F3139">
        <w:rPr>
          <w:rFonts w:cs="Arial"/>
          <w:b/>
          <w:sz w:val="24"/>
          <w:szCs w:val="24"/>
          <w:u w:val="single"/>
        </w:rPr>
        <w:t>C</w:t>
      </w:r>
      <w:r w:rsidR="00647EA0" w:rsidRPr="006F3139">
        <w:rPr>
          <w:rFonts w:cs="Arial"/>
          <w:b/>
          <w:sz w:val="24"/>
          <w:szCs w:val="24"/>
          <w:u w:val="single"/>
        </w:rPr>
        <w:t xml:space="preserve">hange in the </w:t>
      </w:r>
      <w:r w:rsidR="00F3159D" w:rsidRPr="006F3139">
        <w:rPr>
          <w:rFonts w:cs="Arial"/>
          <w:b/>
          <w:sz w:val="24"/>
          <w:szCs w:val="24"/>
          <w:u w:val="single"/>
        </w:rPr>
        <w:t>L</w:t>
      </w:r>
      <w:r w:rsidR="00647EA0" w:rsidRPr="006F3139">
        <w:rPr>
          <w:rFonts w:cs="Arial"/>
          <w:b/>
          <w:sz w:val="24"/>
          <w:szCs w:val="24"/>
          <w:u w:val="single"/>
        </w:rPr>
        <w:t>aw</w:t>
      </w:r>
    </w:p>
    <w:p w14:paraId="50259369" w14:textId="77777777" w:rsidR="00B00112" w:rsidRPr="00683B48" w:rsidRDefault="00B00112" w:rsidP="00B00112">
      <w:pPr>
        <w:jc w:val="both"/>
        <w:rPr>
          <w:rFonts w:cs="Arial"/>
          <w:sz w:val="24"/>
          <w:szCs w:val="24"/>
        </w:rPr>
      </w:pPr>
      <w:r w:rsidRPr="00683B48">
        <w:rPr>
          <w:rFonts w:cs="Arial"/>
          <w:sz w:val="24"/>
          <w:szCs w:val="24"/>
        </w:rPr>
        <w:t>Even losing a case in court can entail progress towards achieving a strategic objective.</w:t>
      </w:r>
      <w:r w:rsidRPr="00683B48">
        <w:rPr>
          <w:rStyle w:val="CommentReference"/>
          <w:lang w:val="fi-FI"/>
        </w:rPr>
        <w:t xml:space="preserve"> </w:t>
      </w:r>
      <w:r w:rsidRPr="00683B48">
        <w:rPr>
          <w:rFonts w:cs="Arial"/>
          <w:sz w:val="24"/>
          <w:szCs w:val="24"/>
        </w:rPr>
        <w:t xml:space="preserve">The ruling can namely be instrumental in demonstrating that a change in the law is necessary. </w:t>
      </w:r>
    </w:p>
    <w:p w14:paraId="4C94F411" w14:textId="77777777" w:rsidR="00647EA0" w:rsidRPr="00683B48" w:rsidRDefault="00647EA0" w:rsidP="00FD78A5">
      <w:pPr>
        <w:jc w:val="both"/>
        <w:rPr>
          <w:rFonts w:cs="Arial"/>
          <w:b/>
          <w:sz w:val="24"/>
          <w:szCs w:val="24"/>
        </w:rPr>
      </w:pPr>
      <w:r w:rsidRPr="00683B48">
        <w:rPr>
          <w:rFonts w:cs="Arial"/>
          <w:b/>
          <w:sz w:val="24"/>
          <w:szCs w:val="24"/>
        </w:rPr>
        <w:t xml:space="preserve">London Borough of Lewisham v Malcolm </w:t>
      </w:r>
      <w:r w:rsidRPr="00872D62">
        <w:rPr>
          <w:rFonts w:cs="Arial"/>
          <w:sz w:val="24"/>
          <w:szCs w:val="24"/>
        </w:rPr>
        <w:t>(UK Supreme Court</w:t>
      </w:r>
      <w:r w:rsidR="00316A3B" w:rsidRPr="00872D62">
        <w:rPr>
          <w:rFonts w:cs="Arial"/>
          <w:sz w:val="24"/>
          <w:szCs w:val="24"/>
        </w:rPr>
        <w:t>, [2008] UKHL 43</w:t>
      </w:r>
      <w:r w:rsidRPr="00872D62">
        <w:rPr>
          <w:rFonts w:cs="Arial"/>
          <w:sz w:val="24"/>
          <w:szCs w:val="24"/>
        </w:rPr>
        <w:t>)</w:t>
      </w:r>
    </w:p>
    <w:p w14:paraId="0964109D" w14:textId="77777777" w:rsidR="00647EA0" w:rsidRPr="00683B48" w:rsidRDefault="00647EA0" w:rsidP="00FD78A5">
      <w:pPr>
        <w:jc w:val="both"/>
        <w:rPr>
          <w:rFonts w:cs="Arial"/>
          <w:sz w:val="24"/>
          <w:szCs w:val="24"/>
        </w:rPr>
      </w:pPr>
      <w:r w:rsidRPr="00683B48">
        <w:rPr>
          <w:rFonts w:cs="Arial"/>
          <w:sz w:val="24"/>
          <w:szCs w:val="24"/>
        </w:rPr>
        <w:t xml:space="preserve">Malcolm was the tenant of social housing belonging to the local authority </w:t>
      </w:r>
      <w:r w:rsidR="00F3159D" w:rsidRPr="00683B48">
        <w:rPr>
          <w:rFonts w:cs="Arial"/>
          <w:sz w:val="24"/>
          <w:szCs w:val="24"/>
        </w:rPr>
        <w:t>landlord</w:t>
      </w:r>
      <w:r w:rsidRPr="00683B48">
        <w:rPr>
          <w:rFonts w:cs="Arial"/>
          <w:sz w:val="24"/>
          <w:szCs w:val="24"/>
        </w:rPr>
        <w:t>. One of the conditions of the tenancy was that sub-let</w:t>
      </w:r>
      <w:r w:rsidR="00C06064" w:rsidRPr="00683B48">
        <w:rPr>
          <w:rFonts w:cs="Arial"/>
          <w:sz w:val="24"/>
          <w:szCs w:val="24"/>
        </w:rPr>
        <w:t>ting</w:t>
      </w:r>
      <w:r w:rsidRPr="00683B48">
        <w:rPr>
          <w:rFonts w:cs="Arial"/>
          <w:sz w:val="24"/>
          <w:szCs w:val="24"/>
        </w:rPr>
        <w:t xml:space="preserve"> the property</w:t>
      </w:r>
      <w:r w:rsidR="00C06064" w:rsidRPr="00683B48">
        <w:rPr>
          <w:rFonts w:cs="Arial"/>
          <w:sz w:val="24"/>
          <w:szCs w:val="24"/>
        </w:rPr>
        <w:t xml:space="preserve"> was not permitted</w:t>
      </w:r>
      <w:r w:rsidRPr="00683B48">
        <w:rPr>
          <w:rFonts w:cs="Arial"/>
          <w:sz w:val="24"/>
          <w:szCs w:val="24"/>
        </w:rPr>
        <w:t>. Malco</w:t>
      </w:r>
      <w:r w:rsidR="00B00112" w:rsidRPr="00683B48">
        <w:rPr>
          <w:rFonts w:cs="Arial"/>
          <w:sz w:val="24"/>
          <w:szCs w:val="24"/>
        </w:rPr>
        <w:t>l</w:t>
      </w:r>
      <w:r w:rsidRPr="00683B48">
        <w:rPr>
          <w:rFonts w:cs="Arial"/>
          <w:sz w:val="24"/>
          <w:szCs w:val="24"/>
        </w:rPr>
        <w:t xml:space="preserve">m </w:t>
      </w:r>
      <w:r w:rsidR="00C06064" w:rsidRPr="00683B48">
        <w:rPr>
          <w:rFonts w:cs="Arial"/>
          <w:sz w:val="24"/>
          <w:szCs w:val="24"/>
        </w:rPr>
        <w:t xml:space="preserve">fell </w:t>
      </w:r>
      <w:r w:rsidRPr="00683B48">
        <w:rPr>
          <w:rFonts w:cs="Arial"/>
          <w:sz w:val="24"/>
          <w:szCs w:val="24"/>
        </w:rPr>
        <w:t xml:space="preserve">ill </w:t>
      </w:r>
      <w:r w:rsidR="00C06064" w:rsidRPr="00683B48">
        <w:rPr>
          <w:rFonts w:cs="Arial"/>
          <w:sz w:val="24"/>
          <w:szCs w:val="24"/>
        </w:rPr>
        <w:t xml:space="preserve">as a result of </w:t>
      </w:r>
      <w:r w:rsidRPr="00683B48">
        <w:rPr>
          <w:rFonts w:cs="Arial"/>
          <w:sz w:val="24"/>
          <w:szCs w:val="24"/>
        </w:rPr>
        <w:t xml:space="preserve">mental health disability, his behaviour changed and he sub-let the property. The </w:t>
      </w:r>
      <w:r w:rsidR="00C06064" w:rsidRPr="00683B48">
        <w:rPr>
          <w:rFonts w:cs="Arial"/>
          <w:sz w:val="24"/>
          <w:szCs w:val="24"/>
        </w:rPr>
        <w:t>l</w:t>
      </w:r>
      <w:r w:rsidRPr="00683B48">
        <w:rPr>
          <w:rFonts w:cs="Arial"/>
          <w:sz w:val="24"/>
          <w:szCs w:val="24"/>
        </w:rPr>
        <w:t xml:space="preserve">andlord sought an </w:t>
      </w:r>
      <w:r w:rsidR="00C06064" w:rsidRPr="00683B48">
        <w:rPr>
          <w:rFonts w:cs="Arial"/>
          <w:sz w:val="24"/>
          <w:szCs w:val="24"/>
        </w:rPr>
        <w:t xml:space="preserve">eviction </w:t>
      </w:r>
      <w:r w:rsidRPr="00683B48">
        <w:rPr>
          <w:rFonts w:cs="Arial"/>
          <w:sz w:val="24"/>
          <w:szCs w:val="24"/>
        </w:rPr>
        <w:t>order from the court. Malco</w:t>
      </w:r>
      <w:r w:rsidR="003069B9" w:rsidRPr="00683B48">
        <w:rPr>
          <w:rFonts w:cs="Arial"/>
          <w:sz w:val="24"/>
          <w:szCs w:val="24"/>
        </w:rPr>
        <w:t>l</w:t>
      </w:r>
      <w:r w:rsidRPr="00683B48">
        <w:rPr>
          <w:rFonts w:cs="Arial"/>
          <w:sz w:val="24"/>
          <w:szCs w:val="24"/>
        </w:rPr>
        <w:t xml:space="preserve">m argued that he had been treated less favourably than a non-disabled tenant, </w:t>
      </w:r>
      <w:r w:rsidR="00C06064" w:rsidRPr="00683B48">
        <w:rPr>
          <w:rFonts w:cs="Arial"/>
          <w:sz w:val="24"/>
          <w:szCs w:val="24"/>
        </w:rPr>
        <w:t>which</w:t>
      </w:r>
      <w:r w:rsidRPr="00683B48">
        <w:rPr>
          <w:rFonts w:cs="Arial"/>
          <w:sz w:val="24"/>
          <w:szCs w:val="24"/>
        </w:rPr>
        <w:t xml:space="preserve"> </w:t>
      </w:r>
      <w:r w:rsidR="00C06064" w:rsidRPr="00683B48">
        <w:rPr>
          <w:rFonts w:cs="Arial"/>
          <w:sz w:val="24"/>
          <w:szCs w:val="24"/>
        </w:rPr>
        <w:t xml:space="preserve">entailed </w:t>
      </w:r>
      <w:r w:rsidRPr="00683B48">
        <w:rPr>
          <w:rFonts w:cs="Arial"/>
          <w:sz w:val="24"/>
          <w:szCs w:val="24"/>
        </w:rPr>
        <w:t xml:space="preserve">unlawful discrimination. The Supreme Court </w:t>
      </w:r>
      <w:r w:rsidR="00C06064" w:rsidRPr="00683B48">
        <w:rPr>
          <w:rFonts w:cs="Arial"/>
          <w:sz w:val="24"/>
          <w:szCs w:val="24"/>
        </w:rPr>
        <w:t xml:space="preserve">found </w:t>
      </w:r>
      <w:r w:rsidRPr="00683B48">
        <w:rPr>
          <w:rFonts w:cs="Arial"/>
          <w:sz w:val="24"/>
          <w:szCs w:val="24"/>
        </w:rPr>
        <w:t xml:space="preserve">that </w:t>
      </w:r>
      <w:r w:rsidR="00C06064" w:rsidRPr="00683B48">
        <w:rPr>
          <w:rFonts w:cs="Arial"/>
          <w:sz w:val="24"/>
          <w:szCs w:val="24"/>
        </w:rPr>
        <w:t xml:space="preserve">the </w:t>
      </w:r>
      <w:r w:rsidRPr="00683B48">
        <w:rPr>
          <w:rFonts w:cs="Arial"/>
          <w:sz w:val="24"/>
          <w:szCs w:val="24"/>
        </w:rPr>
        <w:t xml:space="preserve">disability discrimination law in force at the time did not prohibit the </w:t>
      </w:r>
      <w:r w:rsidR="00C06064" w:rsidRPr="00683B48">
        <w:rPr>
          <w:rFonts w:cs="Arial"/>
          <w:sz w:val="24"/>
          <w:szCs w:val="24"/>
        </w:rPr>
        <w:t>l</w:t>
      </w:r>
      <w:r w:rsidRPr="00683B48">
        <w:rPr>
          <w:rFonts w:cs="Arial"/>
          <w:sz w:val="24"/>
          <w:szCs w:val="24"/>
        </w:rPr>
        <w:t>andlord</w:t>
      </w:r>
      <w:r w:rsidR="00C06064" w:rsidRPr="00683B48">
        <w:rPr>
          <w:rFonts w:cs="Arial"/>
          <w:sz w:val="24"/>
          <w:szCs w:val="24"/>
        </w:rPr>
        <w:t>’</w:t>
      </w:r>
      <w:r w:rsidRPr="00683B48">
        <w:rPr>
          <w:rFonts w:cs="Arial"/>
          <w:sz w:val="24"/>
          <w:szCs w:val="24"/>
        </w:rPr>
        <w:t xml:space="preserve">s treatment of him, and </w:t>
      </w:r>
      <w:r w:rsidR="00C06064" w:rsidRPr="00683B48">
        <w:rPr>
          <w:rFonts w:cs="Arial"/>
          <w:sz w:val="24"/>
          <w:szCs w:val="24"/>
        </w:rPr>
        <w:t xml:space="preserve">thus that a change in the </w:t>
      </w:r>
      <w:r w:rsidRPr="00683B48">
        <w:rPr>
          <w:rFonts w:cs="Arial"/>
          <w:sz w:val="24"/>
          <w:szCs w:val="24"/>
        </w:rPr>
        <w:t xml:space="preserve">law </w:t>
      </w:r>
      <w:r w:rsidR="00C06064" w:rsidRPr="00683B48">
        <w:rPr>
          <w:rFonts w:cs="Arial"/>
          <w:sz w:val="24"/>
          <w:szCs w:val="24"/>
        </w:rPr>
        <w:t xml:space="preserve">was </w:t>
      </w:r>
      <w:r w:rsidRPr="00683B48">
        <w:rPr>
          <w:rFonts w:cs="Arial"/>
          <w:sz w:val="24"/>
          <w:szCs w:val="24"/>
        </w:rPr>
        <w:t xml:space="preserve">needed. </w:t>
      </w:r>
    </w:p>
    <w:p w14:paraId="5EDE01BE" w14:textId="77777777" w:rsidR="00647EA0" w:rsidRDefault="00647EA0" w:rsidP="00FD78A5">
      <w:pPr>
        <w:jc w:val="both"/>
        <w:rPr>
          <w:rFonts w:cs="Arial"/>
          <w:sz w:val="24"/>
          <w:szCs w:val="24"/>
        </w:rPr>
      </w:pPr>
      <w:r w:rsidRPr="00683B48">
        <w:rPr>
          <w:rFonts w:cs="Arial"/>
          <w:sz w:val="24"/>
          <w:szCs w:val="24"/>
        </w:rPr>
        <w:t xml:space="preserve">As a result, two years later, when the Equality Act 2010 replaced the Disability Discrimination Act 1995, a clause was </w:t>
      </w:r>
      <w:r w:rsidR="00C06064" w:rsidRPr="00683B48">
        <w:rPr>
          <w:rFonts w:cs="Arial"/>
          <w:sz w:val="24"/>
          <w:szCs w:val="24"/>
        </w:rPr>
        <w:t xml:space="preserve">included in the new legislation </w:t>
      </w:r>
      <w:r w:rsidRPr="00683B48">
        <w:rPr>
          <w:rFonts w:cs="Arial"/>
          <w:sz w:val="24"/>
          <w:szCs w:val="24"/>
        </w:rPr>
        <w:t>prohibit</w:t>
      </w:r>
      <w:r w:rsidR="00C06064" w:rsidRPr="00683B48">
        <w:rPr>
          <w:rFonts w:cs="Arial"/>
          <w:sz w:val="24"/>
          <w:szCs w:val="24"/>
        </w:rPr>
        <w:t>ing</w:t>
      </w:r>
      <w:r w:rsidRPr="00683B48">
        <w:rPr>
          <w:rFonts w:cs="Arial"/>
          <w:sz w:val="24"/>
          <w:szCs w:val="24"/>
        </w:rPr>
        <w:t xml:space="preserve"> any unfavourable (</w:t>
      </w:r>
      <w:r w:rsidR="00C06064" w:rsidRPr="00683B48">
        <w:rPr>
          <w:rFonts w:cs="Arial"/>
          <w:sz w:val="24"/>
          <w:szCs w:val="24"/>
        </w:rPr>
        <w:t xml:space="preserve">as opposed to </w:t>
      </w:r>
      <w:r w:rsidRPr="00683B48">
        <w:rPr>
          <w:rFonts w:cs="Arial"/>
          <w:sz w:val="24"/>
          <w:szCs w:val="24"/>
        </w:rPr>
        <w:t xml:space="preserve">less favourable) treatment </w:t>
      </w:r>
      <w:r w:rsidR="00C06064" w:rsidRPr="00683B48">
        <w:rPr>
          <w:rFonts w:cs="Arial"/>
          <w:sz w:val="24"/>
          <w:szCs w:val="24"/>
        </w:rPr>
        <w:t xml:space="preserve">which cannot be objectively justified </w:t>
      </w:r>
      <w:r w:rsidRPr="00683B48">
        <w:rPr>
          <w:rFonts w:cs="Arial"/>
          <w:sz w:val="24"/>
          <w:szCs w:val="24"/>
        </w:rPr>
        <w:t>arising from a person’s disability. Th</w:t>
      </w:r>
      <w:r w:rsidR="00C06064" w:rsidRPr="00683B48">
        <w:rPr>
          <w:rFonts w:cs="Arial"/>
          <w:sz w:val="24"/>
          <w:szCs w:val="24"/>
        </w:rPr>
        <w:t>e application of this regulation</w:t>
      </w:r>
      <w:r w:rsidRPr="00683B48">
        <w:rPr>
          <w:rFonts w:cs="Arial"/>
          <w:sz w:val="24"/>
          <w:szCs w:val="24"/>
        </w:rPr>
        <w:t xml:space="preserve"> does not require a comparator</w:t>
      </w:r>
      <w:r w:rsidR="00C06064" w:rsidRPr="00683B48">
        <w:rPr>
          <w:rFonts w:cs="Arial"/>
          <w:sz w:val="24"/>
          <w:szCs w:val="24"/>
        </w:rPr>
        <w:t>,</w:t>
      </w:r>
      <w:r w:rsidRPr="00683B48">
        <w:rPr>
          <w:rFonts w:cs="Arial"/>
          <w:sz w:val="24"/>
          <w:szCs w:val="24"/>
        </w:rPr>
        <w:t xml:space="preserve"> mak</w:t>
      </w:r>
      <w:r w:rsidR="00C06064" w:rsidRPr="00683B48">
        <w:rPr>
          <w:rFonts w:cs="Arial"/>
          <w:sz w:val="24"/>
          <w:szCs w:val="24"/>
        </w:rPr>
        <w:t>ing</w:t>
      </w:r>
      <w:r w:rsidRPr="00683B48">
        <w:rPr>
          <w:rFonts w:cs="Arial"/>
          <w:sz w:val="24"/>
          <w:szCs w:val="24"/>
        </w:rPr>
        <w:t xml:space="preserve"> it easier for disabled people to challenge </w:t>
      </w:r>
      <w:r w:rsidR="00C06064" w:rsidRPr="00683B48">
        <w:rPr>
          <w:rFonts w:cs="Arial"/>
          <w:sz w:val="24"/>
          <w:szCs w:val="24"/>
        </w:rPr>
        <w:t xml:space="preserve">discriminatory </w:t>
      </w:r>
      <w:r w:rsidRPr="00683B48">
        <w:rPr>
          <w:rFonts w:cs="Arial"/>
          <w:sz w:val="24"/>
          <w:szCs w:val="24"/>
        </w:rPr>
        <w:t>treatment on the grounds of disability</w:t>
      </w:r>
      <w:r w:rsidR="00C42991">
        <w:rPr>
          <w:rStyle w:val="FootnoteReference"/>
          <w:rFonts w:cs="Arial"/>
          <w:sz w:val="24"/>
          <w:szCs w:val="24"/>
        </w:rPr>
        <w:footnoteReference w:id="2"/>
      </w:r>
      <w:r w:rsidRPr="00683B48">
        <w:rPr>
          <w:rFonts w:cs="Arial"/>
          <w:sz w:val="24"/>
          <w:szCs w:val="24"/>
        </w:rPr>
        <w:t xml:space="preserve">.  </w:t>
      </w:r>
    </w:p>
    <w:p w14:paraId="05F5C466" w14:textId="77777777" w:rsidR="00EC20F6" w:rsidRPr="00EC20F6" w:rsidRDefault="00EC20F6" w:rsidP="00EC20F6">
      <w:pPr>
        <w:jc w:val="both"/>
        <w:rPr>
          <w:rFonts w:cs="Arial"/>
          <w:b/>
          <w:sz w:val="24"/>
          <w:szCs w:val="24"/>
        </w:rPr>
      </w:pPr>
      <w:r w:rsidRPr="00EC20F6">
        <w:rPr>
          <w:rFonts w:cs="Arial"/>
          <w:b/>
          <w:sz w:val="24"/>
          <w:szCs w:val="24"/>
        </w:rPr>
        <w:t>Strategic Litigation in the Criminal Court</w:t>
      </w:r>
      <w:r>
        <w:rPr>
          <w:rFonts w:cs="Arial"/>
          <w:b/>
          <w:sz w:val="24"/>
          <w:szCs w:val="24"/>
        </w:rPr>
        <w:t xml:space="preserve"> (Finland)</w:t>
      </w:r>
      <w:r w:rsidR="00732ACF" w:rsidRPr="00732ACF">
        <w:rPr>
          <w:rFonts w:cs="Arial"/>
          <w:sz w:val="24"/>
          <w:szCs w:val="24"/>
        </w:rPr>
        <w:t xml:space="preserve"> (</w:t>
      </w:r>
      <w:r w:rsidR="00732ACF" w:rsidRPr="00AF32C1">
        <w:rPr>
          <w:rFonts w:cs="Arial"/>
          <w:bCs/>
          <w:sz w:val="24"/>
          <w:szCs w:val="24"/>
        </w:rPr>
        <w:t>Helsinki Court of Appeal R 16/738)</w:t>
      </w:r>
    </w:p>
    <w:p w14:paraId="407C1F86" w14:textId="77777777" w:rsidR="00EC20F6" w:rsidRPr="00EC20F6" w:rsidRDefault="00EC20F6" w:rsidP="00EC20F6">
      <w:pPr>
        <w:jc w:val="both"/>
        <w:rPr>
          <w:rFonts w:cs="Arial"/>
          <w:sz w:val="24"/>
          <w:szCs w:val="24"/>
          <w:lang w:val="en"/>
        </w:rPr>
      </w:pPr>
      <w:r w:rsidRPr="00EC20F6">
        <w:rPr>
          <w:rFonts w:cs="Arial"/>
          <w:sz w:val="24"/>
          <w:szCs w:val="24"/>
          <w:lang w:val="en"/>
        </w:rPr>
        <w:t xml:space="preserve">In 2016 a young man was sentenced to 6 months in prison by the Municipal Court after he refused to do both military and civil service, because of his pacifist beliefs. The legal exemption in domestic law for Jehovah’s Witnesses did not apply to him. The Finnish Non-Discrimination Ombudsman defended the conscientious objector in criminal proceedings in the Helsinki Court of Appeal in May 2017. </w:t>
      </w:r>
    </w:p>
    <w:p w14:paraId="74D2206F" w14:textId="77777777" w:rsidR="00EC20F6" w:rsidRPr="00EC20F6" w:rsidRDefault="00EC20F6" w:rsidP="00EC20F6">
      <w:pPr>
        <w:jc w:val="both"/>
        <w:rPr>
          <w:rFonts w:cs="Arial"/>
          <w:sz w:val="24"/>
          <w:szCs w:val="24"/>
          <w:lang w:val="en"/>
        </w:rPr>
      </w:pPr>
      <w:r w:rsidRPr="00EC20F6">
        <w:rPr>
          <w:rFonts w:cs="Arial"/>
          <w:sz w:val="24"/>
          <w:szCs w:val="24"/>
          <w:lang w:val="en"/>
        </w:rPr>
        <w:t>The Non-Discrimination Ombudsman argued that the current legislation, which exempts only Jehovah’s Witnesses from military and civil service, is discriminatory and in contradiction with both the Finnish Constitution and International Human Rights Law .</w:t>
      </w:r>
    </w:p>
    <w:p w14:paraId="3C332A7A" w14:textId="77777777" w:rsidR="00EC20F6" w:rsidRPr="00EC20F6" w:rsidRDefault="00EC20F6" w:rsidP="00EC20F6">
      <w:pPr>
        <w:jc w:val="both"/>
        <w:rPr>
          <w:rFonts w:cs="Arial"/>
          <w:sz w:val="24"/>
          <w:szCs w:val="24"/>
          <w:lang w:val="en"/>
        </w:rPr>
      </w:pPr>
      <w:r w:rsidRPr="00EC20F6">
        <w:rPr>
          <w:rFonts w:cs="Arial"/>
          <w:sz w:val="24"/>
          <w:szCs w:val="24"/>
          <w:lang w:val="en"/>
        </w:rPr>
        <w:t xml:space="preserve">(Note: the legal exemption for Jehovah’s Witnesses was enacted in response to criticism from the UN Human Rights Committee that Finland punishes conscientious objectors, who </w:t>
      </w:r>
      <w:r w:rsidRPr="00EC20F6">
        <w:rPr>
          <w:rFonts w:cs="Arial"/>
          <w:sz w:val="24"/>
          <w:szCs w:val="24"/>
          <w:lang w:val="en"/>
        </w:rPr>
        <w:lastRenderedPageBreak/>
        <w:t>were mostly Jehovah's Witnesses, with prison sentences. However it conflicts with the Finnish constitution, discrimination law and international human rights obligations.)</w:t>
      </w:r>
    </w:p>
    <w:p w14:paraId="11F15062" w14:textId="77777777" w:rsidR="00EC20F6" w:rsidRPr="00EC20F6" w:rsidRDefault="00EC20F6" w:rsidP="00EC20F6">
      <w:pPr>
        <w:jc w:val="both"/>
        <w:rPr>
          <w:rFonts w:cs="Arial"/>
          <w:sz w:val="24"/>
          <w:szCs w:val="24"/>
          <w:lang w:val="en"/>
        </w:rPr>
      </w:pPr>
      <w:r w:rsidRPr="00EC20F6">
        <w:rPr>
          <w:rFonts w:cs="Arial"/>
          <w:sz w:val="24"/>
          <w:szCs w:val="24"/>
          <w:lang w:val="en"/>
        </w:rPr>
        <w:t xml:space="preserve">Despite repeated criticism from the (Finnish) Constitutional Law Committee, the UN Human Rights Committee periodic report on Finland, and two revisions of the Finnish constitution, the discriminatory law has remained. </w:t>
      </w:r>
    </w:p>
    <w:p w14:paraId="71A56CB5" w14:textId="77777777" w:rsidR="00EC20F6" w:rsidRPr="00EC20F6" w:rsidRDefault="00EC20F6" w:rsidP="00EC20F6">
      <w:pPr>
        <w:jc w:val="both"/>
        <w:rPr>
          <w:rFonts w:cs="Arial"/>
          <w:sz w:val="24"/>
          <w:szCs w:val="24"/>
          <w:lang w:val="en"/>
        </w:rPr>
      </w:pPr>
      <w:r w:rsidRPr="00EC20F6">
        <w:rPr>
          <w:rFonts w:cs="Arial"/>
          <w:sz w:val="24"/>
          <w:szCs w:val="24"/>
          <w:lang w:val="en"/>
        </w:rPr>
        <w:t>The Non-Discrimination Ombudsman cited a number of decisions and judgments by both the UN Human Rights Committee and the European Court of Human Rights, in the light of which the current legislation and practice violates equal treatment provisions in the UN Covenant Civil and Political rights (articles 18 and 26) and the European Convention on Human Rights (articles 9 and 14).</w:t>
      </w:r>
    </w:p>
    <w:p w14:paraId="724842ED" w14:textId="67D718D0" w:rsidR="00647EA0" w:rsidRPr="00683B48" w:rsidRDefault="00F05EC4" w:rsidP="00FD78A5">
      <w:pPr>
        <w:jc w:val="both"/>
        <w:rPr>
          <w:rFonts w:cs="Arial"/>
          <w:b/>
          <w:sz w:val="24"/>
          <w:szCs w:val="24"/>
        </w:rPr>
      </w:pPr>
      <w:r w:rsidRPr="006F3139">
        <w:rPr>
          <w:rFonts w:cs="Arial"/>
          <w:b/>
          <w:sz w:val="24"/>
          <w:szCs w:val="24"/>
          <w:u w:val="single"/>
        </w:rPr>
        <w:t xml:space="preserve">3. </w:t>
      </w:r>
      <w:r w:rsidR="00647EA0" w:rsidRPr="006F3139">
        <w:rPr>
          <w:rFonts w:cs="Arial"/>
          <w:b/>
          <w:sz w:val="24"/>
          <w:szCs w:val="24"/>
          <w:u w:val="single"/>
        </w:rPr>
        <w:t xml:space="preserve">Strategic </w:t>
      </w:r>
      <w:r w:rsidR="00B60847" w:rsidRPr="006F3139">
        <w:rPr>
          <w:rFonts w:cs="Arial"/>
          <w:b/>
          <w:sz w:val="24"/>
          <w:szCs w:val="24"/>
          <w:u w:val="single"/>
        </w:rPr>
        <w:t>L</w:t>
      </w:r>
      <w:r w:rsidR="00647EA0" w:rsidRPr="006F3139">
        <w:rPr>
          <w:rFonts w:cs="Arial"/>
          <w:b/>
          <w:sz w:val="24"/>
          <w:szCs w:val="24"/>
          <w:u w:val="single"/>
        </w:rPr>
        <w:t xml:space="preserve">itigation to </w:t>
      </w:r>
      <w:r w:rsidR="00B60847" w:rsidRPr="006F3139">
        <w:rPr>
          <w:rFonts w:cs="Arial"/>
          <w:b/>
          <w:sz w:val="24"/>
          <w:szCs w:val="24"/>
          <w:u w:val="single"/>
        </w:rPr>
        <w:t>O</w:t>
      </w:r>
      <w:r w:rsidR="00647EA0" w:rsidRPr="006F3139">
        <w:rPr>
          <w:rFonts w:cs="Arial"/>
          <w:b/>
          <w:sz w:val="24"/>
          <w:szCs w:val="24"/>
          <w:u w:val="single"/>
        </w:rPr>
        <w:t xml:space="preserve">btain </w:t>
      </w:r>
      <w:r w:rsidR="00B60847" w:rsidRPr="006F3139">
        <w:rPr>
          <w:rFonts w:cs="Arial"/>
          <w:b/>
          <w:sz w:val="24"/>
          <w:szCs w:val="24"/>
          <w:u w:val="single"/>
        </w:rPr>
        <w:t>J</w:t>
      </w:r>
      <w:r w:rsidR="00647EA0" w:rsidRPr="006F3139">
        <w:rPr>
          <w:rFonts w:cs="Arial"/>
          <w:b/>
          <w:sz w:val="24"/>
          <w:szCs w:val="24"/>
          <w:u w:val="single"/>
        </w:rPr>
        <w:t xml:space="preserve">udicial </w:t>
      </w:r>
      <w:r w:rsidR="00B60847" w:rsidRPr="006F3139">
        <w:rPr>
          <w:rFonts w:cs="Arial"/>
          <w:b/>
          <w:sz w:val="24"/>
          <w:szCs w:val="24"/>
          <w:u w:val="single"/>
        </w:rPr>
        <w:t>C</w:t>
      </w:r>
      <w:r w:rsidR="00647EA0" w:rsidRPr="006F3139">
        <w:rPr>
          <w:rFonts w:cs="Arial"/>
          <w:b/>
          <w:sz w:val="24"/>
          <w:szCs w:val="24"/>
          <w:u w:val="single"/>
        </w:rPr>
        <w:t xml:space="preserve">larity on </w:t>
      </w:r>
      <w:r w:rsidR="00B60847" w:rsidRPr="006F3139">
        <w:rPr>
          <w:rFonts w:cs="Arial"/>
          <w:b/>
          <w:sz w:val="24"/>
          <w:szCs w:val="24"/>
          <w:u w:val="single"/>
        </w:rPr>
        <w:t>Application of</w:t>
      </w:r>
      <w:r w:rsidR="00647EA0" w:rsidRPr="006F3139">
        <w:rPr>
          <w:rFonts w:cs="Arial"/>
          <w:b/>
          <w:sz w:val="24"/>
          <w:szCs w:val="24"/>
          <w:u w:val="single"/>
        </w:rPr>
        <w:t xml:space="preserve"> the </w:t>
      </w:r>
      <w:r w:rsidR="00B60847" w:rsidRPr="006F3139">
        <w:rPr>
          <w:rFonts w:cs="Arial"/>
          <w:b/>
          <w:sz w:val="24"/>
          <w:szCs w:val="24"/>
          <w:u w:val="single"/>
        </w:rPr>
        <w:t>L</w:t>
      </w:r>
      <w:r w:rsidR="00647EA0" w:rsidRPr="006F3139">
        <w:rPr>
          <w:rFonts w:cs="Arial"/>
          <w:b/>
          <w:sz w:val="24"/>
          <w:szCs w:val="24"/>
          <w:u w:val="single"/>
        </w:rPr>
        <w:t>aw</w:t>
      </w:r>
      <w:r w:rsidR="00AB48D1" w:rsidRPr="006F3139">
        <w:rPr>
          <w:rFonts w:cs="Arial"/>
          <w:b/>
          <w:sz w:val="24"/>
          <w:szCs w:val="24"/>
          <w:u w:val="single"/>
        </w:rPr>
        <w:t xml:space="preserve"> </w:t>
      </w:r>
    </w:p>
    <w:p w14:paraId="593C82F2" w14:textId="77777777" w:rsidR="00647EA0" w:rsidRPr="00683B48" w:rsidRDefault="00647EA0" w:rsidP="00FD78A5">
      <w:pPr>
        <w:jc w:val="both"/>
        <w:rPr>
          <w:rFonts w:cs="Arial"/>
          <w:b/>
          <w:sz w:val="24"/>
          <w:szCs w:val="24"/>
        </w:rPr>
      </w:pPr>
      <w:r w:rsidRPr="00683B48">
        <w:rPr>
          <w:rFonts w:cs="Arial"/>
          <w:b/>
          <w:sz w:val="24"/>
          <w:szCs w:val="24"/>
        </w:rPr>
        <w:t xml:space="preserve">Paulley v First Group Plc. </w:t>
      </w:r>
      <w:r w:rsidRPr="00872D62">
        <w:rPr>
          <w:rFonts w:cs="Arial"/>
          <w:sz w:val="24"/>
          <w:szCs w:val="24"/>
        </w:rPr>
        <w:t>(UK Supreme Court</w:t>
      </w:r>
      <w:r w:rsidR="005021EB" w:rsidRPr="00872D62">
        <w:rPr>
          <w:rFonts w:cs="Arial"/>
          <w:sz w:val="24"/>
          <w:szCs w:val="24"/>
        </w:rPr>
        <w:t>, [2017] UKSC 4</w:t>
      </w:r>
      <w:r w:rsidRPr="00872D62">
        <w:rPr>
          <w:rFonts w:cs="Arial"/>
          <w:sz w:val="24"/>
          <w:szCs w:val="24"/>
        </w:rPr>
        <w:t>)</w:t>
      </w:r>
    </w:p>
    <w:p w14:paraId="017859B5" w14:textId="41DFD408" w:rsidR="00647EA0" w:rsidRPr="00683B48" w:rsidRDefault="00647EA0" w:rsidP="00FD78A5">
      <w:pPr>
        <w:jc w:val="both"/>
        <w:rPr>
          <w:rFonts w:cs="Arial"/>
          <w:sz w:val="24"/>
          <w:szCs w:val="24"/>
        </w:rPr>
      </w:pPr>
      <w:r w:rsidRPr="00683B48">
        <w:rPr>
          <w:rFonts w:cs="Arial"/>
          <w:sz w:val="24"/>
          <w:szCs w:val="24"/>
        </w:rPr>
        <w:t xml:space="preserve">Doug Paulley, a wheelchair user, </w:t>
      </w:r>
      <w:r w:rsidR="00B60847" w:rsidRPr="00683B48">
        <w:rPr>
          <w:rFonts w:cs="Arial"/>
          <w:sz w:val="24"/>
          <w:szCs w:val="24"/>
        </w:rPr>
        <w:t xml:space="preserve">attempted </w:t>
      </w:r>
      <w:r w:rsidRPr="00683B48">
        <w:rPr>
          <w:rFonts w:cs="Arial"/>
          <w:sz w:val="24"/>
          <w:szCs w:val="24"/>
        </w:rPr>
        <w:t>to board a First</w:t>
      </w:r>
      <w:r w:rsidR="003069B9" w:rsidRPr="00683B48">
        <w:rPr>
          <w:rFonts w:cs="Arial"/>
          <w:sz w:val="24"/>
          <w:szCs w:val="24"/>
        </w:rPr>
        <w:t xml:space="preserve"> </w:t>
      </w:r>
      <w:r w:rsidRPr="00683B48">
        <w:rPr>
          <w:rFonts w:cs="Arial"/>
          <w:sz w:val="24"/>
          <w:szCs w:val="24"/>
        </w:rPr>
        <w:t xml:space="preserve">Group bus. The wheelchair space was </w:t>
      </w:r>
      <w:r w:rsidR="00B60847" w:rsidRPr="00683B48">
        <w:rPr>
          <w:rFonts w:cs="Arial"/>
          <w:sz w:val="24"/>
          <w:szCs w:val="24"/>
        </w:rPr>
        <w:t xml:space="preserve">however </w:t>
      </w:r>
      <w:r w:rsidRPr="00683B48">
        <w:rPr>
          <w:rFonts w:cs="Arial"/>
          <w:sz w:val="24"/>
          <w:szCs w:val="24"/>
        </w:rPr>
        <w:t xml:space="preserve">occupied by a mother with </w:t>
      </w:r>
      <w:r w:rsidR="00B60847" w:rsidRPr="00683B48">
        <w:rPr>
          <w:rFonts w:cs="Arial"/>
          <w:sz w:val="24"/>
          <w:szCs w:val="24"/>
        </w:rPr>
        <w:t xml:space="preserve">a sleeping child in </w:t>
      </w:r>
      <w:r w:rsidRPr="00683B48">
        <w:rPr>
          <w:rFonts w:cs="Arial"/>
          <w:sz w:val="24"/>
          <w:szCs w:val="24"/>
        </w:rPr>
        <w:t xml:space="preserve">a pushchair. </w:t>
      </w:r>
      <w:r w:rsidR="00B60847" w:rsidRPr="00683B48">
        <w:rPr>
          <w:rFonts w:cs="Arial"/>
          <w:sz w:val="24"/>
          <w:szCs w:val="24"/>
        </w:rPr>
        <w:t xml:space="preserve">The woman </w:t>
      </w:r>
      <w:r w:rsidRPr="00683B48">
        <w:rPr>
          <w:rFonts w:cs="Arial"/>
          <w:sz w:val="24"/>
          <w:szCs w:val="24"/>
        </w:rPr>
        <w:t>refused the driver's request to move or fold the pushchair and</w:t>
      </w:r>
      <w:r w:rsidR="00B60847" w:rsidRPr="00683B48">
        <w:rPr>
          <w:rFonts w:cs="Arial"/>
          <w:sz w:val="24"/>
          <w:szCs w:val="24"/>
        </w:rPr>
        <w:t xml:space="preserve"> as a result</w:t>
      </w:r>
      <w:r w:rsidRPr="00683B48">
        <w:rPr>
          <w:rFonts w:cs="Arial"/>
          <w:sz w:val="24"/>
          <w:szCs w:val="24"/>
        </w:rPr>
        <w:t xml:space="preserve"> the driver told Mr Paulley</w:t>
      </w:r>
      <w:r w:rsidR="00B60847" w:rsidRPr="00683B48">
        <w:rPr>
          <w:rFonts w:cs="Arial"/>
          <w:sz w:val="24"/>
          <w:szCs w:val="24"/>
        </w:rPr>
        <w:t xml:space="preserve"> that</w:t>
      </w:r>
      <w:r w:rsidRPr="00683B48">
        <w:rPr>
          <w:rFonts w:cs="Arial"/>
          <w:sz w:val="24"/>
          <w:szCs w:val="24"/>
        </w:rPr>
        <w:t xml:space="preserve"> he could not board the bus. </w:t>
      </w:r>
      <w:r w:rsidR="00E8122F" w:rsidRPr="00683B48">
        <w:rPr>
          <w:rFonts w:cs="Arial"/>
          <w:sz w:val="24"/>
          <w:szCs w:val="24"/>
        </w:rPr>
        <w:t xml:space="preserve">Mr Paulley </w:t>
      </w:r>
      <w:r w:rsidRPr="00683B48">
        <w:rPr>
          <w:rFonts w:cs="Arial"/>
          <w:sz w:val="24"/>
          <w:szCs w:val="24"/>
        </w:rPr>
        <w:t xml:space="preserve">brought a claim for disability discrimination, arguing that the bus </w:t>
      </w:r>
      <w:r w:rsidR="003069B9" w:rsidRPr="00683B48">
        <w:rPr>
          <w:rFonts w:cs="Arial"/>
          <w:sz w:val="24"/>
          <w:szCs w:val="24"/>
        </w:rPr>
        <w:t>operator</w:t>
      </w:r>
      <w:r w:rsidR="00E8122F" w:rsidRPr="00683B48">
        <w:rPr>
          <w:rFonts w:cs="Arial"/>
          <w:sz w:val="24"/>
          <w:szCs w:val="24"/>
        </w:rPr>
        <w:t xml:space="preserve"> </w:t>
      </w:r>
      <w:r w:rsidRPr="00683B48">
        <w:rPr>
          <w:rFonts w:cs="Arial"/>
          <w:sz w:val="24"/>
          <w:szCs w:val="24"/>
        </w:rPr>
        <w:t xml:space="preserve">had failed to make reasonable adjustments for him. </w:t>
      </w:r>
      <w:r w:rsidR="00E8122F" w:rsidRPr="00683B48">
        <w:rPr>
          <w:rFonts w:cs="Arial"/>
          <w:sz w:val="24"/>
          <w:szCs w:val="24"/>
        </w:rPr>
        <w:t>While t</w:t>
      </w:r>
      <w:r w:rsidRPr="00683B48">
        <w:rPr>
          <w:rFonts w:cs="Arial"/>
          <w:sz w:val="24"/>
          <w:szCs w:val="24"/>
        </w:rPr>
        <w:t>he Supreme Court decided in favour of the bus company</w:t>
      </w:r>
      <w:r w:rsidR="00E8122F" w:rsidRPr="00683B48">
        <w:rPr>
          <w:rFonts w:cs="Arial"/>
          <w:sz w:val="24"/>
          <w:szCs w:val="24"/>
        </w:rPr>
        <w:t>,</w:t>
      </w:r>
      <w:r w:rsidRPr="00683B48">
        <w:rPr>
          <w:rFonts w:cs="Arial"/>
          <w:sz w:val="24"/>
          <w:szCs w:val="24"/>
        </w:rPr>
        <w:t xml:space="preserve"> </w:t>
      </w:r>
      <w:r w:rsidR="00E8122F" w:rsidRPr="00683B48">
        <w:rPr>
          <w:rFonts w:cs="Arial"/>
          <w:sz w:val="24"/>
          <w:szCs w:val="24"/>
        </w:rPr>
        <w:t>the following</w:t>
      </w:r>
      <w:r w:rsidRPr="00683B48">
        <w:rPr>
          <w:rFonts w:cs="Arial"/>
          <w:sz w:val="24"/>
          <w:szCs w:val="24"/>
        </w:rPr>
        <w:t xml:space="preserve"> landmark ruling</w:t>
      </w:r>
      <w:r w:rsidR="00E8122F" w:rsidRPr="00683B48">
        <w:rPr>
          <w:rFonts w:cs="Arial"/>
          <w:sz w:val="24"/>
          <w:szCs w:val="24"/>
        </w:rPr>
        <w:t xml:space="preserve"> was also made. W</w:t>
      </w:r>
      <w:r w:rsidRPr="00683B48">
        <w:rPr>
          <w:rFonts w:cs="Arial"/>
          <w:sz w:val="24"/>
          <w:szCs w:val="24"/>
        </w:rPr>
        <w:t xml:space="preserve">hen a non-wheelchair user refuses to </w:t>
      </w:r>
      <w:r w:rsidR="00E8122F" w:rsidRPr="00683B48">
        <w:rPr>
          <w:rFonts w:cs="Arial"/>
          <w:sz w:val="24"/>
          <w:szCs w:val="24"/>
        </w:rPr>
        <w:t>vacate a wheelchair space</w:t>
      </w:r>
      <w:r w:rsidRPr="00683B48">
        <w:rPr>
          <w:rFonts w:cs="Arial"/>
          <w:sz w:val="24"/>
          <w:szCs w:val="24"/>
        </w:rPr>
        <w:t>,</w:t>
      </w:r>
      <w:r w:rsidR="00E8122F" w:rsidRPr="00683B48">
        <w:rPr>
          <w:rFonts w:cs="Arial"/>
          <w:sz w:val="24"/>
          <w:szCs w:val="24"/>
        </w:rPr>
        <w:t xml:space="preserve"> it is not sufficient for</w:t>
      </w:r>
      <w:r w:rsidRPr="00683B48">
        <w:rPr>
          <w:rFonts w:cs="Arial"/>
          <w:sz w:val="24"/>
          <w:szCs w:val="24"/>
        </w:rPr>
        <w:t xml:space="preserve"> the bus </w:t>
      </w:r>
      <w:r w:rsidR="003069B9" w:rsidRPr="00683B48">
        <w:rPr>
          <w:rFonts w:cs="Arial"/>
          <w:sz w:val="24"/>
          <w:szCs w:val="24"/>
        </w:rPr>
        <w:t>operator</w:t>
      </w:r>
      <w:r w:rsidR="00E8122F" w:rsidRPr="00683B48">
        <w:rPr>
          <w:rFonts w:cs="Arial"/>
          <w:sz w:val="24"/>
          <w:szCs w:val="24"/>
        </w:rPr>
        <w:t xml:space="preserve"> to</w:t>
      </w:r>
      <w:r w:rsidRPr="00683B48">
        <w:rPr>
          <w:rFonts w:cs="Arial"/>
          <w:sz w:val="24"/>
          <w:szCs w:val="24"/>
        </w:rPr>
        <w:t xml:space="preserve"> simply accept </w:t>
      </w:r>
      <w:r w:rsidR="00E8122F" w:rsidRPr="00683B48">
        <w:rPr>
          <w:rFonts w:cs="Arial"/>
          <w:sz w:val="24"/>
          <w:szCs w:val="24"/>
        </w:rPr>
        <w:t xml:space="preserve">such a </w:t>
      </w:r>
      <w:r w:rsidRPr="00683B48">
        <w:rPr>
          <w:rFonts w:cs="Arial"/>
          <w:sz w:val="24"/>
          <w:szCs w:val="24"/>
        </w:rPr>
        <w:t xml:space="preserve">refusal. </w:t>
      </w:r>
      <w:r w:rsidR="00E8122F" w:rsidRPr="00683B48">
        <w:rPr>
          <w:rFonts w:cs="Arial"/>
          <w:sz w:val="24"/>
          <w:szCs w:val="24"/>
        </w:rPr>
        <w:t>The operator is obliged to</w:t>
      </w:r>
      <w:r w:rsidRPr="00683B48">
        <w:rPr>
          <w:rFonts w:cs="Arial"/>
          <w:sz w:val="24"/>
          <w:szCs w:val="24"/>
        </w:rPr>
        <w:t xml:space="preserve"> take steps</w:t>
      </w:r>
      <w:r w:rsidR="00E8122F" w:rsidRPr="00683B48">
        <w:rPr>
          <w:rFonts w:cs="Arial"/>
          <w:sz w:val="24"/>
          <w:szCs w:val="24"/>
        </w:rPr>
        <w:t>,</w:t>
      </w:r>
      <w:r w:rsidRPr="00683B48">
        <w:rPr>
          <w:rFonts w:cs="Arial"/>
          <w:sz w:val="24"/>
          <w:szCs w:val="24"/>
        </w:rPr>
        <w:t xml:space="preserve"> </w:t>
      </w:r>
      <w:r w:rsidR="00E8122F" w:rsidRPr="00683B48">
        <w:rPr>
          <w:rFonts w:cs="Arial"/>
          <w:sz w:val="24"/>
          <w:szCs w:val="24"/>
        </w:rPr>
        <w:t xml:space="preserve">such as not driving further, </w:t>
      </w:r>
      <w:r w:rsidR="003069B9" w:rsidRPr="00683B48">
        <w:rPr>
          <w:rFonts w:cs="Arial"/>
          <w:sz w:val="24"/>
          <w:szCs w:val="24"/>
        </w:rPr>
        <w:t xml:space="preserve">or </w:t>
      </w:r>
      <w:r w:rsidR="00E8122F" w:rsidRPr="00683B48">
        <w:rPr>
          <w:rFonts w:cs="Arial"/>
          <w:sz w:val="24"/>
          <w:szCs w:val="24"/>
        </w:rPr>
        <w:t>compel</w:t>
      </w:r>
      <w:r w:rsidR="003069B9" w:rsidRPr="00683B48">
        <w:rPr>
          <w:rFonts w:cs="Arial"/>
          <w:sz w:val="24"/>
          <w:szCs w:val="24"/>
        </w:rPr>
        <w:t>ling</w:t>
      </w:r>
      <w:r w:rsidRPr="00683B48">
        <w:rPr>
          <w:rFonts w:cs="Arial"/>
          <w:sz w:val="24"/>
          <w:szCs w:val="24"/>
        </w:rPr>
        <w:t xml:space="preserve"> the person to </w:t>
      </w:r>
      <w:r w:rsidR="00E8122F" w:rsidRPr="00683B48">
        <w:rPr>
          <w:rFonts w:cs="Arial"/>
          <w:sz w:val="24"/>
          <w:szCs w:val="24"/>
        </w:rPr>
        <w:t>vacate the space</w:t>
      </w:r>
      <w:r w:rsidRPr="00683B48">
        <w:rPr>
          <w:rFonts w:cs="Arial"/>
          <w:sz w:val="24"/>
          <w:szCs w:val="24"/>
        </w:rPr>
        <w:t>. The court also suggested that the law should be reconsidered</w:t>
      </w:r>
      <w:r w:rsidR="00E8122F" w:rsidRPr="00683B48">
        <w:rPr>
          <w:rFonts w:cs="Arial"/>
          <w:sz w:val="24"/>
          <w:szCs w:val="24"/>
        </w:rPr>
        <w:t xml:space="preserve"> in order</w:t>
      </w:r>
      <w:r w:rsidRPr="00683B48">
        <w:rPr>
          <w:rFonts w:cs="Arial"/>
          <w:sz w:val="24"/>
          <w:szCs w:val="24"/>
        </w:rPr>
        <w:t xml:space="preserve"> to provide clarity for bus </w:t>
      </w:r>
      <w:r w:rsidR="00E8122F" w:rsidRPr="00683B48">
        <w:rPr>
          <w:rFonts w:cs="Arial"/>
          <w:sz w:val="24"/>
          <w:szCs w:val="24"/>
        </w:rPr>
        <w:t xml:space="preserve">operators </w:t>
      </w:r>
      <w:r w:rsidRPr="00683B48">
        <w:rPr>
          <w:rFonts w:cs="Arial"/>
          <w:sz w:val="24"/>
          <w:szCs w:val="24"/>
        </w:rPr>
        <w:t>and their customers.</w:t>
      </w:r>
    </w:p>
    <w:p w14:paraId="0116156D" w14:textId="42D60309" w:rsidR="00647EA0" w:rsidRPr="00683B48" w:rsidRDefault="00647EA0" w:rsidP="00FD78A5">
      <w:pPr>
        <w:jc w:val="both"/>
        <w:rPr>
          <w:rFonts w:cs="Arial"/>
          <w:sz w:val="24"/>
          <w:szCs w:val="24"/>
        </w:rPr>
      </w:pPr>
      <w:r w:rsidRPr="00683B48">
        <w:rPr>
          <w:rFonts w:cs="Arial"/>
          <w:sz w:val="24"/>
          <w:szCs w:val="24"/>
        </w:rPr>
        <w:t xml:space="preserve">This case is highly strategic </w:t>
      </w:r>
      <w:r w:rsidR="00E8122F" w:rsidRPr="00683B48">
        <w:rPr>
          <w:rFonts w:cs="Arial"/>
          <w:sz w:val="24"/>
          <w:szCs w:val="24"/>
        </w:rPr>
        <w:t>as</w:t>
      </w:r>
      <w:r w:rsidR="00E8122F" w:rsidRPr="00683B48">
        <w:rPr>
          <w:rStyle w:val="CommentReference"/>
          <w:lang w:val="fi-FI"/>
        </w:rPr>
        <w:t xml:space="preserve"> </w:t>
      </w:r>
      <w:r w:rsidR="00E8122F" w:rsidRPr="00683B48">
        <w:rPr>
          <w:rFonts w:cs="Arial"/>
          <w:sz w:val="24"/>
          <w:szCs w:val="24"/>
        </w:rPr>
        <w:t xml:space="preserve">it potentially affects </w:t>
      </w:r>
      <w:r w:rsidR="003069B9" w:rsidRPr="00683B48">
        <w:rPr>
          <w:rFonts w:cs="Arial"/>
          <w:sz w:val="24"/>
          <w:szCs w:val="24"/>
        </w:rPr>
        <w:t>approximately</w:t>
      </w:r>
      <w:r w:rsidRPr="00683B48">
        <w:rPr>
          <w:rFonts w:cs="Arial"/>
          <w:sz w:val="24"/>
          <w:szCs w:val="24"/>
        </w:rPr>
        <w:t xml:space="preserve"> </w:t>
      </w:r>
      <w:r w:rsidR="00E8122F" w:rsidRPr="00683B48">
        <w:rPr>
          <w:rFonts w:cs="Arial"/>
          <w:sz w:val="24"/>
          <w:szCs w:val="24"/>
        </w:rPr>
        <w:t xml:space="preserve">1 </w:t>
      </w:r>
      <w:r w:rsidRPr="00683B48">
        <w:rPr>
          <w:rFonts w:cs="Arial"/>
          <w:sz w:val="24"/>
          <w:szCs w:val="24"/>
        </w:rPr>
        <w:t xml:space="preserve">million </w:t>
      </w:r>
      <w:r w:rsidR="00E8122F" w:rsidRPr="00683B48">
        <w:rPr>
          <w:rFonts w:cs="Arial"/>
          <w:sz w:val="24"/>
          <w:szCs w:val="24"/>
        </w:rPr>
        <w:t xml:space="preserve">British </w:t>
      </w:r>
      <w:r w:rsidRPr="00683B48">
        <w:rPr>
          <w:rFonts w:cs="Arial"/>
          <w:sz w:val="24"/>
          <w:szCs w:val="24"/>
        </w:rPr>
        <w:t xml:space="preserve">wheelchair users. In addition, </w:t>
      </w:r>
      <w:r w:rsidR="00E8122F" w:rsidRPr="00683B48">
        <w:rPr>
          <w:rFonts w:cs="Arial"/>
          <w:sz w:val="24"/>
          <w:szCs w:val="24"/>
        </w:rPr>
        <w:t>the ruling</w:t>
      </w:r>
      <w:r w:rsidRPr="00683B48">
        <w:rPr>
          <w:rFonts w:cs="Arial"/>
          <w:sz w:val="24"/>
          <w:szCs w:val="24"/>
        </w:rPr>
        <w:t xml:space="preserve"> provides clarity and guidance to transport operators who need to ensure the provi</w:t>
      </w:r>
      <w:r w:rsidR="00E8122F" w:rsidRPr="00683B48">
        <w:rPr>
          <w:rFonts w:cs="Arial"/>
          <w:sz w:val="24"/>
          <w:szCs w:val="24"/>
        </w:rPr>
        <w:t>sion of</w:t>
      </w:r>
      <w:r w:rsidRPr="00683B48">
        <w:rPr>
          <w:rFonts w:cs="Arial"/>
          <w:sz w:val="24"/>
          <w:szCs w:val="24"/>
        </w:rPr>
        <w:t xml:space="preserve"> their services without discriminating against women or disabled wheelchair users. </w:t>
      </w:r>
    </w:p>
    <w:p w14:paraId="4740B191" w14:textId="0C119970" w:rsidR="00550429" w:rsidRPr="00683B48" w:rsidRDefault="00F05EC4" w:rsidP="00FD78A5">
      <w:pPr>
        <w:jc w:val="both"/>
        <w:rPr>
          <w:rFonts w:cs="Arial"/>
          <w:b/>
          <w:sz w:val="24"/>
          <w:szCs w:val="24"/>
        </w:rPr>
      </w:pPr>
      <w:r w:rsidRPr="006F3139">
        <w:rPr>
          <w:rFonts w:cs="Arial"/>
          <w:b/>
          <w:sz w:val="24"/>
          <w:szCs w:val="24"/>
          <w:u w:val="single"/>
        </w:rPr>
        <w:t xml:space="preserve">4. </w:t>
      </w:r>
      <w:r w:rsidR="00550429" w:rsidRPr="006F3139">
        <w:rPr>
          <w:rFonts w:cs="Arial"/>
          <w:b/>
          <w:sz w:val="24"/>
          <w:szCs w:val="24"/>
          <w:u w:val="single"/>
        </w:rPr>
        <w:t>Strategic Litigation to Establish that Non-Discrimination Law Covers a Particular Situation</w:t>
      </w:r>
    </w:p>
    <w:p w14:paraId="17E8EB25" w14:textId="73A9AD6B" w:rsidR="00AB48D1" w:rsidRPr="00C94C8A" w:rsidRDefault="00DB32FB" w:rsidP="00FD78A5">
      <w:pPr>
        <w:jc w:val="both"/>
        <w:rPr>
          <w:rFonts w:cs="Arial"/>
          <w:sz w:val="24"/>
          <w:szCs w:val="24"/>
        </w:rPr>
      </w:pPr>
      <w:r w:rsidRPr="00683B48">
        <w:rPr>
          <w:rFonts w:cs="Arial"/>
          <w:b/>
          <w:sz w:val="24"/>
          <w:szCs w:val="24"/>
        </w:rPr>
        <w:t xml:space="preserve">Swedish </w:t>
      </w:r>
      <w:r w:rsidR="00AB48D1" w:rsidRPr="00683B48">
        <w:rPr>
          <w:rFonts w:cs="Arial"/>
          <w:b/>
          <w:sz w:val="24"/>
          <w:szCs w:val="24"/>
        </w:rPr>
        <w:t xml:space="preserve">Equality Ombudsman v IF Skadeförsäkring AB </w:t>
      </w:r>
      <w:r w:rsidR="009D69E3">
        <w:rPr>
          <w:rFonts w:cs="Arial"/>
          <w:sz w:val="24"/>
          <w:szCs w:val="24"/>
        </w:rPr>
        <w:t>(S</w:t>
      </w:r>
      <w:r w:rsidR="00E8679C">
        <w:rPr>
          <w:rFonts w:cs="Arial"/>
          <w:sz w:val="24"/>
          <w:szCs w:val="24"/>
        </w:rPr>
        <w:t>vea</w:t>
      </w:r>
      <w:r w:rsidR="009D69E3">
        <w:rPr>
          <w:rFonts w:cs="Arial"/>
          <w:sz w:val="24"/>
          <w:szCs w:val="24"/>
        </w:rPr>
        <w:t xml:space="preserve"> Court of Appeal,</w:t>
      </w:r>
      <w:r w:rsidR="00E23760">
        <w:rPr>
          <w:rFonts w:cs="Arial"/>
          <w:sz w:val="24"/>
          <w:szCs w:val="24"/>
        </w:rPr>
        <w:br/>
      </w:r>
      <w:r w:rsidR="009D69E3">
        <w:rPr>
          <w:rFonts w:cs="Arial"/>
          <w:sz w:val="24"/>
          <w:szCs w:val="24"/>
        </w:rPr>
        <w:t xml:space="preserve"> T 1912-13)</w:t>
      </w:r>
    </w:p>
    <w:p w14:paraId="5D919F0A" w14:textId="77777777" w:rsidR="00AB48D1" w:rsidRPr="00683B48" w:rsidRDefault="00AB48D1" w:rsidP="00FD78A5">
      <w:pPr>
        <w:jc w:val="both"/>
        <w:rPr>
          <w:rFonts w:cs="Arial"/>
          <w:sz w:val="24"/>
          <w:szCs w:val="24"/>
        </w:rPr>
      </w:pPr>
      <w:r w:rsidRPr="00683B48">
        <w:rPr>
          <w:rFonts w:cs="Arial"/>
          <w:sz w:val="24"/>
          <w:szCs w:val="24"/>
        </w:rPr>
        <w:t>The conflict between non-discrimination law and insurance provision</w:t>
      </w:r>
      <w:r w:rsidR="00D61F54" w:rsidRPr="00683B48">
        <w:rPr>
          <w:rFonts w:cs="Arial"/>
          <w:sz w:val="24"/>
          <w:szCs w:val="24"/>
        </w:rPr>
        <w:t>s</w:t>
      </w:r>
      <w:r w:rsidRPr="00683B48">
        <w:rPr>
          <w:rFonts w:cs="Arial"/>
          <w:sz w:val="24"/>
          <w:szCs w:val="24"/>
        </w:rPr>
        <w:t xml:space="preserve"> is well known. </w:t>
      </w:r>
      <w:r w:rsidR="00D61F54" w:rsidRPr="00683B48">
        <w:rPr>
          <w:rFonts w:cs="Arial"/>
          <w:sz w:val="24"/>
          <w:szCs w:val="24"/>
        </w:rPr>
        <w:t>While n</w:t>
      </w:r>
      <w:r w:rsidRPr="00683B48">
        <w:rPr>
          <w:rFonts w:cs="Arial"/>
          <w:sz w:val="24"/>
          <w:szCs w:val="24"/>
        </w:rPr>
        <w:t xml:space="preserve">on-discrimination law generally prohibits </w:t>
      </w:r>
      <w:r w:rsidR="00D61F54" w:rsidRPr="00683B48">
        <w:rPr>
          <w:rFonts w:cs="Arial"/>
          <w:sz w:val="24"/>
          <w:szCs w:val="24"/>
        </w:rPr>
        <w:t>unequal</w:t>
      </w:r>
      <w:r w:rsidRPr="00683B48">
        <w:rPr>
          <w:rFonts w:cs="Arial"/>
          <w:sz w:val="24"/>
          <w:szCs w:val="24"/>
        </w:rPr>
        <w:t xml:space="preserve"> treatment of individuals based on statistical findings with respect to their group belonging, insurance companies operate </w:t>
      </w:r>
      <w:r w:rsidR="00D61F54" w:rsidRPr="00683B48">
        <w:rPr>
          <w:rFonts w:cs="Arial"/>
          <w:sz w:val="24"/>
          <w:szCs w:val="24"/>
        </w:rPr>
        <w:t xml:space="preserve">precisely </w:t>
      </w:r>
      <w:r w:rsidRPr="00683B48">
        <w:rPr>
          <w:rFonts w:cs="Arial"/>
          <w:sz w:val="24"/>
          <w:szCs w:val="24"/>
        </w:rPr>
        <w:t>on group</w:t>
      </w:r>
      <w:r w:rsidR="00D61F54" w:rsidRPr="00683B48">
        <w:rPr>
          <w:rFonts w:cs="Arial"/>
          <w:sz w:val="24"/>
          <w:szCs w:val="24"/>
        </w:rPr>
        <w:t>-</w:t>
      </w:r>
      <w:r w:rsidRPr="00683B48">
        <w:rPr>
          <w:rFonts w:cs="Arial"/>
          <w:sz w:val="24"/>
          <w:szCs w:val="24"/>
        </w:rPr>
        <w:t xml:space="preserve">based statistical assessments. In Sweden, insurance providers considered that correct decisions based on a statistical risk assessment, allowed under the Swedish </w:t>
      </w:r>
      <w:r w:rsidRPr="00683B48">
        <w:rPr>
          <w:rFonts w:cs="Arial"/>
          <w:sz w:val="24"/>
          <w:szCs w:val="24"/>
        </w:rPr>
        <w:lastRenderedPageBreak/>
        <w:t>Insurance Act, could not be challenged as discriminatory. A major insurance company thus had a rule that</w:t>
      </w:r>
      <w:r w:rsidR="00D61F54" w:rsidRPr="00683B48">
        <w:rPr>
          <w:rFonts w:cs="Arial"/>
          <w:sz w:val="24"/>
          <w:szCs w:val="24"/>
        </w:rPr>
        <w:t>,</w:t>
      </w:r>
      <w:r w:rsidRPr="00683B48">
        <w:rPr>
          <w:rFonts w:cs="Arial"/>
          <w:sz w:val="24"/>
          <w:szCs w:val="24"/>
        </w:rPr>
        <w:t xml:space="preserve"> </w:t>
      </w:r>
      <w:r w:rsidR="00D61F54" w:rsidRPr="00683B48">
        <w:rPr>
          <w:rFonts w:cs="Arial"/>
          <w:sz w:val="24"/>
          <w:szCs w:val="24"/>
        </w:rPr>
        <w:t xml:space="preserve">without first having performed an individual risk assessment, </w:t>
      </w:r>
      <w:r w:rsidRPr="00683B48">
        <w:rPr>
          <w:rFonts w:cs="Arial"/>
          <w:sz w:val="24"/>
          <w:szCs w:val="24"/>
        </w:rPr>
        <w:t xml:space="preserve">children with serious illnesses and disabilities </w:t>
      </w:r>
      <w:r w:rsidR="00D61F54" w:rsidRPr="00683B48">
        <w:rPr>
          <w:rFonts w:cs="Arial"/>
          <w:sz w:val="24"/>
          <w:szCs w:val="24"/>
        </w:rPr>
        <w:t xml:space="preserve">were automatically excluded </w:t>
      </w:r>
      <w:r w:rsidRPr="00683B48">
        <w:rPr>
          <w:rFonts w:cs="Arial"/>
          <w:sz w:val="24"/>
          <w:szCs w:val="24"/>
        </w:rPr>
        <w:t xml:space="preserve">from </w:t>
      </w:r>
      <w:r w:rsidR="00D61F54" w:rsidRPr="00683B48">
        <w:rPr>
          <w:rFonts w:cs="Arial"/>
          <w:sz w:val="24"/>
          <w:szCs w:val="24"/>
        </w:rPr>
        <w:t xml:space="preserve">receiving </w:t>
      </w:r>
      <w:r w:rsidRPr="00683B48">
        <w:rPr>
          <w:rFonts w:cs="Arial"/>
          <w:sz w:val="24"/>
          <w:szCs w:val="24"/>
        </w:rPr>
        <w:t xml:space="preserve">coverage. The Swedish Equality Ombudsman </w:t>
      </w:r>
      <w:r w:rsidR="00D61F54" w:rsidRPr="00683B48">
        <w:rPr>
          <w:rFonts w:cs="Arial"/>
          <w:sz w:val="24"/>
          <w:szCs w:val="24"/>
        </w:rPr>
        <w:t>brought a claim for</w:t>
      </w:r>
      <w:r w:rsidRPr="00683B48">
        <w:rPr>
          <w:rFonts w:cs="Arial"/>
          <w:sz w:val="24"/>
          <w:szCs w:val="24"/>
        </w:rPr>
        <w:t xml:space="preserve"> a child with </w:t>
      </w:r>
      <w:r w:rsidR="00D61F54" w:rsidRPr="00683B48">
        <w:rPr>
          <w:rFonts w:cs="Arial"/>
          <w:sz w:val="24"/>
          <w:szCs w:val="24"/>
        </w:rPr>
        <w:t xml:space="preserve">a </w:t>
      </w:r>
      <w:r w:rsidRPr="00683B48">
        <w:rPr>
          <w:rFonts w:cs="Arial"/>
          <w:sz w:val="24"/>
          <w:szCs w:val="24"/>
        </w:rPr>
        <w:t xml:space="preserve">hearing impairment who had been denied coverage </w:t>
      </w:r>
      <w:r w:rsidR="00D61F54" w:rsidRPr="00683B48">
        <w:rPr>
          <w:rFonts w:cs="Arial"/>
          <w:sz w:val="24"/>
          <w:szCs w:val="24"/>
        </w:rPr>
        <w:t>with</w:t>
      </w:r>
      <w:r w:rsidRPr="00683B48">
        <w:rPr>
          <w:rFonts w:cs="Arial"/>
          <w:sz w:val="24"/>
          <w:szCs w:val="24"/>
        </w:rPr>
        <w:t xml:space="preserve"> reference to th</w:t>
      </w:r>
      <w:r w:rsidR="00D61F54" w:rsidRPr="00683B48">
        <w:rPr>
          <w:rFonts w:cs="Arial"/>
          <w:sz w:val="24"/>
          <w:szCs w:val="24"/>
        </w:rPr>
        <w:t>is</w:t>
      </w:r>
      <w:r w:rsidRPr="00683B48">
        <w:rPr>
          <w:rFonts w:cs="Arial"/>
          <w:sz w:val="24"/>
          <w:szCs w:val="24"/>
        </w:rPr>
        <w:t xml:space="preserve"> rule. The Ombudsman lost the case in </w:t>
      </w:r>
      <w:r w:rsidR="00D61F54" w:rsidRPr="00683B48">
        <w:rPr>
          <w:rFonts w:cs="Arial"/>
          <w:sz w:val="24"/>
          <w:szCs w:val="24"/>
        </w:rPr>
        <w:t xml:space="preserve">the </w:t>
      </w:r>
      <w:r w:rsidRPr="00683B48">
        <w:rPr>
          <w:rFonts w:cs="Arial"/>
          <w:sz w:val="24"/>
          <w:szCs w:val="24"/>
        </w:rPr>
        <w:t xml:space="preserve">first instance, but the Court of Appeal </w:t>
      </w:r>
      <w:r w:rsidR="00D61F54" w:rsidRPr="00683B48">
        <w:rPr>
          <w:rFonts w:cs="Arial"/>
          <w:sz w:val="24"/>
          <w:szCs w:val="24"/>
        </w:rPr>
        <w:t xml:space="preserve">later </w:t>
      </w:r>
      <w:r w:rsidRPr="00683B48">
        <w:rPr>
          <w:rFonts w:cs="Arial"/>
          <w:sz w:val="24"/>
          <w:szCs w:val="24"/>
        </w:rPr>
        <w:t xml:space="preserve">found </w:t>
      </w:r>
      <w:r w:rsidR="00D61F54" w:rsidRPr="00683B48">
        <w:rPr>
          <w:rFonts w:cs="Arial"/>
          <w:sz w:val="24"/>
          <w:szCs w:val="24"/>
        </w:rPr>
        <w:t xml:space="preserve">that </w:t>
      </w:r>
      <w:r w:rsidRPr="00683B48">
        <w:rPr>
          <w:rFonts w:cs="Arial"/>
          <w:sz w:val="24"/>
          <w:szCs w:val="24"/>
        </w:rPr>
        <w:t xml:space="preserve">the insurance company </w:t>
      </w:r>
      <w:r w:rsidR="00D61F54" w:rsidRPr="00683B48">
        <w:rPr>
          <w:rFonts w:cs="Arial"/>
          <w:sz w:val="24"/>
          <w:szCs w:val="24"/>
        </w:rPr>
        <w:t>had</w:t>
      </w:r>
      <w:r w:rsidRPr="00683B48">
        <w:rPr>
          <w:rFonts w:cs="Arial"/>
          <w:sz w:val="24"/>
          <w:szCs w:val="24"/>
        </w:rPr>
        <w:t xml:space="preserve"> directly discriminated the child by denying her the right to </w:t>
      </w:r>
      <w:r w:rsidR="00D61F54" w:rsidRPr="00683B48">
        <w:rPr>
          <w:rFonts w:cs="Arial"/>
          <w:sz w:val="24"/>
          <w:szCs w:val="24"/>
        </w:rPr>
        <w:t>the</w:t>
      </w:r>
      <w:r w:rsidRPr="00683B48">
        <w:rPr>
          <w:rFonts w:cs="Arial"/>
          <w:sz w:val="24"/>
          <w:szCs w:val="24"/>
        </w:rPr>
        <w:t xml:space="preserve"> individual risk assessment afforded to children without disabilities. </w:t>
      </w:r>
    </w:p>
    <w:p w14:paraId="368F301B" w14:textId="4F6EDDCD" w:rsidR="00AB48D1" w:rsidRPr="00683B48" w:rsidRDefault="00AB48D1" w:rsidP="00FD78A5">
      <w:pPr>
        <w:jc w:val="both"/>
        <w:rPr>
          <w:rFonts w:cs="Arial"/>
          <w:sz w:val="24"/>
          <w:szCs w:val="24"/>
        </w:rPr>
      </w:pPr>
      <w:r w:rsidRPr="00683B48">
        <w:rPr>
          <w:rFonts w:cs="Arial"/>
          <w:sz w:val="24"/>
          <w:szCs w:val="24"/>
        </w:rPr>
        <w:t>The ruling established that business</w:t>
      </w:r>
      <w:r w:rsidR="00D61F54" w:rsidRPr="00683B48">
        <w:rPr>
          <w:rFonts w:cs="Arial"/>
          <w:sz w:val="24"/>
          <w:szCs w:val="24"/>
        </w:rPr>
        <w:t>-</w:t>
      </w:r>
      <w:r w:rsidRPr="00683B48">
        <w:rPr>
          <w:rFonts w:cs="Arial"/>
          <w:sz w:val="24"/>
          <w:szCs w:val="24"/>
        </w:rPr>
        <w:t>motivated risk assessments in insurance provision</w:t>
      </w:r>
      <w:r w:rsidR="00D61F54" w:rsidRPr="00683B48">
        <w:rPr>
          <w:rFonts w:cs="Arial"/>
          <w:sz w:val="24"/>
          <w:szCs w:val="24"/>
        </w:rPr>
        <w:t>s</w:t>
      </w:r>
      <w:r w:rsidRPr="00683B48">
        <w:rPr>
          <w:rFonts w:cs="Arial"/>
          <w:sz w:val="24"/>
          <w:szCs w:val="24"/>
        </w:rPr>
        <w:t xml:space="preserve"> were not exempt from non-discrimination law</w:t>
      </w:r>
      <w:r w:rsidR="00D61F54" w:rsidRPr="00683B48">
        <w:rPr>
          <w:rFonts w:cs="Arial"/>
          <w:sz w:val="24"/>
          <w:szCs w:val="24"/>
        </w:rPr>
        <w:t>. This</w:t>
      </w:r>
      <w:r w:rsidRPr="00683B48">
        <w:rPr>
          <w:rFonts w:cs="Arial"/>
          <w:sz w:val="24"/>
          <w:szCs w:val="24"/>
        </w:rPr>
        <w:t xml:space="preserve"> was later</w:t>
      </w:r>
      <w:r w:rsidR="00D61F54" w:rsidRPr="00683B48">
        <w:rPr>
          <w:rFonts w:cs="Arial"/>
          <w:sz w:val="24"/>
          <w:szCs w:val="24"/>
        </w:rPr>
        <w:t xml:space="preserve"> </w:t>
      </w:r>
      <w:r w:rsidRPr="00683B48">
        <w:rPr>
          <w:rFonts w:cs="Arial"/>
          <w:sz w:val="24"/>
          <w:szCs w:val="24"/>
        </w:rPr>
        <w:t xml:space="preserve">confirmed by a governmental inquiry citing the case as </w:t>
      </w:r>
      <w:r w:rsidR="00D61F54" w:rsidRPr="00683B48">
        <w:rPr>
          <w:rFonts w:cs="Arial"/>
          <w:sz w:val="24"/>
          <w:szCs w:val="24"/>
        </w:rPr>
        <w:t>an</w:t>
      </w:r>
      <w:r w:rsidRPr="00683B48">
        <w:rPr>
          <w:rFonts w:cs="Arial"/>
          <w:sz w:val="24"/>
          <w:szCs w:val="24"/>
        </w:rPr>
        <w:t xml:space="preserve"> authority. </w:t>
      </w:r>
    </w:p>
    <w:p w14:paraId="2E353DBF" w14:textId="0E4B8107" w:rsidR="00E0130D" w:rsidRPr="009D69E3" w:rsidRDefault="00F05EC4" w:rsidP="00FD78A5">
      <w:pPr>
        <w:jc w:val="both"/>
        <w:rPr>
          <w:rFonts w:cs="Arial"/>
          <w:sz w:val="24"/>
          <w:szCs w:val="24"/>
        </w:rPr>
      </w:pPr>
      <w:r>
        <w:rPr>
          <w:rFonts w:cs="Arial"/>
          <w:b/>
          <w:sz w:val="24"/>
          <w:szCs w:val="24"/>
        </w:rPr>
        <w:t>Swedish</w:t>
      </w:r>
      <w:r w:rsidRPr="00683B48">
        <w:rPr>
          <w:rFonts w:cs="Arial"/>
          <w:b/>
          <w:sz w:val="24"/>
          <w:szCs w:val="24"/>
        </w:rPr>
        <w:t xml:space="preserve"> </w:t>
      </w:r>
      <w:r w:rsidR="00E0130D" w:rsidRPr="00683B48">
        <w:rPr>
          <w:rFonts w:cs="Arial"/>
          <w:b/>
          <w:sz w:val="24"/>
          <w:szCs w:val="24"/>
        </w:rPr>
        <w:t xml:space="preserve">Equality </w:t>
      </w:r>
      <w:r w:rsidR="00B94BF2">
        <w:rPr>
          <w:rFonts w:cs="Arial"/>
          <w:b/>
          <w:sz w:val="24"/>
          <w:szCs w:val="24"/>
        </w:rPr>
        <w:t xml:space="preserve">Ombudsman v Keolis Sverige AB </w:t>
      </w:r>
      <w:r w:rsidR="009D69E3">
        <w:rPr>
          <w:rFonts w:cs="Arial"/>
          <w:sz w:val="24"/>
          <w:szCs w:val="24"/>
        </w:rPr>
        <w:t xml:space="preserve">(Swedish Labour Court, </w:t>
      </w:r>
      <w:r w:rsidR="00B94BF2">
        <w:rPr>
          <w:rFonts w:cs="Arial"/>
          <w:sz w:val="24"/>
          <w:szCs w:val="24"/>
        </w:rPr>
        <w:t>A 73/15, A 75/15 and A 76/15.</w:t>
      </w:r>
    </w:p>
    <w:p w14:paraId="4B8E9C3B" w14:textId="77777777" w:rsidR="00E0130D" w:rsidRPr="00683B48" w:rsidRDefault="00CE135B" w:rsidP="00FD78A5">
      <w:pPr>
        <w:jc w:val="both"/>
        <w:rPr>
          <w:rFonts w:cs="Arial"/>
          <w:sz w:val="24"/>
          <w:szCs w:val="24"/>
        </w:rPr>
      </w:pPr>
      <w:r w:rsidRPr="00683B48">
        <w:rPr>
          <w:rFonts w:cs="Arial"/>
          <w:sz w:val="24"/>
          <w:szCs w:val="24"/>
        </w:rPr>
        <w:t>Under</w:t>
      </w:r>
      <w:r w:rsidR="00E0130D" w:rsidRPr="00683B48">
        <w:rPr>
          <w:rFonts w:cs="Arial"/>
          <w:sz w:val="24"/>
          <w:szCs w:val="24"/>
        </w:rPr>
        <w:t xml:space="preserve"> Swedish law</w:t>
      </w:r>
      <w:r w:rsidRPr="00683B48">
        <w:rPr>
          <w:rFonts w:cs="Arial"/>
          <w:sz w:val="24"/>
          <w:szCs w:val="24"/>
        </w:rPr>
        <w:t>,</w:t>
      </w:r>
      <w:r w:rsidR="00E0130D" w:rsidRPr="00683B48">
        <w:rPr>
          <w:rFonts w:cs="Arial"/>
          <w:sz w:val="24"/>
          <w:szCs w:val="24"/>
        </w:rPr>
        <w:t xml:space="preserve"> an employer </w:t>
      </w:r>
      <w:r w:rsidRPr="00683B48">
        <w:rPr>
          <w:rFonts w:cs="Arial"/>
          <w:sz w:val="24"/>
          <w:szCs w:val="24"/>
        </w:rPr>
        <w:t>may</w:t>
      </w:r>
      <w:r w:rsidR="00E0130D" w:rsidRPr="00683B48">
        <w:rPr>
          <w:rFonts w:cs="Arial"/>
          <w:sz w:val="24"/>
          <w:szCs w:val="24"/>
        </w:rPr>
        <w:t xml:space="preserve"> lawfully dismiss a person from permanent </w:t>
      </w:r>
      <w:r w:rsidRPr="00683B48">
        <w:rPr>
          <w:rFonts w:cs="Arial"/>
          <w:sz w:val="24"/>
          <w:szCs w:val="24"/>
        </w:rPr>
        <w:t xml:space="preserve">employment </w:t>
      </w:r>
      <w:r w:rsidR="00E0130D" w:rsidRPr="00683B48">
        <w:rPr>
          <w:rFonts w:cs="Arial"/>
          <w:sz w:val="24"/>
          <w:szCs w:val="24"/>
        </w:rPr>
        <w:t xml:space="preserve">without due cause </w:t>
      </w:r>
      <w:r w:rsidR="00807382" w:rsidRPr="00683B48">
        <w:rPr>
          <w:rFonts w:cs="Arial"/>
          <w:sz w:val="24"/>
          <w:szCs w:val="24"/>
        </w:rPr>
        <w:t>at the time when</w:t>
      </w:r>
      <w:r w:rsidR="00E0130D" w:rsidRPr="00683B48">
        <w:rPr>
          <w:rFonts w:cs="Arial"/>
          <w:sz w:val="24"/>
          <w:szCs w:val="24"/>
        </w:rPr>
        <w:t xml:space="preserve"> the person</w:t>
      </w:r>
      <w:r w:rsidR="00807382" w:rsidRPr="00683B48">
        <w:rPr>
          <w:rFonts w:cs="Arial"/>
          <w:sz w:val="24"/>
          <w:szCs w:val="24"/>
        </w:rPr>
        <w:t xml:space="preserve"> turns </w:t>
      </w:r>
      <w:r w:rsidR="00E0130D" w:rsidRPr="00683B48">
        <w:rPr>
          <w:rFonts w:cs="Arial"/>
          <w:sz w:val="24"/>
          <w:szCs w:val="24"/>
        </w:rPr>
        <w:t>67. Th</w:t>
      </w:r>
      <w:r w:rsidR="00807382" w:rsidRPr="00683B48">
        <w:rPr>
          <w:rFonts w:cs="Arial"/>
          <w:sz w:val="24"/>
          <w:szCs w:val="24"/>
        </w:rPr>
        <w:t>is</w:t>
      </w:r>
      <w:r w:rsidR="00E0130D" w:rsidRPr="00683B48">
        <w:rPr>
          <w:rFonts w:cs="Arial"/>
          <w:sz w:val="24"/>
          <w:szCs w:val="24"/>
        </w:rPr>
        <w:t xml:space="preserve"> so</w:t>
      </w:r>
      <w:r w:rsidR="00807382" w:rsidRPr="00683B48">
        <w:rPr>
          <w:rFonts w:cs="Arial"/>
          <w:sz w:val="24"/>
          <w:szCs w:val="24"/>
        </w:rPr>
        <w:t>-</w:t>
      </w:r>
      <w:r w:rsidR="00E0130D" w:rsidRPr="00683B48">
        <w:rPr>
          <w:rFonts w:cs="Arial"/>
          <w:sz w:val="24"/>
          <w:szCs w:val="24"/>
        </w:rPr>
        <w:t xml:space="preserve">called 67-year rule has been deemed a legitimate exception from the prohibition against discrimination on grounds of age by the European Court of Justice. As a consequence of the rule, and as a matter of consistency, Swedish employers considered it lawful to uphold upper age limits for </w:t>
      </w:r>
      <w:r w:rsidR="00807382" w:rsidRPr="00683B48">
        <w:rPr>
          <w:rFonts w:cs="Arial"/>
          <w:sz w:val="24"/>
          <w:szCs w:val="24"/>
        </w:rPr>
        <w:t>employment</w:t>
      </w:r>
      <w:r w:rsidR="00E0130D" w:rsidRPr="00683B48">
        <w:rPr>
          <w:rFonts w:cs="Arial"/>
          <w:sz w:val="24"/>
          <w:szCs w:val="24"/>
        </w:rPr>
        <w:t xml:space="preserve">. A major bus </w:t>
      </w:r>
      <w:r w:rsidR="00807382" w:rsidRPr="00683B48">
        <w:rPr>
          <w:rFonts w:cs="Arial"/>
          <w:sz w:val="24"/>
          <w:szCs w:val="24"/>
        </w:rPr>
        <w:t>operator</w:t>
      </w:r>
      <w:r w:rsidR="00E0130D" w:rsidRPr="00683B48">
        <w:rPr>
          <w:rFonts w:cs="Arial"/>
          <w:sz w:val="24"/>
          <w:szCs w:val="24"/>
        </w:rPr>
        <w:t xml:space="preserve"> thus practiced a 70-year age limit for </w:t>
      </w:r>
      <w:r w:rsidR="00807382" w:rsidRPr="00683B48">
        <w:rPr>
          <w:rFonts w:cs="Arial"/>
          <w:sz w:val="24"/>
          <w:szCs w:val="24"/>
        </w:rPr>
        <w:t xml:space="preserve">bus </w:t>
      </w:r>
      <w:r w:rsidR="00E0130D" w:rsidRPr="00683B48">
        <w:rPr>
          <w:rFonts w:cs="Arial"/>
          <w:sz w:val="24"/>
          <w:szCs w:val="24"/>
        </w:rPr>
        <w:t xml:space="preserve">drivers applying for </w:t>
      </w:r>
      <w:r w:rsidR="00807382" w:rsidRPr="00683B48">
        <w:rPr>
          <w:rFonts w:cs="Arial"/>
          <w:sz w:val="24"/>
          <w:szCs w:val="24"/>
        </w:rPr>
        <w:t>fixed term (one year) employment</w:t>
      </w:r>
      <w:r w:rsidR="00E0130D" w:rsidRPr="00683B48">
        <w:rPr>
          <w:rFonts w:cs="Arial"/>
          <w:sz w:val="24"/>
          <w:szCs w:val="24"/>
        </w:rPr>
        <w:t>. Despite the fact that drivers</w:t>
      </w:r>
      <w:r w:rsidR="00807382" w:rsidRPr="00683B48">
        <w:rPr>
          <w:rFonts w:cs="Arial"/>
          <w:sz w:val="24"/>
          <w:szCs w:val="24"/>
        </w:rPr>
        <w:t xml:space="preserve"> </w:t>
      </w:r>
      <w:r w:rsidR="00E0130D" w:rsidRPr="00683B48">
        <w:rPr>
          <w:rFonts w:cs="Arial"/>
          <w:sz w:val="24"/>
          <w:szCs w:val="24"/>
        </w:rPr>
        <w:t xml:space="preserve">could </w:t>
      </w:r>
      <w:r w:rsidR="00807382" w:rsidRPr="00683B48">
        <w:rPr>
          <w:rFonts w:cs="Arial"/>
          <w:sz w:val="24"/>
          <w:szCs w:val="24"/>
        </w:rPr>
        <w:t>show through rigorous annual health checks</w:t>
      </w:r>
      <w:r w:rsidR="00E0130D" w:rsidRPr="00683B48">
        <w:rPr>
          <w:rFonts w:cs="Arial"/>
          <w:sz w:val="24"/>
          <w:szCs w:val="24"/>
        </w:rPr>
        <w:t xml:space="preserve"> that they were</w:t>
      </w:r>
      <w:r w:rsidR="00807382" w:rsidRPr="00683B48">
        <w:rPr>
          <w:rFonts w:cs="Arial"/>
          <w:sz w:val="24"/>
          <w:szCs w:val="24"/>
        </w:rPr>
        <w:t xml:space="preserve"> </w:t>
      </w:r>
      <w:r w:rsidR="00E0130D" w:rsidRPr="00683B48">
        <w:rPr>
          <w:rFonts w:cs="Arial"/>
          <w:sz w:val="24"/>
          <w:szCs w:val="24"/>
        </w:rPr>
        <w:t xml:space="preserve">fit to drive, they were excluded from </w:t>
      </w:r>
      <w:r w:rsidR="00807382" w:rsidRPr="00683B48">
        <w:rPr>
          <w:rFonts w:cs="Arial"/>
          <w:sz w:val="24"/>
          <w:szCs w:val="24"/>
        </w:rPr>
        <w:t>fixed term employment possibilities after having</w:t>
      </w:r>
      <w:r w:rsidR="00E0130D" w:rsidRPr="00683B48">
        <w:rPr>
          <w:rFonts w:cs="Arial"/>
          <w:sz w:val="24"/>
          <w:szCs w:val="24"/>
        </w:rPr>
        <w:t xml:space="preserve"> turned 70. The Swedish Equality Ombudsman brought a case to the Swedish </w:t>
      </w:r>
      <w:r w:rsidR="00807382" w:rsidRPr="00683B48">
        <w:rPr>
          <w:rFonts w:cs="Arial"/>
          <w:sz w:val="24"/>
          <w:szCs w:val="24"/>
        </w:rPr>
        <w:t>L</w:t>
      </w:r>
      <w:r w:rsidR="00E0130D" w:rsidRPr="00683B48">
        <w:rPr>
          <w:rFonts w:cs="Arial"/>
          <w:sz w:val="24"/>
          <w:szCs w:val="24"/>
        </w:rPr>
        <w:t xml:space="preserve">abour </w:t>
      </w:r>
      <w:r w:rsidR="00807382" w:rsidRPr="00683B48">
        <w:rPr>
          <w:rFonts w:cs="Arial"/>
          <w:sz w:val="24"/>
          <w:szCs w:val="24"/>
        </w:rPr>
        <w:t>C</w:t>
      </w:r>
      <w:r w:rsidR="00E0130D" w:rsidRPr="00683B48">
        <w:rPr>
          <w:rFonts w:cs="Arial"/>
          <w:sz w:val="24"/>
          <w:szCs w:val="24"/>
        </w:rPr>
        <w:t xml:space="preserve">ourt (a court of last instance) for three drivers. The Labour Court held that the exception to age discrimination provided for in the 67-year rule did not apply to </w:t>
      </w:r>
      <w:r w:rsidR="001D71AC" w:rsidRPr="00683B48">
        <w:rPr>
          <w:rFonts w:cs="Arial"/>
          <w:sz w:val="24"/>
          <w:szCs w:val="24"/>
        </w:rPr>
        <w:t>fixed term employment</w:t>
      </w:r>
      <w:r w:rsidR="00E0130D" w:rsidRPr="00683B48">
        <w:rPr>
          <w:rFonts w:cs="Arial"/>
          <w:sz w:val="24"/>
          <w:szCs w:val="24"/>
        </w:rPr>
        <w:t xml:space="preserve"> and that the age limit prescribed by the bus </w:t>
      </w:r>
      <w:r w:rsidR="00807382" w:rsidRPr="00683B48">
        <w:rPr>
          <w:rFonts w:cs="Arial"/>
          <w:sz w:val="24"/>
          <w:szCs w:val="24"/>
        </w:rPr>
        <w:t>operator</w:t>
      </w:r>
      <w:r w:rsidR="00E0130D" w:rsidRPr="00683B48">
        <w:rPr>
          <w:rFonts w:cs="Arial"/>
          <w:sz w:val="24"/>
          <w:szCs w:val="24"/>
        </w:rPr>
        <w:t xml:space="preserve"> was discriminatory and could not be justified by occupational demands. </w:t>
      </w:r>
    </w:p>
    <w:p w14:paraId="390C6717" w14:textId="77777777" w:rsidR="00E0130D" w:rsidRPr="00683B48" w:rsidRDefault="00E0130D" w:rsidP="00FD78A5">
      <w:pPr>
        <w:jc w:val="both"/>
        <w:rPr>
          <w:rFonts w:cs="Arial"/>
          <w:sz w:val="24"/>
          <w:szCs w:val="24"/>
        </w:rPr>
      </w:pPr>
      <w:r w:rsidRPr="00683B48">
        <w:rPr>
          <w:rFonts w:cs="Arial"/>
          <w:sz w:val="24"/>
          <w:szCs w:val="24"/>
        </w:rPr>
        <w:t xml:space="preserve">The case </w:t>
      </w:r>
      <w:r w:rsidR="001D71AC" w:rsidRPr="00683B48">
        <w:rPr>
          <w:rFonts w:cs="Arial"/>
          <w:sz w:val="24"/>
          <w:szCs w:val="24"/>
        </w:rPr>
        <w:t>has had significant impact in Sweden by</w:t>
      </w:r>
      <w:r w:rsidRPr="00683B48">
        <w:rPr>
          <w:rFonts w:cs="Arial"/>
          <w:sz w:val="24"/>
          <w:szCs w:val="24"/>
        </w:rPr>
        <w:t xml:space="preserve"> </w:t>
      </w:r>
      <w:r w:rsidR="001D5574" w:rsidRPr="00683B48">
        <w:rPr>
          <w:rFonts w:cs="Arial"/>
          <w:sz w:val="24"/>
          <w:szCs w:val="24"/>
        </w:rPr>
        <w:t>providing fixed term employment possibilities to</w:t>
      </w:r>
      <w:r w:rsidRPr="00683B48">
        <w:rPr>
          <w:rFonts w:cs="Arial"/>
          <w:sz w:val="24"/>
          <w:szCs w:val="24"/>
        </w:rPr>
        <w:t xml:space="preserve"> persons </w:t>
      </w:r>
      <w:r w:rsidR="001D5574" w:rsidRPr="00683B48">
        <w:rPr>
          <w:rFonts w:cs="Arial"/>
          <w:sz w:val="24"/>
          <w:szCs w:val="24"/>
        </w:rPr>
        <w:t>above the age</w:t>
      </w:r>
      <w:r w:rsidRPr="00683B48">
        <w:rPr>
          <w:rFonts w:cs="Arial"/>
          <w:sz w:val="24"/>
          <w:szCs w:val="24"/>
        </w:rPr>
        <w:t xml:space="preserve"> </w:t>
      </w:r>
      <w:r w:rsidR="001D5574" w:rsidRPr="00683B48">
        <w:rPr>
          <w:rFonts w:cs="Arial"/>
          <w:sz w:val="24"/>
          <w:szCs w:val="24"/>
        </w:rPr>
        <w:t>of</w:t>
      </w:r>
      <w:r w:rsidRPr="00683B48">
        <w:rPr>
          <w:rFonts w:cs="Arial"/>
          <w:sz w:val="24"/>
          <w:szCs w:val="24"/>
        </w:rPr>
        <w:t xml:space="preserve"> 67.  </w:t>
      </w:r>
    </w:p>
    <w:p w14:paraId="2BDBA729" w14:textId="3596CECD" w:rsidR="00647EA0" w:rsidRPr="00683B48" w:rsidRDefault="00F05EC4" w:rsidP="00FD78A5">
      <w:pPr>
        <w:jc w:val="both"/>
        <w:rPr>
          <w:rFonts w:cs="Arial"/>
          <w:b/>
          <w:sz w:val="24"/>
          <w:szCs w:val="24"/>
        </w:rPr>
      </w:pPr>
      <w:r w:rsidRPr="006F3139">
        <w:rPr>
          <w:rFonts w:cs="Arial"/>
          <w:b/>
          <w:sz w:val="24"/>
          <w:szCs w:val="24"/>
          <w:u w:val="single"/>
        </w:rPr>
        <w:t xml:space="preserve">5. </w:t>
      </w:r>
      <w:r w:rsidR="00647EA0" w:rsidRPr="006F3139">
        <w:rPr>
          <w:rFonts w:cs="Arial"/>
          <w:b/>
          <w:sz w:val="24"/>
          <w:szCs w:val="24"/>
          <w:u w:val="single"/>
        </w:rPr>
        <w:t xml:space="preserve">Strategic </w:t>
      </w:r>
      <w:r w:rsidR="00550429" w:rsidRPr="006F3139">
        <w:rPr>
          <w:rFonts w:cs="Arial"/>
          <w:b/>
          <w:sz w:val="24"/>
          <w:szCs w:val="24"/>
          <w:u w:val="single"/>
        </w:rPr>
        <w:t>L</w:t>
      </w:r>
      <w:r w:rsidR="00647EA0" w:rsidRPr="006F3139">
        <w:rPr>
          <w:rFonts w:cs="Arial"/>
          <w:b/>
          <w:sz w:val="24"/>
          <w:szCs w:val="24"/>
          <w:u w:val="single"/>
        </w:rPr>
        <w:t xml:space="preserve">itigation to </w:t>
      </w:r>
      <w:r w:rsidR="00550429" w:rsidRPr="006F3139">
        <w:rPr>
          <w:rFonts w:cs="Arial"/>
          <w:b/>
          <w:sz w:val="24"/>
          <w:szCs w:val="24"/>
          <w:u w:val="single"/>
        </w:rPr>
        <w:t>H</w:t>
      </w:r>
      <w:r w:rsidR="00647EA0" w:rsidRPr="006F3139">
        <w:rPr>
          <w:rFonts w:cs="Arial"/>
          <w:b/>
          <w:sz w:val="24"/>
          <w:szCs w:val="24"/>
          <w:u w:val="single"/>
        </w:rPr>
        <w:t xml:space="preserve">ighlight a </w:t>
      </w:r>
      <w:r w:rsidR="00550429" w:rsidRPr="006F3139">
        <w:rPr>
          <w:rFonts w:cs="Arial"/>
          <w:b/>
          <w:sz w:val="24"/>
          <w:szCs w:val="24"/>
          <w:u w:val="single"/>
        </w:rPr>
        <w:t>S</w:t>
      </w:r>
      <w:r w:rsidR="00647EA0" w:rsidRPr="006F3139">
        <w:rPr>
          <w:rFonts w:cs="Arial"/>
          <w:b/>
          <w:sz w:val="24"/>
          <w:szCs w:val="24"/>
          <w:u w:val="single"/>
        </w:rPr>
        <w:t xml:space="preserve">erious </w:t>
      </w:r>
      <w:r w:rsidR="00550429" w:rsidRPr="006F3139">
        <w:rPr>
          <w:rFonts w:cs="Arial"/>
          <w:b/>
          <w:sz w:val="24"/>
          <w:szCs w:val="24"/>
          <w:u w:val="single"/>
        </w:rPr>
        <w:t>I</w:t>
      </w:r>
      <w:r w:rsidR="00647EA0" w:rsidRPr="006F3139">
        <w:rPr>
          <w:rFonts w:cs="Arial"/>
          <w:b/>
          <w:sz w:val="24"/>
          <w:szCs w:val="24"/>
          <w:u w:val="single"/>
        </w:rPr>
        <w:t>ssue</w:t>
      </w:r>
    </w:p>
    <w:p w14:paraId="24A8A683" w14:textId="77777777" w:rsidR="00647EA0" w:rsidRPr="00683B48" w:rsidRDefault="00DA2953" w:rsidP="00FD78A5">
      <w:pPr>
        <w:jc w:val="both"/>
        <w:rPr>
          <w:rFonts w:cs="Arial"/>
          <w:b/>
          <w:sz w:val="24"/>
          <w:szCs w:val="24"/>
        </w:rPr>
      </w:pPr>
      <w:r>
        <w:rPr>
          <w:rFonts w:cs="Arial"/>
          <w:b/>
          <w:sz w:val="24"/>
          <w:szCs w:val="24"/>
        </w:rPr>
        <w:t xml:space="preserve">Howe v Wetherspoons </w:t>
      </w:r>
      <w:r w:rsidR="00647EA0" w:rsidRPr="00DA2953">
        <w:rPr>
          <w:rFonts w:cs="Arial"/>
          <w:sz w:val="24"/>
          <w:szCs w:val="24"/>
        </w:rPr>
        <w:t>(UK County Court 2015)</w:t>
      </w:r>
    </w:p>
    <w:p w14:paraId="7508C887" w14:textId="77777777" w:rsidR="00647EA0" w:rsidRPr="00683B48" w:rsidRDefault="00647EA0" w:rsidP="00FD78A5">
      <w:pPr>
        <w:jc w:val="both"/>
        <w:rPr>
          <w:rFonts w:cs="Arial"/>
          <w:sz w:val="24"/>
          <w:szCs w:val="24"/>
        </w:rPr>
      </w:pPr>
      <w:r w:rsidRPr="00683B48">
        <w:rPr>
          <w:rFonts w:cs="Arial"/>
          <w:sz w:val="24"/>
          <w:szCs w:val="24"/>
        </w:rPr>
        <w:t xml:space="preserve">After attending the annual Roma and Irish Traveller conference in London, a large group of Roma and Irish Travellers, including a senior </w:t>
      </w:r>
      <w:r w:rsidR="003A17BD" w:rsidRPr="00683B48">
        <w:rPr>
          <w:rFonts w:cs="Arial"/>
          <w:sz w:val="24"/>
          <w:szCs w:val="24"/>
        </w:rPr>
        <w:t>p</w:t>
      </w:r>
      <w:r w:rsidRPr="00683B48">
        <w:rPr>
          <w:rFonts w:cs="Arial"/>
          <w:sz w:val="24"/>
          <w:szCs w:val="24"/>
        </w:rPr>
        <w:t xml:space="preserve">olice </w:t>
      </w:r>
      <w:r w:rsidR="003A17BD" w:rsidRPr="00683B48">
        <w:rPr>
          <w:rFonts w:cs="Arial"/>
          <w:sz w:val="24"/>
          <w:szCs w:val="24"/>
        </w:rPr>
        <w:t>o</w:t>
      </w:r>
      <w:r w:rsidRPr="00683B48">
        <w:rPr>
          <w:rFonts w:cs="Arial"/>
          <w:sz w:val="24"/>
          <w:szCs w:val="24"/>
        </w:rPr>
        <w:t xml:space="preserve">fficer, were refused entry to Wetherspoons bar. The security staff on duty would not let them in </w:t>
      </w:r>
      <w:r w:rsidR="003A17BD" w:rsidRPr="00683B48">
        <w:rPr>
          <w:rFonts w:cs="Arial"/>
          <w:sz w:val="24"/>
          <w:szCs w:val="24"/>
        </w:rPr>
        <w:t xml:space="preserve">as </w:t>
      </w:r>
      <w:r w:rsidRPr="00683B48">
        <w:rPr>
          <w:rFonts w:cs="Arial"/>
          <w:sz w:val="24"/>
          <w:szCs w:val="24"/>
        </w:rPr>
        <w:t xml:space="preserve">they assumed </w:t>
      </w:r>
      <w:r w:rsidR="003A17BD" w:rsidRPr="00683B48">
        <w:rPr>
          <w:rFonts w:cs="Arial"/>
          <w:sz w:val="24"/>
          <w:szCs w:val="24"/>
        </w:rPr>
        <w:t xml:space="preserve">that </w:t>
      </w:r>
      <w:r w:rsidRPr="00683B48">
        <w:rPr>
          <w:rFonts w:cs="Arial"/>
          <w:sz w:val="24"/>
          <w:szCs w:val="24"/>
        </w:rPr>
        <w:t xml:space="preserve">the group would cause trouble because they were Irish Travellers and Roma. The group brought a </w:t>
      </w:r>
      <w:r w:rsidR="003A17BD" w:rsidRPr="00683B48">
        <w:rPr>
          <w:rFonts w:cs="Arial"/>
          <w:sz w:val="24"/>
          <w:szCs w:val="24"/>
        </w:rPr>
        <w:t xml:space="preserve">successful </w:t>
      </w:r>
      <w:r w:rsidRPr="00683B48">
        <w:rPr>
          <w:rFonts w:cs="Arial"/>
          <w:sz w:val="24"/>
          <w:szCs w:val="24"/>
        </w:rPr>
        <w:t>claim of direct race discrimination</w:t>
      </w:r>
      <w:r w:rsidR="003A17BD" w:rsidRPr="00683B48">
        <w:rPr>
          <w:rFonts w:cs="Arial"/>
          <w:sz w:val="24"/>
          <w:szCs w:val="24"/>
        </w:rPr>
        <w:t xml:space="preserve"> against Wetherspoons</w:t>
      </w:r>
      <w:r w:rsidRPr="00683B48">
        <w:rPr>
          <w:rFonts w:cs="Arial"/>
          <w:sz w:val="24"/>
          <w:szCs w:val="24"/>
        </w:rPr>
        <w:t xml:space="preserve">, </w:t>
      </w:r>
      <w:r w:rsidR="003A17BD" w:rsidRPr="00683B48">
        <w:rPr>
          <w:rFonts w:cs="Arial"/>
          <w:sz w:val="24"/>
          <w:szCs w:val="24"/>
        </w:rPr>
        <w:t>which was</w:t>
      </w:r>
      <w:r w:rsidRPr="00683B48">
        <w:rPr>
          <w:rFonts w:cs="Arial"/>
          <w:sz w:val="24"/>
          <w:szCs w:val="24"/>
        </w:rPr>
        <w:t xml:space="preserve"> ordered to pay a total of £24 000 to the group.  </w:t>
      </w:r>
    </w:p>
    <w:p w14:paraId="6D01D42F" w14:textId="77777777" w:rsidR="00647EA0" w:rsidRPr="00683B48" w:rsidRDefault="00647EA0" w:rsidP="00FD78A5">
      <w:pPr>
        <w:jc w:val="both"/>
        <w:rPr>
          <w:rFonts w:cs="Arial"/>
          <w:sz w:val="24"/>
          <w:szCs w:val="24"/>
        </w:rPr>
      </w:pPr>
      <w:r w:rsidRPr="00683B48">
        <w:rPr>
          <w:rFonts w:cs="Arial"/>
          <w:sz w:val="24"/>
          <w:szCs w:val="24"/>
        </w:rPr>
        <w:lastRenderedPageBreak/>
        <w:t xml:space="preserve">This case did not raise any strategic points of law. It highlighted the blatant and frequent race discrimination experienced by Roma and Irish Travellers and generated widespread national publicity. As a result, it sent out a strong message to other service providers that direct race discrimination is unlawful and can result in </w:t>
      </w:r>
      <w:r w:rsidR="002D2AD8" w:rsidRPr="00683B48">
        <w:rPr>
          <w:rFonts w:cs="Arial"/>
          <w:sz w:val="24"/>
          <w:szCs w:val="24"/>
        </w:rPr>
        <w:t>negative publicity and an obligation to pay</w:t>
      </w:r>
      <w:r w:rsidRPr="00683B48">
        <w:rPr>
          <w:rFonts w:cs="Arial"/>
          <w:sz w:val="24"/>
          <w:szCs w:val="24"/>
        </w:rPr>
        <w:t xml:space="preserve"> compensation to the victim.</w:t>
      </w:r>
    </w:p>
    <w:p w14:paraId="7A35F3B3" w14:textId="77777777" w:rsidR="004D3111" w:rsidRPr="00683B48" w:rsidRDefault="004D3111" w:rsidP="004D3111">
      <w:pPr>
        <w:jc w:val="both"/>
        <w:rPr>
          <w:rFonts w:cs="Arial"/>
          <w:b/>
          <w:sz w:val="24"/>
          <w:szCs w:val="24"/>
          <w:lang w:val="en-US"/>
        </w:rPr>
      </w:pPr>
      <w:r w:rsidRPr="00683B48">
        <w:rPr>
          <w:rFonts w:cs="Arial"/>
          <w:b/>
          <w:sz w:val="24"/>
          <w:szCs w:val="24"/>
          <w:lang w:val="en-US"/>
        </w:rPr>
        <w:t>Case anonymised (Poland)</w:t>
      </w:r>
    </w:p>
    <w:p w14:paraId="02D31823" w14:textId="77777777" w:rsidR="004D3111" w:rsidRPr="00683B48" w:rsidRDefault="004D3111" w:rsidP="004D3111">
      <w:pPr>
        <w:jc w:val="both"/>
        <w:rPr>
          <w:rFonts w:cs="Arial"/>
          <w:sz w:val="24"/>
          <w:szCs w:val="24"/>
          <w:lang w:val="en-US"/>
        </w:rPr>
      </w:pPr>
      <w:r w:rsidRPr="00683B48">
        <w:rPr>
          <w:rFonts w:cs="Arial"/>
          <w:sz w:val="24"/>
          <w:szCs w:val="24"/>
          <w:lang w:val="en-US"/>
        </w:rPr>
        <w:t xml:space="preserve">In this case the court was asked to consider placing a victim of domestic violence in a mental facility, upon her husband’s (the offender) motion. The court had before it an ‘expert’ opinion, which the Polish Commissioner considered unprofessional and biased. The Polish Commissioner joined the proceedings in order to draw public attention to the poor quality of court experts’ opinions. </w:t>
      </w:r>
    </w:p>
    <w:p w14:paraId="77519ECC" w14:textId="77777777" w:rsidR="004D3111" w:rsidRDefault="004D3111" w:rsidP="004D3111">
      <w:pPr>
        <w:jc w:val="both"/>
        <w:rPr>
          <w:rFonts w:cs="Arial"/>
          <w:sz w:val="24"/>
          <w:szCs w:val="24"/>
          <w:lang w:val="en-US"/>
        </w:rPr>
      </w:pPr>
      <w:r w:rsidRPr="00683B48">
        <w:rPr>
          <w:rFonts w:cs="Arial"/>
          <w:sz w:val="24"/>
          <w:szCs w:val="24"/>
          <w:lang w:val="en-US"/>
        </w:rPr>
        <w:t>This case was notified to the Polish Commissioner for Human Rights by an NGO operating in the locality of the victim. Without the NGO’s assistance, the Commissioner would not have known about this highly strategic and important case, or would not have known about it in good time to participate in it. Once the Commissioner joined the proceedings, the husband withdrew his motion and the litigation was discontinued.</w:t>
      </w:r>
    </w:p>
    <w:p w14:paraId="1145FF23" w14:textId="7823945D" w:rsidR="002C0451" w:rsidRPr="002C0451" w:rsidRDefault="002C0451" w:rsidP="002C0451">
      <w:pPr>
        <w:jc w:val="both"/>
        <w:rPr>
          <w:rFonts w:cs="Arial"/>
          <w:b/>
          <w:sz w:val="24"/>
          <w:szCs w:val="24"/>
          <w:lang w:val="en-US"/>
        </w:rPr>
      </w:pPr>
      <w:r w:rsidRPr="002C0451">
        <w:rPr>
          <w:rFonts w:cs="Arial"/>
          <w:b/>
          <w:sz w:val="24"/>
          <w:szCs w:val="24"/>
          <w:lang w:val="en-US"/>
        </w:rPr>
        <w:t xml:space="preserve">L.I. and Ž.B. </w:t>
      </w:r>
      <w:r w:rsidR="00F05EC4">
        <w:rPr>
          <w:rFonts w:cs="Arial"/>
          <w:b/>
          <w:sz w:val="24"/>
          <w:szCs w:val="24"/>
        </w:rPr>
        <w:t xml:space="preserve">v </w:t>
      </w:r>
      <w:r w:rsidRPr="002C0451">
        <w:rPr>
          <w:rFonts w:cs="Arial"/>
          <w:b/>
          <w:sz w:val="24"/>
          <w:szCs w:val="24"/>
          <w:lang w:val="en-US"/>
        </w:rPr>
        <w:t xml:space="preserve">Company B. ltd and </w:t>
      </w:r>
      <w:r w:rsidRPr="002C0451">
        <w:rPr>
          <w:rFonts w:cs="Arial"/>
          <w:b/>
          <w:sz w:val="24"/>
          <w:szCs w:val="24"/>
        </w:rPr>
        <w:t>B</w:t>
      </w:r>
      <w:r w:rsidRPr="002C0451">
        <w:rPr>
          <w:rFonts w:cs="Arial"/>
          <w:b/>
          <w:sz w:val="24"/>
          <w:szCs w:val="24"/>
          <w:lang w:val="en-US"/>
        </w:rPr>
        <w:t>.</w:t>
      </w:r>
      <w:r w:rsidRPr="002C0451">
        <w:rPr>
          <w:rFonts w:cs="Arial"/>
          <w:b/>
          <w:sz w:val="24"/>
          <w:szCs w:val="24"/>
        </w:rPr>
        <w:t>J</w:t>
      </w:r>
      <w:r w:rsidRPr="002C0451">
        <w:rPr>
          <w:rFonts w:cs="Arial"/>
          <w:b/>
          <w:sz w:val="24"/>
          <w:szCs w:val="24"/>
          <w:lang w:val="en-US"/>
        </w:rPr>
        <w:t xml:space="preserve">. (the </w:t>
      </w:r>
      <w:r w:rsidRPr="002C0451">
        <w:rPr>
          <w:rFonts w:cs="Arial"/>
          <w:b/>
          <w:sz w:val="24"/>
          <w:szCs w:val="24"/>
        </w:rPr>
        <w:t>company’s</w:t>
      </w:r>
      <w:r w:rsidRPr="002C0451">
        <w:rPr>
          <w:rFonts w:cs="Arial"/>
          <w:b/>
          <w:sz w:val="24"/>
          <w:szCs w:val="24"/>
          <w:lang w:val="en-US"/>
        </w:rPr>
        <w:t xml:space="preserve"> director)</w:t>
      </w:r>
      <w:r w:rsidR="00F05EC4">
        <w:rPr>
          <w:rFonts w:cs="Arial"/>
          <w:b/>
          <w:sz w:val="24"/>
          <w:szCs w:val="24"/>
          <w:lang w:val="en-US"/>
        </w:rPr>
        <w:t>,</w:t>
      </w:r>
      <w:r>
        <w:rPr>
          <w:rFonts w:cs="Arial"/>
          <w:b/>
          <w:sz w:val="24"/>
          <w:szCs w:val="24"/>
          <w:lang w:val="en-US"/>
        </w:rPr>
        <w:t xml:space="preserve"> </w:t>
      </w:r>
      <w:r w:rsidR="00F05EC4">
        <w:rPr>
          <w:rFonts w:cs="Arial"/>
          <w:b/>
          <w:sz w:val="24"/>
          <w:szCs w:val="24"/>
          <w:lang w:val="en-US"/>
        </w:rPr>
        <w:t>(</w:t>
      </w:r>
      <w:r>
        <w:rPr>
          <w:rFonts w:cs="Arial"/>
          <w:b/>
          <w:sz w:val="24"/>
          <w:szCs w:val="24"/>
          <w:lang w:val="en-US"/>
        </w:rPr>
        <w:t>Croatia</w:t>
      </w:r>
      <w:r w:rsidR="00F05EC4">
        <w:rPr>
          <w:rFonts w:cs="Arial"/>
          <w:b/>
          <w:sz w:val="24"/>
          <w:szCs w:val="24"/>
          <w:lang w:val="en-US"/>
        </w:rPr>
        <w:t>)</w:t>
      </w:r>
    </w:p>
    <w:p w14:paraId="4559920B" w14:textId="07FFA442" w:rsidR="002C0451" w:rsidRPr="002C0451" w:rsidRDefault="002C0451" w:rsidP="002C0451">
      <w:pPr>
        <w:jc w:val="both"/>
        <w:rPr>
          <w:rFonts w:cs="Arial"/>
          <w:sz w:val="24"/>
          <w:szCs w:val="24"/>
          <w:lang w:val="en-US"/>
        </w:rPr>
      </w:pPr>
      <w:r w:rsidRPr="002C0451">
        <w:rPr>
          <w:rFonts w:cs="Arial"/>
          <w:sz w:val="24"/>
          <w:szCs w:val="24"/>
          <w:lang w:val="en-US"/>
        </w:rPr>
        <w:t xml:space="preserve">L.I. and Ž.B. were high school students and within their school education </w:t>
      </w:r>
      <w:r w:rsidRPr="002C0451">
        <w:rPr>
          <w:rFonts w:cs="Arial"/>
          <w:sz w:val="24"/>
          <w:szCs w:val="24"/>
        </w:rPr>
        <w:t>program</w:t>
      </w:r>
      <w:r w:rsidRPr="002C0451">
        <w:rPr>
          <w:rFonts w:cs="Arial"/>
          <w:sz w:val="24"/>
          <w:szCs w:val="24"/>
          <w:lang w:val="en-US"/>
        </w:rPr>
        <w:t xml:space="preserve"> they had to </w:t>
      </w:r>
      <w:r w:rsidRPr="002C0451">
        <w:rPr>
          <w:rFonts w:cs="Arial"/>
          <w:sz w:val="24"/>
          <w:szCs w:val="24"/>
        </w:rPr>
        <w:t>complete</w:t>
      </w:r>
      <w:r w:rsidRPr="002C0451">
        <w:rPr>
          <w:rFonts w:cs="Arial"/>
          <w:sz w:val="24"/>
          <w:szCs w:val="24"/>
          <w:lang w:val="en-US"/>
        </w:rPr>
        <w:t xml:space="preserve"> </w:t>
      </w:r>
      <w:r>
        <w:rPr>
          <w:rFonts w:cs="Arial"/>
          <w:sz w:val="24"/>
          <w:szCs w:val="24"/>
          <w:lang w:val="en-US"/>
        </w:rPr>
        <w:t xml:space="preserve">a </w:t>
      </w:r>
      <w:r w:rsidRPr="002C0451">
        <w:rPr>
          <w:rFonts w:cs="Arial"/>
          <w:sz w:val="24"/>
          <w:szCs w:val="24"/>
          <w:lang w:val="en-US"/>
        </w:rPr>
        <w:t xml:space="preserve">certain number of hours of practical work outside of school. </w:t>
      </w:r>
      <w:r>
        <w:rPr>
          <w:rFonts w:cs="Arial"/>
          <w:sz w:val="24"/>
          <w:szCs w:val="24"/>
          <w:lang w:val="en-US"/>
        </w:rPr>
        <w:t xml:space="preserve">Their </w:t>
      </w:r>
      <w:r>
        <w:rPr>
          <w:rFonts w:cs="Arial"/>
          <w:sz w:val="24"/>
          <w:szCs w:val="24"/>
        </w:rPr>
        <w:t>s</w:t>
      </w:r>
      <w:r w:rsidRPr="002C0451">
        <w:rPr>
          <w:rFonts w:cs="Arial"/>
          <w:sz w:val="24"/>
          <w:szCs w:val="24"/>
        </w:rPr>
        <w:t>chool</w:t>
      </w:r>
      <w:r w:rsidRPr="002C0451">
        <w:rPr>
          <w:rFonts w:cs="Arial"/>
          <w:sz w:val="24"/>
          <w:szCs w:val="24"/>
          <w:lang w:val="en-US"/>
        </w:rPr>
        <w:t xml:space="preserve"> </w:t>
      </w:r>
      <w:r>
        <w:rPr>
          <w:rFonts w:cs="Arial"/>
          <w:sz w:val="24"/>
          <w:szCs w:val="24"/>
          <w:lang w:val="en-US"/>
        </w:rPr>
        <w:t xml:space="preserve">had </w:t>
      </w:r>
      <w:r w:rsidRPr="002C0451">
        <w:rPr>
          <w:rFonts w:cs="Arial"/>
          <w:sz w:val="24"/>
          <w:szCs w:val="24"/>
        </w:rPr>
        <w:t>already</w:t>
      </w:r>
      <w:r w:rsidRPr="002C0451">
        <w:rPr>
          <w:rFonts w:cs="Arial"/>
          <w:sz w:val="24"/>
          <w:szCs w:val="24"/>
          <w:lang w:val="en-US"/>
        </w:rPr>
        <w:t xml:space="preserve"> </w:t>
      </w:r>
      <w:r w:rsidRPr="002C0451">
        <w:rPr>
          <w:rFonts w:cs="Arial"/>
          <w:sz w:val="24"/>
          <w:szCs w:val="24"/>
        </w:rPr>
        <w:t>established</w:t>
      </w:r>
      <w:r w:rsidRPr="002C0451">
        <w:rPr>
          <w:rFonts w:cs="Arial"/>
          <w:sz w:val="24"/>
          <w:szCs w:val="24"/>
          <w:lang w:val="en-US"/>
        </w:rPr>
        <w:t xml:space="preserve"> </w:t>
      </w:r>
      <w:r>
        <w:rPr>
          <w:rFonts w:cs="Arial"/>
          <w:sz w:val="24"/>
          <w:szCs w:val="24"/>
          <w:lang w:val="en-US"/>
        </w:rPr>
        <w:t xml:space="preserve">a </w:t>
      </w:r>
      <w:r w:rsidRPr="002C0451">
        <w:rPr>
          <w:rFonts w:cs="Arial"/>
          <w:sz w:val="24"/>
          <w:szCs w:val="24"/>
        </w:rPr>
        <w:t>successful</w:t>
      </w:r>
      <w:r w:rsidRPr="002C0451">
        <w:rPr>
          <w:rFonts w:cs="Arial"/>
          <w:sz w:val="24"/>
          <w:szCs w:val="24"/>
          <w:lang w:val="en-US"/>
        </w:rPr>
        <w:t xml:space="preserve"> cooperation </w:t>
      </w:r>
      <w:r w:rsidRPr="002C0451">
        <w:rPr>
          <w:rFonts w:cs="Arial"/>
          <w:sz w:val="24"/>
          <w:szCs w:val="24"/>
        </w:rPr>
        <w:t>with t</w:t>
      </w:r>
      <w:r w:rsidRPr="002C0451">
        <w:rPr>
          <w:rFonts w:cs="Arial"/>
          <w:sz w:val="24"/>
          <w:szCs w:val="24"/>
          <w:lang w:val="en-US"/>
        </w:rPr>
        <w:t>he private company</w:t>
      </w:r>
      <w:r w:rsidRPr="002C0451">
        <w:rPr>
          <w:rFonts w:cs="Arial"/>
          <w:sz w:val="24"/>
          <w:szCs w:val="24"/>
        </w:rPr>
        <w:t xml:space="preserve"> B. ltd </w:t>
      </w:r>
      <w:r w:rsidRPr="002C0451">
        <w:rPr>
          <w:rFonts w:cs="Arial"/>
          <w:sz w:val="24"/>
          <w:szCs w:val="24"/>
          <w:lang w:val="en-US"/>
        </w:rPr>
        <w:t xml:space="preserve">where students were sent for their practical work. </w:t>
      </w:r>
      <w:r w:rsidRPr="002C0451">
        <w:rPr>
          <w:rFonts w:cs="Arial"/>
          <w:sz w:val="24"/>
          <w:szCs w:val="24"/>
        </w:rPr>
        <w:t xml:space="preserve"> L.I. and Ž.B. where also sent by their teacher to make the arrangements with the company’s director. However, when they appeared</w:t>
      </w:r>
      <w:r w:rsidRPr="002C0451">
        <w:rPr>
          <w:rFonts w:cs="Arial"/>
          <w:sz w:val="24"/>
          <w:szCs w:val="24"/>
          <w:lang w:val="en-US"/>
        </w:rPr>
        <w:t xml:space="preserve"> at the company's premises</w:t>
      </w:r>
      <w:r w:rsidRPr="002C0451">
        <w:rPr>
          <w:rFonts w:cs="Arial"/>
          <w:sz w:val="24"/>
          <w:szCs w:val="24"/>
        </w:rPr>
        <w:t xml:space="preserve"> and </w:t>
      </w:r>
      <w:r w:rsidRPr="002C0451">
        <w:rPr>
          <w:rFonts w:cs="Arial"/>
          <w:sz w:val="24"/>
          <w:szCs w:val="24"/>
          <w:lang w:val="en-US"/>
        </w:rPr>
        <w:t xml:space="preserve">after the </w:t>
      </w:r>
      <w:r w:rsidRPr="002C0451">
        <w:rPr>
          <w:rFonts w:cs="Arial"/>
          <w:sz w:val="24"/>
          <w:szCs w:val="24"/>
        </w:rPr>
        <w:t>company’s</w:t>
      </w:r>
      <w:r w:rsidRPr="002C0451">
        <w:rPr>
          <w:rFonts w:cs="Arial"/>
          <w:sz w:val="24"/>
          <w:szCs w:val="24"/>
          <w:lang w:val="en-US"/>
        </w:rPr>
        <w:t xml:space="preserve"> director realized they were </w:t>
      </w:r>
      <w:r w:rsidRPr="002C0451">
        <w:rPr>
          <w:rFonts w:cs="Arial"/>
          <w:sz w:val="24"/>
          <w:szCs w:val="24"/>
        </w:rPr>
        <w:t xml:space="preserve">of </w:t>
      </w:r>
      <w:r w:rsidRPr="002C0451">
        <w:rPr>
          <w:rFonts w:cs="Arial"/>
          <w:sz w:val="24"/>
          <w:szCs w:val="24"/>
          <w:lang w:val="en-US"/>
        </w:rPr>
        <w:t>Roma</w:t>
      </w:r>
      <w:r w:rsidRPr="002C0451">
        <w:rPr>
          <w:rFonts w:cs="Arial"/>
          <w:sz w:val="24"/>
          <w:szCs w:val="24"/>
        </w:rPr>
        <w:t xml:space="preserve"> ethnicity</w:t>
      </w:r>
      <w:r w:rsidRPr="002C0451">
        <w:rPr>
          <w:rFonts w:cs="Arial"/>
          <w:sz w:val="24"/>
          <w:szCs w:val="24"/>
          <w:lang w:val="en-US"/>
        </w:rPr>
        <w:t>, she told them to telephone the company the following day since the director is not available (</w:t>
      </w:r>
      <w:r w:rsidRPr="002C0451">
        <w:rPr>
          <w:rFonts w:cs="Arial"/>
          <w:sz w:val="24"/>
          <w:szCs w:val="24"/>
        </w:rPr>
        <w:t>pretending</w:t>
      </w:r>
      <w:r w:rsidRPr="002C0451">
        <w:rPr>
          <w:rFonts w:cs="Arial"/>
          <w:sz w:val="24"/>
          <w:szCs w:val="24"/>
          <w:lang w:val="en-US"/>
        </w:rPr>
        <w:t xml:space="preserve"> she is not the </w:t>
      </w:r>
      <w:r w:rsidRPr="002C0451">
        <w:rPr>
          <w:rFonts w:cs="Arial"/>
          <w:sz w:val="24"/>
          <w:szCs w:val="24"/>
        </w:rPr>
        <w:t>company’s</w:t>
      </w:r>
      <w:r w:rsidRPr="002C0451">
        <w:rPr>
          <w:rFonts w:cs="Arial"/>
          <w:sz w:val="24"/>
          <w:szCs w:val="24"/>
          <w:lang w:val="en-US"/>
        </w:rPr>
        <w:t xml:space="preserve"> director). The following day, after </w:t>
      </w:r>
      <w:r w:rsidRPr="002C0451">
        <w:rPr>
          <w:rFonts w:cs="Arial"/>
          <w:sz w:val="24"/>
          <w:szCs w:val="24"/>
        </w:rPr>
        <w:t>L.I and Ž.</w:t>
      </w:r>
      <w:r w:rsidRPr="002C0451">
        <w:rPr>
          <w:rFonts w:cs="Arial"/>
          <w:sz w:val="24"/>
          <w:szCs w:val="24"/>
          <w:lang w:val="en-US"/>
        </w:rPr>
        <w:t>B</w:t>
      </w:r>
      <w:r w:rsidRPr="002C0451">
        <w:rPr>
          <w:rFonts w:cs="Arial"/>
          <w:sz w:val="24"/>
          <w:szCs w:val="24"/>
        </w:rPr>
        <w:t>.</w:t>
      </w:r>
      <w:r w:rsidRPr="002C0451">
        <w:rPr>
          <w:rFonts w:cs="Arial"/>
          <w:sz w:val="24"/>
          <w:szCs w:val="24"/>
          <w:lang w:val="en-US"/>
        </w:rPr>
        <w:t xml:space="preserve"> </w:t>
      </w:r>
      <w:r w:rsidRPr="002C0451">
        <w:rPr>
          <w:rFonts w:cs="Arial"/>
          <w:sz w:val="24"/>
          <w:szCs w:val="24"/>
        </w:rPr>
        <w:t>telephoned the company</w:t>
      </w:r>
      <w:r w:rsidRPr="002C0451">
        <w:rPr>
          <w:rFonts w:cs="Arial"/>
          <w:sz w:val="24"/>
          <w:szCs w:val="24"/>
          <w:lang w:val="en-US"/>
        </w:rPr>
        <w:t xml:space="preserve">, </w:t>
      </w:r>
      <w:r w:rsidRPr="002C0451">
        <w:rPr>
          <w:rFonts w:cs="Arial"/>
          <w:sz w:val="24"/>
          <w:szCs w:val="24"/>
        </w:rPr>
        <w:t>the director</w:t>
      </w:r>
      <w:r w:rsidRPr="002C0451">
        <w:rPr>
          <w:rFonts w:cs="Arial"/>
          <w:sz w:val="24"/>
          <w:szCs w:val="24"/>
          <w:lang w:val="en-US"/>
        </w:rPr>
        <w:t xml:space="preserve"> claimed there </w:t>
      </w:r>
      <w:r w:rsidRPr="002C0451">
        <w:rPr>
          <w:rFonts w:cs="Arial"/>
          <w:sz w:val="24"/>
          <w:szCs w:val="24"/>
        </w:rPr>
        <w:t>were</w:t>
      </w:r>
      <w:r w:rsidRPr="002C0451">
        <w:rPr>
          <w:rFonts w:cs="Arial"/>
          <w:sz w:val="24"/>
          <w:szCs w:val="24"/>
          <w:lang w:val="en-US"/>
        </w:rPr>
        <w:t xml:space="preserve"> no more places available since</w:t>
      </w:r>
      <w:r w:rsidRPr="002C0451">
        <w:rPr>
          <w:rFonts w:cs="Arial"/>
          <w:sz w:val="24"/>
          <w:szCs w:val="24"/>
        </w:rPr>
        <w:t xml:space="preserve"> the arrangements have already been made with another two students. Students brought a claim and the Croatian Ombudsman intervened in the case highlighting the seriousness of discrimination against Roma in Croatia that is particularly harmful in the field of education and work.  </w:t>
      </w:r>
    </w:p>
    <w:p w14:paraId="18448FE8" w14:textId="31FD06DA" w:rsidR="002F531B" w:rsidRPr="00683B48" w:rsidRDefault="00F05EC4" w:rsidP="00FD78A5">
      <w:pPr>
        <w:jc w:val="both"/>
        <w:rPr>
          <w:rFonts w:cs="Arial"/>
          <w:b/>
          <w:sz w:val="24"/>
          <w:szCs w:val="24"/>
        </w:rPr>
      </w:pPr>
      <w:r w:rsidRPr="006F3139">
        <w:rPr>
          <w:rFonts w:cs="Arial"/>
          <w:b/>
          <w:sz w:val="24"/>
          <w:szCs w:val="24"/>
          <w:u w:val="single"/>
        </w:rPr>
        <w:t xml:space="preserve">6. </w:t>
      </w:r>
      <w:r w:rsidR="002F531B" w:rsidRPr="006F3139">
        <w:rPr>
          <w:rFonts w:cs="Arial"/>
          <w:b/>
          <w:sz w:val="24"/>
          <w:szCs w:val="24"/>
          <w:u w:val="single"/>
        </w:rPr>
        <w:t xml:space="preserve">Strategic Litigation to Ensure that Non-Discrimination Law Is Upheld </w:t>
      </w:r>
    </w:p>
    <w:p w14:paraId="19517DF1" w14:textId="42F7573E" w:rsidR="002F531B" w:rsidRPr="00E26CF8" w:rsidRDefault="00F05EC4" w:rsidP="00FD78A5">
      <w:pPr>
        <w:jc w:val="both"/>
        <w:rPr>
          <w:rFonts w:cs="Arial"/>
          <w:sz w:val="24"/>
          <w:szCs w:val="24"/>
        </w:rPr>
      </w:pPr>
      <w:r>
        <w:rPr>
          <w:rFonts w:cs="Arial"/>
          <w:b/>
          <w:sz w:val="24"/>
          <w:szCs w:val="24"/>
        </w:rPr>
        <w:t>Swedish</w:t>
      </w:r>
      <w:r w:rsidRPr="00683B48">
        <w:rPr>
          <w:rFonts w:cs="Arial"/>
          <w:b/>
          <w:sz w:val="24"/>
          <w:szCs w:val="24"/>
        </w:rPr>
        <w:t xml:space="preserve"> </w:t>
      </w:r>
      <w:r w:rsidR="002F531B" w:rsidRPr="00683B48">
        <w:rPr>
          <w:rFonts w:cs="Arial"/>
          <w:b/>
          <w:sz w:val="24"/>
          <w:szCs w:val="24"/>
        </w:rPr>
        <w:t xml:space="preserve">Equality Ombudsman v Western Union Financial Services GmbH </w:t>
      </w:r>
      <w:r w:rsidR="00E03A9F">
        <w:rPr>
          <w:rFonts w:cs="Arial"/>
          <w:sz w:val="24"/>
          <w:szCs w:val="24"/>
        </w:rPr>
        <w:t>(Stockholm District Court T 9176-08)</w:t>
      </w:r>
    </w:p>
    <w:p w14:paraId="6659450A" w14:textId="25DACE6D" w:rsidR="002F531B" w:rsidRPr="00683B48" w:rsidRDefault="002F531B" w:rsidP="00FD78A5">
      <w:pPr>
        <w:jc w:val="both"/>
        <w:rPr>
          <w:rFonts w:cs="Arial"/>
          <w:sz w:val="24"/>
          <w:szCs w:val="24"/>
        </w:rPr>
      </w:pPr>
      <w:r w:rsidRPr="00683B48">
        <w:rPr>
          <w:rFonts w:cs="Arial"/>
          <w:sz w:val="24"/>
          <w:szCs w:val="24"/>
        </w:rPr>
        <w:t xml:space="preserve">Certain legal measures taken post 9/11 required companies to block money transfers from persons who could be suspected </w:t>
      </w:r>
      <w:r w:rsidR="00F05EC4">
        <w:rPr>
          <w:rFonts w:cs="Arial"/>
          <w:sz w:val="24"/>
          <w:szCs w:val="24"/>
        </w:rPr>
        <w:t>of being</w:t>
      </w:r>
      <w:r w:rsidRPr="00683B48">
        <w:rPr>
          <w:rFonts w:cs="Arial"/>
          <w:sz w:val="24"/>
          <w:szCs w:val="24"/>
        </w:rPr>
        <w:t xml:space="preserve"> on the so-called UN terror lists. As a consequence of these legal measures, a financial institution blocked all transactions from persons whose </w:t>
      </w:r>
      <w:r w:rsidRPr="00683B48">
        <w:rPr>
          <w:rFonts w:cs="Arial"/>
          <w:sz w:val="24"/>
          <w:szCs w:val="24"/>
        </w:rPr>
        <w:lastRenderedPageBreak/>
        <w:t xml:space="preserve">names matched those on the terror lists. The Equality Ombudsman brought a claim against the institution on behalf of certain individuals whose transactions had been blocked, claiming the practice of the institution to be indirectly discriminatory on grounds of ethnicity since it overwhelmingly affected persons with </w:t>
      </w:r>
      <w:r w:rsidR="00AF3BC9" w:rsidRPr="00683B48">
        <w:rPr>
          <w:rFonts w:cs="Arial"/>
          <w:sz w:val="24"/>
          <w:szCs w:val="24"/>
        </w:rPr>
        <w:t>Arab</w:t>
      </w:r>
      <w:r w:rsidRPr="00683B48">
        <w:rPr>
          <w:rFonts w:cs="Arial"/>
          <w:sz w:val="24"/>
          <w:szCs w:val="24"/>
        </w:rPr>
        <w:t xml:space="preserve"> or </w:t>
      </w:r>
      <w:r w:rsidR="00AF3BC9" w:rsidRPr="00683B48">
        <w:rPr>
          <w:rFonts w:cs="Arial"/>
          <w:sz w:val="24"/>
          <w:szCs w:val="24"/>
        </w:rPr>
        <w:t>Muslim</w:t>
      </w:r>
      <w:r w:rsidRPr="00683B48">
        <w:rPr>
          <w:rFonts w:cs="Arial"/>
          <w:sz w:val="24"/>
          <w:szCs w:val="24"/>
        </w:rPr>
        <w:t xml:space="preserve"> names. The main charge was that the institution in question did not collect other relevant data regarding the individual (date of birth</w:t>
      </w:r>
      <w:r w:rsidR="00B00B70" w:rsidRPr="00683B48">
        <w:rPr>
          <w:rFonts w:cs="Arial"/>
          <w:sz w:val="24"/>
          <w:szCs w:val="24"/>
        </w:rPr>
        <w:t>,</w:t>
      </w:r>
      <w:r w:rsidRPr="00683B48">
        <w:rPr>
          <w:rFonts w:cs="Arial"/>
          <w:sz w:val="24"/>
          <w:szCs w:val="24"/>
        </w:rPr>
        <w:t xml:space="preserve"> </w:t>
      </w:r>
      <w:r w:rsidR="00AF3BC9" w:rsidRPr="00683B48">
        <w:rPr>
          <w:rFonts w:cs="Arial"/>
          <w:sz w:val="24"/>
          <w:szCs w:val="24"/>
        </w:rPr>
        <w:t>etc.</w:t>
      </w:r>
      <w:r w:rsidRPr="00683B48">
        <w:rPr>
          <w:rFonts w:cs="Arial"/>
          <w:sz w:val="24"/>
          <w:szCs w:val="24"/>
        </w:rPr>
        <w:t>) before block</w:t>
      </w:r>
      <w:r w:rsidR="00B00B70" w:rsidRPr="00683B48">
        <w:rPr>
          <w:rFonts w:cs="Arial"/>
          <w:sz w:val="24"/>
          <w:szCs w:val="24"/>
        </w:rPr>
        <w:t>ing</w:t>
      </w:r>
      <w:r w:rsidRPr="00683B48">
        <w:rPr>
          <w:rFonts w:cs="Arial"/>
          <w:sz w:val="24"/>
          <w:szCs w:val="24"/>
        </w:rPr>
        <w:t xml:space="preserve"> the transaction. The court </w:t>
      </w:r>
      <w:r w:rsidR="00B00B70" w:rsidRPr="00683B48">
        <w:rPr>
          <w:rFonts w:cs="Arial"/>
          <w:sz w:val="24"/>
          <w:szCs w:val="24"/>
        </w:rPr>
        <w:t>found</w:t>
      </w:r>
      <w:r w:rsidRPr="00683B48">
        <w:rPr>
          <w:rFonts w:cs="Arial"/>
          <w:sz w:val="24"/>
          <w:szCs w:val="24"/>
        </w:rPr>
        <w:t xml:space="preserve"> in the Ombudsman’s favour and </w:t>
      </w:r>
      <w:r w:rsidR="00B00B70" w:rsidRPr="00683B48">
        <w:rPr>
          <w:rFonts w:cs="Arial"/>
          <w:sz w:val="24"/>
          <w:szCs w:val="24"/>
        </w:rPr>
        <w:t xml:space="preserve">held </w:t>
      </w:r>
      <w:r w:rsidRPr="00683B48">
        <w:rPr>
          <w:rFonts w:cs="Arial"/>
          <w:sz w:val="24"/>
          <w:szCs w:val="24"/>
        </w:rPr>
        <w:t xml:space="preserve">that the institution’s practice amounted to indirect discrimination. </w:t>
      </w:r>
    </w:p>
    <w:p w14:paraId="09BA7D35" w14:textId="77777777" w:rsidR="002F531B" w:rsidRPr="00683B48" w:rsidRDefault="002F531B" w:rsidP="00FD78A5">
      <w:pPr>
        <w:jc w:val="both"/>
        <w:rPr>
          <w:rFonts w:cs="Arial"/>
          <w:sz w:val="24"/>
          <w:szCs w:val="24"/>
        </w:rPr>
      </w:pPr>
      <w:r w:rsidRPr="00683B48">
        <w:rPr>
          <w:rFonts w:cs="Arial"/>
          <w:sz w:val="24"/>
          <w:szCs w:val="24"/>
        </w:rPr>
        <w:t>The case was important to ensure the respect for non-discrimination law in the context of anti-terrorism measures</w:t>
      </w:r>
      <w:r w:rsidR="00B00B70" w:rsidRPr="00683B48">
        <w:rPr>
          <w:rFonts w:cs="Arial"/>
          <w:sz w:val="24"/>
          <w:szCs w:val="24"/>
        </w:rPr>
        <w:t xml:space="preserve">. Specifically, </w:t>
      </w:r>
      <w:r w:rsidR="007B05DC" w:rsidRPr="00683B48">
        <w:rPr>
          <w:rFonts w:cs="Arial"/>
          <w:sz w:val="24"/>
          <w:szCs w:val="24"/>
        </w:rPr>
        <w:t xml:space="preserve">it </w:t>
      </w:r>
      <w:r w:rsidRPr="00683B48">
        <w:rPr>
          <w:rFonts w:cs="Arial"/>
          <w:sz w:val="24"/>
          <w:szCs w:val="24"/>
        </w:rPr>
        <w:t>limit</w:t>
      </w:r>
      <w:r w:rsidR="007B05DC" w:rsidRPr="00683B48">
        <w:rPr>
          <w:rFonts w:cs="Arial"/>
          <w:sz w:val="24"/>
          <w:szCs w:val="24"/>
        </w:rPr>
        <w:t>s</w:t>
      </w:r>
      <w:r w:rsidRPr="00683B48">
        <w:rPr>
          <w:rFonts w:cs="Arial"/>
          <w:sz w:val="24"/>
          <w:szCs w:val="24"/>
        </w:rPr>
        <w:t xml:space="preserve"> the</w:t>
      </w:r>
      <w:r w:rsidR="007B05DC" w:rsidRPr="00683B48">
        <w:rPr>
          <w:rFonts w:cs="Arial"/>
          <w:sz w:val="24"/>
          <w:szCs w:val="24"/>
        </w:rPr>
        <w:t xml:space="preserve"> permissibility of</w:t>
      </w:r>
      <w:r w:rsidRPr="00683B48">
        <w:rPr>
          <w:rFonts w:cs="Arial"/>
          <w:sz w:val="24"/>
          <w:szCs w:val="24"/>
        </w:rPr>
        <w:t xml:space="preserve"> cut-and-dry measures liable to negatively affect certain persons based on t</w:t>
      </w:r>
      <w:r w:rsidR="005476C1">
        <w:rPr>
          <w:rFonts w:cs="Arial"/>
          <w:sz w:val="24"/>
          <w:szCs w:val="24"/>
        </w:rPr>
        <w:t>heir ethnicity and/or religion.</w:t>
      </w:r>
    </w:p>
    <w:p w14:paraId="5262154C" w14:textId="77777777" w:rsidR="00647EA0" w:rsidRPr="00683B48" w:rsidRDefault="00647EA0" w:rsidP="00FD78A5">
      <w:pPr>
        <w:spacing w:after="0" w:line="240" w:lineRule="auto"/>
        <w:jc w:val="both"/>
        <w:rPr>
          <w:rFonts w:cs="Arial"/>
          <w:sz w:val="24"/>
          <w:szCs w:val="24"/>
        </w:rPr>
      </w:pPr>
      <w:r w:rsidRPr="00683B48">
        <w:rPr>
          <w:rFonts w:cs="Arial"/>
          <w:sz w:val="24"/>
          <w:szCs w:val="24"/>
        </w:rPr>
        <w:br w:type="page"/>
      </w:r>
    </w:p>
    <w:p w14:paraId="17D7E38C" w14:textId="77777777" w:rsidR="00647EA0" w:rsidRPr="00D27A66" w:rsidRDefault="00647EA0" w:rsidP="00FD78A5">
      <w:pPr>
        <w:jc w:val="both"/>
        <w:rPr>
          <w:rFonts w:cs="Arial"/>
          <w:b/>
          <w:sz w:val="36"/>
          <w:szCs w:val="36"/>
        </w:rPr>
      </w:pPr>
      <w:bookmarkStart w:id="1" w:name="chapter2"/>
      <w:r w:rsidRPr="00D27A66">
        <w:rPr>
          <w:rFonts w:cs="Arial"/>
          <w:b/>
          <w:sz w:val="36"/>
          <w:szCs w:val="36"/>
        </w:rPr>
        <w:lastRenderedPageBreak/>
        <w:t>CHAPTER 2</w:t>
      </w:r>
      <w:r w:rsidR="00D27A66">
        <w:rPr>
          <w:rFonts w:cs="Arial"/>
          <w:b/>
          <w:sz w:val="36"/>
          <w:szCs w:val="36"/>
        </w:rPr>
        <w:t>:</w:t>
      </w:r>
      <w:r w:rsidRPr="00D27A66">
        <w:rPr>
          <w:rFonts w:cs="Arial"/>
          <w:b/>
          <w:sz w:val="36"/>
          <w:szCs w:val="36"/>
        </w:rPr>
        <w:t xml:space="preserve"> P</w:t>
      </w:r>
      <w:r w:rsidR="00D27A66">
        <w:rPr>
          <w:rFonts w:cs="Arial"/>
          <w:b/>
          <w:sz w:val="36"/>
          <w:szCs w:val="36"/>
        </w:rPr>
        <w:t>RINCIPLES OF CASE SELECTION</w:t>
      </w:r>
      <w:r w:rsidRPr="00D27A66">
        <w:rPr>
          <w:rFonts w:cs="Arial"/>
          <w:b/>
          <w:sz w:val="36"/>
          <w:szCs w:val="36"/>
        </w:rPr>
        <w:t xml:space="preserve"> </w:t>
      </w:r>
    </w:p>
    <w:bookmarkEnd w:id="1"/>
    <w:p w14:paraId="50412AA8" w14:textId="562DEA76" w:rsidR="00647EA0" w:rsidRPr="00683B48" w:rsidRDefault="00F05EC4" w:rsidP="00FD78A5">
      <w:pPr>
        <w:jc w:val="both"/>
        <w:rPr>
          <w:rFonts w:cs="Arial"/>
          <w:b/>
          <w:sz w:val="24"/>
          <w:szCs w:val="24"/>
        </w:rPr>
      </w:pPr>
      <w:r>
        <w:rPr>
          <w:rFonts w:cs="Arial"/>
          <w:b/>
          <w:sz w:val="24"/>
          <w:szCs w:val="24"/>
        </w:rPr>
        <w:t>STRATEGIC LITIGATION POLICY</w:t>
      </w:r>
    </w:p>
    <w:p w14:paraId="6F0E3CBB" w14:textId="77777777" w:rsidR="00E8679C" w:rsidRDefault="00C23703" w:rsidP="00FD78A5">
      <w:pPr>
        <w:jc w:val="both"/>
        <w:rPr>
          <w:rFonts w:cs="Arial"/>
          <w:sz w:val="24"/>
          <w:szCs w:val="24"/>
        </w:rPr>
      </w:pPr>
      <w:r w:rsidRPr="00683B48">
        <w:rPr>
          <w:rFonts w:cs="Arial"/>
          <w:sz w:val="24"/>
          <w:szCs w:val="24"/>
        </w:rPr>
        <w:t xml:space="preserve">Drafting and </w:t>
      </w:r>
      <w:r w:rsidR="00236AE6" w:rsidRPr="00683B48">
        <w:rPr>
          <w:rFonts w:cs="Arial"/>
          <w:sz w:val="24"/>
          <w:szCs w:val="24"/>
        </w:rPr>
        <w:t>publishing a strategic litigation policy</w:t>
      </w:r>
      <w:r w:rsidR="00236AE6" w:rsidRPr="00683B48" w:rsidDel="00C23703">
        <w:rPr>
          <w:rFonts w:cs="Arial"/>
          <w:sz w:val="24"/>
          <w:szCs w:val="24"/>
        </w:rPr>
        <w:t xml:space="preserve"> </w:t>
      </w:r>
      <w:r w:rsidR="00236AE6" w:rsidRPr="00683B48">
        <w:rPr>
          <w:rFonts w:cs="Arial"/>
          <w:sz w:val="24"/>
          <w:szCs w:val="24"/>
        </w:rPr>
        <w:t>can facilitate e</w:t>
      </w:r>
      <w:r w:rsidR="00874611" w:rsidRPr="00683B48">
        <w:rPr>
          <w:rFonts w:cs="Arial"/>
          <w:sz w:val="24"/>
          <w:szCs w:val="24"/>
        </w:rPr>
        <w:t>quality bodies</w:t>
      </w:r>
      <w:r w:rsidR="00236AE6" w:rsidRPr="00683B48">
        <w:rPr>
          <w:rFonts w:cs="Arial"/>
          <w:sz w:val="24"/>
          <w:szCs w:val="24"/>
        </w:rPr>
        <w:t>’ success in this area.</w:t>
      </w:r>
      <w:r w:rsidR="00647EA0" w:rsidRPr="00683B48">
        <w:rPr>
          <w:rFonts w:cs="Arial"/>
          <w:sz w:val="24"/>
          <w:szCs w:val="24"/>
        </w:rPr>
        <w:t xml:space="preserve"> </w:t>
      </w:r>
      <w:r w:rsidR="00236AE6" w:rsidRPr="00683B48">
        <w:rPr>
          <w:rFonts w:cs="Arial"/>
          <w:sz w:val="24"/>
          <w:szCs w:val="24"/>
        </w:rPr>
        <w:t>The policy should</w:t>
      </w:r>
      <w:r w:rsidR="00647EA0" w:rsidRPr="00683B48">
        <w:rPr>
          <w:rFonts w:cs="Arial"/>
          <w:sz w:val="24"/>
          <w:szCs w:val="24"/>
        </w:rPr>
        <w:t xml:space="preserve"> </w:t>
      </w:r>
      <w:r w:rsidR="00236AE6" w:rsidRPr="00683B48">
        <w:rPr>
          <w:rFonts w:cs="Arial"/>
          <w:sz w:val="24"/>
          <w:szCs w:val="24"/>
        </w:rPr>
        <w:t>clarify</w:t>
      </w:r>
      <w:r w:rsidR="00647EA0" w:rsidRPr="00683B48">
        <w:rPr>
          <w:rFonts w:cs="Arial"/>
          <w:sz w:val="24"/>
          <w:szCs w:val="24"/>
        </w:rPr>
        <w:t xml:space="preserve"> </w:t>
      </w:r>
      <w:r w:rsidR="006B1F89">
        <w:rPr>
          <w:rFonts w:cs="Arial"/>
          <w:sz w:val="24"/>
          <w:szCs w:val="24"/>
        </w:rPr>
        <w:t xml:space="preserve">the </w:t>
      </w:r>
      <w:r w:rsidR="00647EA0" w:rsidRPr="00683B48">
        <w:rPr>
          <w:rFonts w:cs="Arial"/>
          <w:sz w:val="24"/>
          <w:szCs w:val="24"/>
        </w:rPr>
        <w:t xml:space="preserve">selection criteria and </w:t>
      </w:r>
      <w:r w:rsidR="00236AE6" w:rsidRPr="00683B48">
        <w:rPr>
          <w:rFonts w:cs="Arial"/>
          <w:sz w:val="24"/>
          <w:szCs w:val="24"/>
        </w:rPr>
        <w:t>describe</w:t>
      </w:r>
      <w:r w:rsidR="00647EA0" w:rsidRPr="00683B48">
        <w:rPr>
          <w:rFonts w:cs="Arial"/>
          <w:sz w:val="24"/>
          <w:szCs w:val="24"/>
        </w:rPr>
        <w:t xml:space="preserve"> current strategic </w:t>
      </w:r>
      <w:r w:rsidR="00236AE6" w:rsidRPr="00683B48">
        <w:rPr>
          <w:rFonts w:cs="Arial"/>
          <w:sz w:val="24"/>
          <w:szCs w:val="24"/>
        </w:rPr>
        <w:t>objectives, thus informing</w:t>
      </w:r>
      <w:r w:rsidR="00647EA0" w:rsidRPr="00683B48">
        <w:rPr>
          <w:rFonts w:cs="Arial"/>
          <w:sz w:val="24"/>
          <w:szCs w:val="24"/>
        </w:rPr>
        <w:t xml:space="preserve"> stakeholders, victims and others that the </w:t>
      </w:r>
      <w:r w:rsidR="00874611" w:rsidRPr="00683B48">
        <w:rPr>
          <w:rFonts w:cs="Arial"/>
          <w:sz w:val="24"/>
          <w:szCs w:val="24"/>
        </w:rPr>
        <w:t>equality body</w:t>
      </w:r>
      <w:r w:rsidR="00647EA0" w:rsidRPr="00683B48">
        <w:rPr>
          <w:rFonts w:cs="Arial"/>
          <w:sz w:val="24"/>
          <w:szCs w:val="24"/>
        </w:rPr>
        <w:t xml:space="preserve"> will </w:t>
      </w:r>
      <w:r w:rsidR="00236AE6" w:rsidRPr="00683B48">
        <w:rPr>
          <w:rFonts w:cs="Arial"/>
          <w:sz w:val="24"/>
          <w:szCs w:val="24"/>
        </w:rPr>
        <w:t xml:space="preserve">only </w:t>
      </w:r>
      <w:r w:rsidR="00647EA0" w:rsidRPr="00683B48">
        <w:rPr>
          <w:rFonts w:cs="Arial"/>
          <w:sz w:val="24"/>
          <w:szCs w:val="24"/>
        </w:rPr>
        <w:t xml:space="preserve">consider </w:t>
      </w:r>
      <w:r w:rsidR="00236AE6" w:rsidRPr="00683B48">
        <w:rPr>
          <w:rFonts w:cs="Arial"/>
          <w:sz w:val="24"/>
          <w:szCs w:val="24"/>
        </w:rPr>
        <w:t>cases</w:t>
      </w:r>
      <w:r w:rsidR="00647EA0" w:rsidRPr="00683B48">
        <w:rPr>
          <w:rFonts w:cs="Arial"/>
          <w:sz w:val="24"/>
          <w:szCs w:val="24"/>
        </w:rPr>
        <w:t xml:space="preserve"> that </w:t>
      </w:r>
      <w:r w:rsidR="00236AE6" w:rsidRPr="00683B48">
        <w:rPr>
          <w:rFonts w:cs="Arial"/>
          <w:sz w:val="24"/>
          <w:szCs w:val="24"/>
        </w:rPr>
        <w:t xml:space="preserve">can be expected to </w:t>
      </w:r>
      <w:r w:rsidR="00647EA0" w:rsidRPr="00683B48">
        <w:rPr>
          <w:rFonts w:cs="Arial"/>
          <w:sz w:val="24"/>
          <w:szCs w:val="24"/>
        </w:rPr>
        <w:t>further the</w:t>
      </w:r>
      <w:r w:rsidR="00236AE6" w:rsidRPr="00683B48">
        <w:rPr>
          <w:rFonts w:cs="Arial"/>
          <w:sz w:val="24"/>
          <w:szCs w:val="24"/>
        </w:rPr>
        <w:t>se</w:t>
      </w:r>
      <w:r w:rsidR="00647EA0" w:rsidRPr="00683B48">
        <w:rPr>
          <w:rFonts w:cs="Arial"/>
          <w:sz w:val="24"/>
          <w:szCs w:val="24"/>
        </w:rPr>
        <w:t xml:space="preserve"> </w:t>
      </w:r>
      <w:r w:rsidR="00236AE6" w:rsidRPr="00683B48">
        <w:rPr>
          <w:rFonts w:cs="Arial"/>
          <w:sz w:val="24"/>
          <w:szCs w:val="24"/>
        </w:rPr>
        <w:t xml:space="preserve">objectives </w:t>
      </w:r>
      <w:r w:rsidR="00647EA0" w:rsidRPr="00683B48">
        <w:rPr>
          <w:rFonts w:cs="Arial"/>
          <w:sz w:val="24"/>
          <w:szCs w:val="24"/>
        </w:rPr>
        <w:t>and in which there is a clear public interest.</w:t>
      </w:r>
      <w:r w:rsidR="00E8679C">
        <w:rPr>
          <w:rFonts w:cs="Arial"/>
          <w:sz w:val="24"/>
          <w:szCs w:val="24"/>
        </w:rPr>
        <w:t xml:space="preserve"> In order to pre</w:t>
      </w:r>
      <w:r w:rsidR="006B1F89">
        <w:rPr>
          <w:rFonts w:cs="Arial"/>
          <w:sz w:val="24"/>
          <w:szCs w:val="24"/>
        </w:rPr>
        <w:t>-</w:t>
      </w:r>
      <w:r w:rsidR="00E8679C">
        <w:rPr>
          <w:rFonts w:cs="Arial"/>
          <w:sz w:val="24"/>
          <w:szCs w:val="24"/>
        </w:rPr>
        <w:t>em</w:t>
      </w:r>
      <w:r w:rsidR="006B1F89">
        <w:rPr>
          <w:rFonts w:cs="Arial"/>
          <w:sz w:val="24"/>
          <w:szCs w:val="24"/>
        </w:rPr>
        <w:t>p</w:t>
      </w:r>
      <w:r w:rsidR="00E8679C">
        <w:rPr>
          <w:rFonts w:cs="Arial"/>
          <w:sz w:val="24"/>
          <w:szCs w:val="24"/>
        </w:rPr>
        <w:t xml:space="preserve">t critique of subjectivity and lack of transparency, the policy should be published and the reasons </w:t>
      </w:r>
      <w:r w:rsidR="00951A61">
        <w:rPr>
          <w:rFonts w:cs="Arial"/>
          <w:sz w:val="24"/>
          <w:szCs w:val="24"/>
        </w:rPr>
        <w:t xml:space="preserve">underpinning </w:t>
      </w:r>
      <w:r w:rsidR="00E8679C">
        <w:rPr>
          <w:rFonts w:cs="Arial"/>
          <w:sz w:val="24"/>
          <w:szCs w:val="24"/>
        </w:rPr>
        <w:t>it explained. Preferably</w:t>
      </w:r>
      <w:r w:rsidR="006B1F89">
        <w:rPr>
          <w:rFonts w:cs="Arial"/>
          <w:sz w:val="24"/>
          <w:szCs w:val="24"/>
        </w:rPr>
        <w:t xml:space="preserve">, </w:t>
      </w:r>
      <w:r w:rsidR="00E8679C">
        <w:rPr>
          <w:rFonts w:cs="Arial"/>
          <w:sz w:val="24"/>
          <w:szCs w:val="24"/>
        </w:rPr>
        <w:t xml:space="preserve">the complexity of the assessment </w:t>
      </w:r>
      <w:r w:rsidR="006B1F89">
        <w:rPr>
          <w:rFonts w:cs="Arial"/>
          <w:sz w:val="24"/>
          <w:szCs w:val="24"/>
        </w:rPr>
        <w:t xml:space="preserve">should be stressed. </w:t>
      </w:r>
      <w:r w:rsidR="00E8679C">
        <w:rPr>
          <w:rFonts w:cs="Arial"/>
          <w:sz w:val="24"/>
          <w:szCs w:val="24"/>
        </w:rPr>
        <w:t xml:space="preserve">  </w:t>
      </w:r>
    </w:p>
    <w:p w14:paraId="103CB9A3" w14:textId="77777777" w:rsidR="00647EA0" w:rsidRPr="00683B48" w:rsidRDefault="00F968A5" w:rsidP="00FD78A5">
      <w:pPr>
        <w:jc w:val="both"/>
        <w:rPr>
          <w:rFonts w:cs="Arial"/>
          <w:sz w:val="24"/>
          <w:szCs w:val="24"/>
        </w:rPr>
      </w:pPr>
      <w:r w:rsidRPr="00683B48">
        <w:rPr>
          <w:rFonts w:cs="Arial"/>
          <w:sz w:val="24"/>
          <w:szCs w:val="24"/>
        </w:rPr>
        <w:t xml:space="preserve">The strategic litigation policy </w:t>
      </w:r>
      <w:r w:rsidR="006B1F89">
        <w:rPr>
          <w:rFonts w:cs="Arial"/>
          <w:sz w:val="24"/>
          <w:szCs w:val="24"/>
        </w:rPr>
        <w:t>outlines the general basis</w:t>
      </w:r>
      <w:r w:rsidRPr="00683B48">
        <w:rPr>
          <w:rFonts w:cs="Arial"/>
          <w:sz w:val="24"/>
          <w:szCs w:val="24"/>
        </w:rPr>
        <w:t xml:space="preserve"> of ca</w:t>
      </w:r>
      <w:r w:rsidR="00B529A0">
        <w:rPr>
          <w:rFonts w:cs="Arial"/>
          <w:sz w:val="24"/>
          <w:szCs w:val="24"/>
        </w:rPr>
        <w:t>se selection</w:t>
      </w:r>
      <w:r w:rsidR="006B1F89">
        <w:rPr>
          <w:rFonts w:cs="Arial"/>
          <w:sz w:val="24"/>
          <w:szCs w:val="24"/>
        </w:rPr>
        <w:t>. The policy could be supplemented</w:t>
      </w:r>
      <w:r w:rsidR="00B529A0">
        <w:rPr>
          <w:rFonts w:cs="Arial"/>
          <w:sz w:val="24"/>
          <w:szCs w:val="24"/>
        </w:rPr>
        <w:t xml:space="preserve"> </w:t>
      </w:r>
      <w:r w:rsidR="006B1F89">
        <w:rPr>
          <w:rFonts w:cs="Arial"/>
          <w:sz w:val="24"/>
          <w:szCs w:val="24"/>
        </w:rPr>
        <w:t>with</w:t>
      </w:r>
      <w:r w:rsidRPr="00683B48">
        <w:rPr>
          <w:rFonts w:cs="Arial"/>
          <w:sz w:val="24"/>
          <w:szCs w:val="24"/>
        </w:rPr>
        <w:t xml:space="preserve"> a list of the specific types of cases currently being sought, amended from time to time. </w:t>
      </w:r>
      <w:r w:rsidR="00236AE6" w:rsidRPr="00683B48">
        <w:rPr>
          <w:rFonts w:cs="Arial"/>
          <w:sz w:val="24"/>
          <w:szCs w:val="24"/>
        </w:rPr>
        <w:t>In order to maintain flexibility and discretion in selection,</w:t>
      </w:r>
      <w:r w:rsidR="00647EA0" w:rsidRPr="00683B48">
        <w:rPr>
          <w:rFonts w:cs="Arial"/>
          <w:sz w:val="24"/>
          <w:szCs w:val="24"/>
        </w:rPr>
        <w:t xml:space="preserve"> the criteria should be </w:t>
      </w:r>
      <w:r w:rsidR="00236AE6" w:rsidRPr="00683B48">
        <w:rPr>
          <w:rFonts w:cs="Arial"/>
          <w:sz w:val="24"/>
          <w:szCs w:val="24"/>
        </w:rPr>
        <w:t xml:space="preserve">expressed </w:t>
      </w:r>
      <w:r w:rsidR="00647EA0" w:rsidRPr="00683B48">
        <w:rPr>
          <w:rFonts w:cs="Arial"/>
          <w:sz w:val="24"/>
          <w:szCs w:val="24"/>
        </w:rPr>
        <w:t>in general terms, for example:</w:t>
      </w:r>
    </w:p>
    <w:p w14:paraId="04AA64AE" w14:textId="77777777" w:rsidR="00236AE6" w:rsidRPr="00683B48" w:rsidRDefault="00236AE6" w:rsidP="00CD4720">
      <w:pPr>
        <w:jc w:val="both"/>
        <w:rPr>
          <w:rFonts w:cs="Arial"/>
          <w:sz w:val="24"/>
          <w:szCs w:val="24"/>
        </w:rPr>
      </w:pPr>
      <w:r w:rsidRPr="00683B48">
        <w:rPr>
          <w:rFonts w:cs="Arial"/>
          <w:sz w:val="24"/>
          <w:szCs w:val="24"/>
        </w:rPr>
        <w:t>Strategic criteria:</w:t>
      </w:r>
    </w:p>
    <w:p w14:paraId="17E51F1C" w14:textId="77777777" w:rsidR="00647EA0" w:rsidRPr="00683B48" w:rsidRDefault="00647EA0" w:rsidP="00FD78A5">
      <w:pPr>
        <w:pStyle w:val="ListParagraph"/>
        <w:numPr>
          <w:ilvl w:val="0"/>
          <w:numId w:val="7"/>
        </w:numPr>
        <w:jc w:val="both"/>
        <w:rPr>
          <w:rFonts w:cs="Arial"/>
          <w:sz w:val="24"/>
          <w:szCs w:val="24"/>
        </w:rPr>
      </w:pPr>
      <w:r w:rsidRPr="00683B48">
        <w:rPr>
          <w:rFonts w:cs="Arial"/>
          <w:sz w:val="24"/>
          <w:szCs w:val="24"/>
        </w:rPr>
        <w:t xml:space="preserve">The case presents an opportunity to clarify or strengthen the law </w:t>
      </w:r>
    </w:p>
    <w:p w14:paraId="4BE73BFB" w14:textId="77777777" w:rsidR="00647EA0" w:rsidRPr="00683B48" w:rsidRDefault="00647EA0" w:rsidP="00FD78A5">
      <w:pPr>
        <w:pStyle w:val="ListParagraph"/>
        <w:numPr>
          <w:ilvl w:val="0"/>
          <w:numId w:val="7"/>
        </w:numPr>
        <w:jc w:val="both"/>
        <w:rPr>
          <w:rFonts w:cs="Arial"/>
          <w:sz w:val="24"/>
          <w:szCs w:val="24"/>
        </w:rPr>
      </w:pPr>
      <w:r w:rsidRPr="00683B48">
        <w:rPr>
          <w:rFonts w:cs="Arial"/>
          <w:sz w:val="24"/>
          <w:szCs w:val="24"/>
        </w:rPr>
        <w:t>The case presents an opportunity to increase compliance with the law</w:t>
      </w:r>
    </w:p>
    <w:p w14:paraId="00F4D89D" w14:textId="77777777" w:rsidR="00647EA0" w:rsidRPr="00683B48" w:rsidRDefault="00647EA0" w:rsidP="00FD78A5">
      <w:pPr>
        <w:pStyle w:val="ListParagraph"/>
        <w:numPr>
          <w:ilvl w:val="0"/>
          <w:numId w:val="7"/>
        </w:numPr>
        <w:jc w:val="both"/>
        <w:rPr>
          <w:rFonts w:cs="Arial"/>
          <w:sz w:val="24"/>
          <w:szCs w:val="24"/>
        </w:rPr>
      </w:pPr>
      <w:r w:rsidRPr="00683B48">
        <w:rPr>
          <w:rFonts w:cs="Arial"/>
          <w:sz w:val="24"/>
          <w:szCs w:val="24"/>
        </w:rPr>
        <w:t>The case presents an opportunity to shed light on a particular problem</w:t>
      </w:r>
    </w:p>
    <w:p w14:paraId="4C26BD00" w14:textId="77777777" w:rsidR="00647EA0" w:rsidRPr="00683B48" w:rsidRDefault="00647EA0" w:rsidP="00FD78A5">
      <w:pPr>
        <w:pStyle w:val="ListParagraph"/>
        <w:numPr>
          <w:ilvl w:val="0"/>
          <w:numId w:val="7"/>
        </w:numPr>
        <w:jc w:val="both"/>
        <w:rPr>
          <w:rFonts w:cs="Arial"/>
          <w:sz w:val="24"/>
          <w:szCs w:val="24"/>
        </w:rPr>
      </w:pPr>
      <w:r w:rsidRPr="00683B48">
        <w:rPr>
          <w:rFonts w:cs="Arial"/>
          <w:sz w:val="24"/>
          <w:szCs w:val="24"/>
        </w:rPr>
        <w:t>The case concerns a serious infringement of the law with regard to its nature or scale</w:t>
      </w:r>
    </w:p>
    <w:p w14:paraId="052D8B29" w14:textId="77777777" w:rsidR="00236AE6" w:rsidRPr="00683B48" w:rsidRDefault="00647EA0" w:rsidP="00FD78A5">
      <w:pPr>
        <w:pStyle w:val="ListParagraph"/>
        <w:numPr>
          <w:ilvl w:val="0"/>
          <w:numId w:val="7"/>
        </w:numPr>
        <w:jc w:val="both"/>
        <w:rPr>
          <w:rFonts w:cs="Arial"/>
          <w:sz w:val="24"/>
          <w:szCs w:val="24"/>
        </w:rPr>
      </w:pPr>
      <w:r w:rsidRPr="00683B48">
        <w:rPr>
          <w:rFonts w:cs="Arial"/>
          <w:sz w:val="24"/>
          <w:szCs w:val="24"/>
        </w:rPr>
        <w:t>The case concerns a widespread infringement of the law</w:t>
      </w:r>
    </w:p>
    <w:p w14:paraId="3F4060E3" w14:textId="77777777" w:rsidR="00236AE6" w:rsidRPr="00683B48" w:rsidRDefault="00236AE6" w:rsidP="00CD4720">
      <w:pPr>
        <w:jc w:val="both"/>
        <w:rPr>
          <w:rFonts w:cs="Arial"/>
          <w:sz w:val="24"/>
          <w:szCs w:val="24"/>
        </w:rPr>
      </w:pPr>
      <w:r w:rsidRPr="00683B48">
        <w:rPr>
          <w:rFonts w:cs="Arial"/>
          <w:sz w:val="24"/>
          <w:szCs w:val="24"/>
        </w:rPr>
        <w:t>Practical criteria:</w:t>
      </w:r>
    </w:p>
    <w:p w14:paraId="23D1B8C3" w14:textId="77777777" w:rsidR="00647EA0" w:rsidRPr="00683B48" w:rsidRDefault="00647EA0" w:rsidP="00FD78A5">
      <w:pPr>
        <w:pStyle w:val="ListParagraph"/>
        <w:numPr>
          <w:ilvl w:val="0"/>
          <w:numId w:val="7"/>
        </w:numPr>
        <w:jc w:val="both"/>
        <w:rPr>
          <w:rFonts w:cs="Arial"/>
          <w:sz w:val="24"/>
          <w:szCs w:val="24"/>
        </w:rPr>
      </w:pPr>
      <w:r w:rsidRPr="00683B48">
        <w:rPr>
          <w:rFonts w:cs="Arial"/>
          <w:sz w:val="24"/>
          <w:szCs w:val="24"/>
        </w:rPr>
        <w:t xml:space="preserve">The case tests </w:t>
      </w:r>
      <w:r w:rsidR="00236AE6" w:rsidRPr="00683B48">
        <w:rPr>
          <w:rFonts w:cs="Arial"/>
          <w:sz w:val="24"/>
          <w:szCs w:val="24"/>
        </w:rPr>
        <w:t>whether national legislation or practice complies with EU law, ECHR or applicable international law obligations</w:t>
      </w:r>
    </w:p>
    <w:p w14:paraId="3FA9D194" w14:textId="77777777" w:rsidR="00647EA0" w:rsidRPr="00683B48" w:rsidRDefault="00EA3BF9" w:rsidP="00FD78A5">
      <w:pPr>
        <w:pStyle w:val="ListParagraph"/>
        <w:numPr>
          <w:ilvl w:val="0"/>
          <w:numId w:val="7"/>
        </w:numPr>
        <w:jc w:val="both"/>
        <w:rPr>
          <w:rFonts w:cs="Arial"/>
          <w:sz w:val="24"/>
          <w:szCs w:val="24"/>
        </w:rPr>
      </w:pPr>
      <w:r w:rsidRPr="00683B48">
        <w:rPr>
          <w:rFonts w:cs="Arial"/>
          <w:sz w:val="24"/>
          <w:szCs w:val="24"/>
        </w:rPr>
        <w:t>T</w:t>
      </w:r>
      <w:r w:rsidR="00647EA0" w:rsidRPr="00683B48">
        <w:rPr>
          <w:rFonts w:cs="Arial"/>
          <w:sz w:val="24"/>
          <w:szCs w:val="24"/>
        </w:rPr>
        <w:t xml:space="preserve">he </w:t>
      </w:r>
      <w:r w:rsidR="00874611" w:rsidRPr="00683B48">
        <w:rPr>
          <w:rFonts w:cs="Arial"/>
          <w:sz w:val="24"/>
          <w:szCs w:val="24"/>
        </w:rPr>
        <w:t>equality body</w:t>
      </w:r>
      <w:r w:rsidR="00647EA0" w:rsidRPr="00683B48">
        <w:rPr>
          <w:rFonts w:cs="Arial"/>
          <w:sz w:val="24"/>
          <w:szCs w:val="24"/>
        </w:rPr>
        <w:t xml:space="preserve"> is the most appropriate body to take action in the case</w:t>
      </w:r>
      <w:r w:rsidRPr="00683B48">
        <w:rPr>
          <w:rFonts w:cs="Arial"/>
          <w:sz w:val="24"/>
          <w:szCs w:val="24"/>
        </w:rPr>
        <w:t>,</w:t>
      </w:r>
      <w:r w:rsidR="00647EA0" w:rsidRPr="00683B48">
        <w:rPr>
          <w:rFonts w:cs="Arial"/>
          <w:sz w:val="24"/>
          <w:szCs w:val="24"/>
        </w:rPr>
        <w:t xml:space="preserve"> </w:t>
      </w:r>
      <w:r w:rsidRPr="00683B48">
        <w:rPr>
          <w:rFonts w:cs="Arial"/>
          <w:sz w:val="24"/>
          <w:szCs w:val="24"/>
        </w:rPr>
        <w:t>(is for example</w:t>
      </w:r>
      <w:r w:rsidR="00647EA0" w:rsidRPr="00683B48">
        <w:rPr>
          <w:rFonts w:cs="Arial"/>
          <w:sz w:val="24"/>
          <w:szCs w:val="24"/>
        </w:rPr>
        <w:t xml:space="preserve"> other funding available or </w:t>
      </w:r>
      <w:r w:rsidRPr="00683B48">
        <w:rPr>
          <w:rFonts w:cs="Arial"/>
          <w:sz w:val="24"/>
          <w:szCs w:val="24"/>
        </w:rPr>
        <w:t xml:space="preserve">could </w:t>
      </w:r>
      <w:r w:rsidR="00647EA0" w:rsidRPr="00683B48">
        <w:rPr>
          <w:rFonts w:cs="Arial"/>
          <w:sz w:val="24"/>
          <w:szCs w:val="24"/>
        </w:rPr>
        <w:t>a</w:t>
      </w:r>
      <w:r w:rsidRPr="00683B48">
        <w:rPr>
          <w:rFonts w:cs="Arial"/>
          <w:sz w:val="24"/>
          <w:szCs w:val="24"/>
        </w:rPr>
        <w:t>nother</w:t>
      </w:r>
      <w:r w:rsidR="00647EA0" w:rsidRPr="00683B48">
        <w:rPr>
          <w:rFonts w:cs="Arial"/>
          <w:sz w:val="24"/>
          <w:szCs w:val="24"/>
        </w:rPr>
        <w:t xml:space="preserve"> regulator or body be more appropriate</w:t>
      </w:r>
      <w:r w:rsidRPr="00683B48">
        <w:rPr>
          <w:rFonts w:cs="Arial"/>
          <w:sz w:val="24"/>
          <w:szCs w:val="24"/>
        </w:rPr>
        <w:t>?)</w:t>
      </w:r>
    </w:p>
    <w:p w14:paraId="70D9F234" w14:textId="77777777" w:rsidR="00647EA0" w:rsidRPr="00683B48" w:rsidRDefault="00EA3BF9" w:rsidP="00FD78A5">
      <w:pPr>
        <w:pStyle w:val="ListParagraph"/>
        <w:numPr>
          <w:ilvl w:val="0"/>
          <w:numId w:val="7"/>
        </w:numPr>
        <w:jc w:val="both"/>
        <w:rPr>
          <w:rFonts w:cs="Arial"/>
          <w:sz w:val="24"/>
          <w:szCs w:val="24"/>
        </w:rPr>
      </w:pPr>
      <w:r w:rsidRPr="00683B48">
        <w:rPr>
          <w:rFonts w:cs="Arial"/>
          <w:sz w:val="24"/>
          <w:szCs w:val="24"/>
        </w:rPr>
        <w:t>T</w:t>
      </w:r>
      <w:r w:rsidR="00647EA0" w:rsidRPr="00683B48">
        <w:rPr>
          <w:rFonts w:cs="Arial"/>
          <w:sz w:val="24"/>
          <w:szCs w:val="24"/>
        </w:rPr>
        <w:t>he</w:t>
      </w:r>
      <w:r w:rsidRPr="00683B48">
        <w:rPr>
          <w:rFonts w:cs="Arial"/>
          <w:sz w:val="24"/>
          <w:szCs w:val="24"/>
        </w:rPr>
        <w:t xml:space="preserve"> required</w:t>
      </w:r>
      <w:r w:rsidR="00647EA0" w:rsidRPr="00683B48">
        <w:rPr>
          <w:rFonts w:cs="Arial"/>
          <w:sz w:val="24"/>
          <w:szCs w:val="24"/>
        </w:rPr>
        <w:t xml:space="preserve"> resources are available and proportionate to </w:t>
      </w:r>
      <w:r w:rsidRPr="00683B48">
        <w:rPr>
          <w:rFonts w:cs="Arial"/>
          <w:sz w:val="24"/>
          <w:szCs w:val="24"/>
        </w:rPr>
        <w:t xml:space="preserve">expected results </w:t>
      </w:r>
    </w:p>
    <w:p w14:paraId="742DB41E" w14:textId="77777777" w:rsidR="00647EA0" w:rsidRPr="00683B48" w:rsidRDefault="00EA3BF9" w:rsidP="00FD78A5">
      <w:pPr>
        <w:pStyle w:val="ListParagraph"/>
        <w:numPr>
          <w:ilvl w:val="0"/>
          <w:numId w:val="7"/>
        </w:numPr>
        <w:jc w:val="both"/>
        <w:rPr>
          <w:rFonts w:cs="Arial"/>
          <w:sz w:val="24"/>
          <w:szCs w:val="24"/>
        </w:rPr>
      </w:pPr>
      <w:r w:rsidRPr="00683B48">
        <w:rPr>
          <w:rFonts w:cs="Arial"/>
          <w:sz w:val="24"/>
          <w:szCs w:val="24"/>
        </w:rPr>
        <w:t xml:space="preserve">Would </w:t>
      </w:r>
      <w:r w:rsidR="00647EA0" w:rsidRPr="00683B48">
        <w:rPr>
          <w:rFonts w:cs="Arial"/>
          <w:sz w:val="24"/>
          <w:szCs w:val="24"/>
        </w:rPr>
        <w:t xml:space="preserve">it be appropriate for the </w:t>
      </w:r>
      <w:r w:rsidR="00874611" w:rsidRPr="00683B48">
        <w:rPr>
          <w:rFonts w:cs="Arial"/>
          <w:sz w:val="24"/>
          <w:szCs w:val="24"/>
        </w:rPr>
        <w:t>equality body</w:t>
      </w:r>
      <w:r w:rsidR="00647EA0" w:rsidRPr="00683B48">
        <w:rPr>
          <w:rFonts w:cs="Arial"/>
          <w:sz w:val="24"/>
          <w:szCs w:val="24"/>
        </w:rPr>
        <w:t xml:space="preserve"> to act in partnership with others</w:t>
      </w:r>
      <w:r w:rsidRPr="00683B48">
        <w:rPr>
          <w:rFonts w:cs="Arial"/>
          <w:sz w:val="24"/>
          <w:szCs w:val="24"/>
        </w:rPr>
        <w:t>?</w:t>
      </w:r>
      <w:r w:rsidR="00647EA0" w:rsidRPr="00683B48">
        <w:rPr>
          <w:rFonts w:cs="Arial"/>
          <w:sz w:val="24"/>
          <w:szCs w:val="24"/>
        </w:rPr>
        <w:t xml:space="preserve"> </w:t>
      </w:r>
    </w:p>
    <w:p w14:paraId="1863CD39" w14:textId="3A8899EB" w:rsidR="00647EA0" w:rsidRPr="00683B48" w:rsidRDefault="00647EA0" w:rsidP="00FD78A5">
      <w:pPr>
        <w:jc w:val="both"/>
        <w:rPr>
          <w:rFonts w:cs="Arial"/>
          <w:sz w:val="24"/>
          <w:szCs w:val="24"/>
        </w:rPr>
      </w:pPr>
      <w:r w:rsidRPr="00683B48">
        <w:rPr>
          <w:rFonts w:cs="Arial"/>
          <w:sz w:val="24"/>
          <w:szCs w:val="24"/>
        </w:rPr>
        <w:t xml:space="preserve">Ideally, </w:t>
      </w:r>
      <w:r w:rsidR="00750926" w:rsidRPr="00683B48">
        <w:rPr>
          <w:rFonts w:cs="Arial"/>
          <w:sz w:val="24"/>
          <w:szCs w:val="24"/>
        </w:rPr>
        <w:t xml:space="preserve">the equality body’s prioritizations and </w:t>
      </w:r>
      <w:r w:rsidRPr="00683B48">
        <w:rPr>
          <w:rFonts w:cs="Arial"/>
          <w:sz w:val="24"/>
          <w:szCs w:val="24"/>
        </w:rPr>
        <w:t xml:space="preserve">assessments of the severity and frequency of a </w:t>
      </w:r>
      <w:r w:rsidR="00750926" w:rsidRPr="00683B48">
        <w:rPr>
          <w:rFonts w:cs="Arial"/>
          <w:sz w:val="24"/>
          <w:szCs w:val="24"/>
        </w:rPr>
        <w:t xml:space="preserve">given </w:t>
      </w:r>
      <w:r w:rsidRPr="00683B48">
        <w:rPr>
          <w:rFonts w:cs="Arial"/>
          <w:sz w:val="24"/>
          <w:szCs w:val="24"/>
        </w:rPr>
        <w:t xml:space="preserve">breach, </w:t>
      </w:r>
      <w:r w:rsidR="00750926" w:rsidRPr="00683B48">
        <w:rPr>
          <w:rFonts w:cs="Arial"/>
          <w:sz w:val="24"/>
          <w:szCs w:val="24"/>
        </w:rPr>
        <w:t xml:space="preserve">as well as </w:t>
      </w:r>
      <w:r w:rsidRPr="00683B48">
        <w:rPr>
          <w:rFonts w:cs="Arial"/>
          <w:sz w:val="24"/>
          <w:szCs w:val="24"/>
        </w:rPr>
        <w:t>the impact on affected groups</w:t>
      </w:r>
      <w:r w:rsidR="000A4480" w:rsidRPr="00683B48">
        <w:rPr>
          <w:rFonts w:cs="Arial"/>
          <w:sz w:val="24"/>
          <w:szCs w:val="24"/>
        </w:rPr>
        <w:t>,</w:t>
      </w:r>
      <w:r w:rsidRPr="00683B48">
        <w:rPr>
          <w:rFonts w:cs="Arial"/>
          <w:sz w:val="24"/>
          <w:szCs w:val="24"/>
        </w:rPr>
        <w:t xml:space="preserve"> should be supported by research or other evidence</w:t>
      </w:r>
      <w:r w:rsidR="00750926" w:rsidRPr="00683B48">
        <w:rPr>
          <w:rFonts w:cs="Arial"/>
          <w:sz w:val="24"/>
          <w:szCs w:val="24"/>
        </w:rPr>
        <w:t>. Th</w:t>
      </w:r>
      <w:r w:rsidR="00F65727">
        <w:rPr>
          <w:rFonts w:cs="Arial"/>
          <w:sz w:val="24"/>
          <w:szCs w:val="24"/>
        </w:rPr>
        <w:t xml:space="preserve">e presence of </w:t>
      </w:r>
      <w:r w:rsidR="00CE7BA8">
        <w:rPr>
          <w:rFonts w:cs="Arial"/>
          <w:sz w:val="24"/>
          <w:szCs w:val="24"/>
        </w:rPr>
        <w:t xml:space="preserve">such </w:t>
      </w:r>
      <w:r w:rsidR="00F65727">
        <w:rPr>
          <w:rFonts w:cs="Arial"/>
          <w:sz w:val="24"/>
          <w:szCs w:val="24"/>
        </w:rPr>
        <w:t>evidence can</w:t>
      </w:r>
      <w:r w:rsidRPr="00683B48">
        <w:rPr>
          <w:rFonts w:cs="Arial"/>
          <w:sz w:val="24"/>
          <w:szCs w:val="24"/>
        </w:rPr>
        <w:t xml:space="preserve"> </w:t>
      </w:r>
      <w:r w:rsidR="00F65727">
        <w:rPr>
          <w:rFonts w:cs="Arial"/>
          <w:sz w:val="24"/>
          <w:szCs w:val="24"/>
        </w:rPr>
        <w:t xml:space="preserve">in some instances </w:t>
      </w:r>
      <w:r w:rsidRPr="00683B48">
        <w:rPr>
          <w:rFonts w:cs="Arial"/>
          <w:sz w:val="24"/>
          <w:szCs w:val="24"/>
        </w:rPr>
        <w:t xml:space="preserve">justify </w:t>
      </w:r>
      <w:r w:rsidR="00750926" w:rsidRPr="00683B48">
        <w:rPr>
          <w:rFonts w:cs="Arial"/>
          <w:sz w:val="24"/>
          <w:szCs w:val="24"/>
        </w:rPr>
        <w:t>cho</w:t>
      </w:r>
      <w:r w:rsidR="000A4480" w:rsidRPr="00683B48">
        <w:rPr>
          <w:rFonts w:cs="Arial"/>
          <w:sz w:val="24"/>
          <w:szCs w:val="24"/>
        </w:rPr>
        <w:t>o</w:t>
      </w:r>
      <w:r w:rsidR="00750926" w:rsidRPr="00683B48">
        <w:rPr>
          <w:rFonts w:cs="Arial"/>
          <w:sz w:val="24"/>
          <w:szCs w:val="24"/>
        </w:rPr>
        <w:t xml:space="preserve">sing </w:t>
      </w:r>
      <w:r w:rsidRPr="00683B48">
        <w:rPr>
          <w:rFonts w:cs="Arial"/>
          <w:sz w:val="24"/>
          <w:szCs w:val="24"/>
        </w:rPr>
        <w:t>one case or type of case over another</w:t>
      </w:r>
      <w:r w:rsidR="00951A61">
        <w:rPr>
          <w:rFonts w:cs="Arial"/>
          <w:sz w:val="24"/>
          <w:szCs w:val="24"/>
        </w:rPr>
        <w:t xml:space="preserve"> (s</w:t>
      </w:r>
      <w:r w:rsidR="00F65727" w:rsidRPr="00683B48">
        <w:rPr>
          <w:rFonts w:cs="Arial"/>
          <w:sz w:val="24"/>
          <w:szCs w:val="24"/>
        </w:rPr>
        <w:t xml:space="preserve">ee </w:t>
      </w:r>
      <w:r w:rsidR="00F05EC4">
        <w:rPr>
          <w:rFonts w:cs="Arial"/>
          <w:sz w:val="24"/>
          <w:szCs w:val="24"/>
        </w:rPr>
        <w:t>C</w:t>
      </w:r>
      <w:r w:rsidR="00F65727" w:rsidRPr="00683B48">
        <w:rPr>
          <w:rFonts w:cs="Arial"/>
          <w:sz w:val="24"/>
          <w:szCs w:val="24"/>
        </w:rPr>
        <w:t>hapter 5 for how such information can be obtained</w:t>
      </w:r>
      <w:r w:rsidR="00951A61">
        <w:rPr>
          <w:rFonts w:cs="Arial"/>
          <w:sz w:val="24"/>
          <w:szCs w:val="24"/>
        </w:rPr>
        <w:t>)</w:t>
      </w:r>
      <w:r w:rsidR="00F65727" w:rsidRPr="00683B48">
        <w:rPr>
          <w:rFonts w:cs="Arial"/>
          <w:sz w:val="24"/>
          <w:szCs w:val="24"/>
        </w:rPr>
        <w:t xml:space="preserve">. </w:t>
      </w:r>
      <w:r w:rsidR="00951A61">
        <w:rPr>
          <w:rFonts w:cs="Arial"/>
          <w:sz w:val="24"/>
          <w:szCs w:val="24"/>
        </w:rPr>
        <w:t>Naturally, o</w:t>
      </w:r>
      <w:r w:rsidR="00F65727">
        <w:rPr>
          <w:rFonts w:cs="Arial"/>
          <w:sz w:val="24"/>
          <w:szCs w:val="24"/>
        </w:rPr>
        <w:t xml:space="preserve">ne should be </w:t>
      </w:r>
      <w:r w:rsidR="00951A61">
        <w:rPr>
          <w:rFonts w:cs="Arial"/>
          <w:sz w:val="24"/>
          <w:szCs w:val="24"/>
        </w:rPr>
        <w:t>very careful</w:t>
      </w:r>
      <w:r w:rsidR="00F65727">
        <w:rPr>
          <w:rFonts w:cs="Arial"/>
          <w:sz w:val="24"/>
          <w:szCs w:val="24"/>
        </w:rPr>
        <w:t xml:space="preserve"> drawing conclusion</w:t>
      </w:r>
      <w:r w:rsidR="00951A61">
        <w:rPr>
          <w:rFonts w:cs="Arial"/>
          <w:sz w:val="24"/>
          <w:szCs w:val="24"/>
        </w:rPr>
        <w:t>s</w:t>
      </w:r>
      <w:r w:rsidR="00F65727">
        <w:rPr>
          <w:rFonts w:cs="Arial"/>
          <w:sz w:val="24"/>
          <w:szCs w:val="24"/>
        </w:rPr>
        <w:t xml:space="preserve"> </w:t>
      </w:r>
      <w:r w:rsidR="00951A61">
        <w:rPr>
          <w:rFonts w:cs="Arial"/>
          <w:sz w:val="24"/>
          <w:szCs w:val="24"/>
        </w:rPr>
        <w:t>regarding the presence or absence of</w:t>
      </w:r>
      <w:r w:rsidR="00F65727">
        <w:rPr>
          <w:rFonts w:cs="Arial"/>
          <w:sz w:val="24"/>
          <w:szCs w:val="24"/>
        </w:rPr>
        <w:t xml:space="preserve"> discrimination</w:t>
      </w:r>
      <w:r w:rsidR="00951A61">
        <w:rPr>
          <w:rFonts w:cs="Arial"/>
          <w:sz w:val="24"/>
          <w:szCs w:val="24"/>
        </w:rPr>
        <w:t xml:space="preserve"> from</w:t>
      </w:r>
      <w:r w:rsidR="00F65727">
        <w:rPr>
          <w:rFonts w:cs="Arial"/>
          <w:sz w:val="24"/>
          <w:szCs w:val="24"/>
        </w:rPr>
        <w:t xml:space="preserve"> the relative absence of research/evidence.</w:t>
      </w:r>
      <w:r w:rsidRPr="00683B48">
        <w:rPr>
          <w:rFonts w:cs="Arial"/>
          <w:sz w:val="24"/>
          <w:szCs w:val="24"/>
        </w:rPr>
        <w:t xml:space="preserve"> </w:t>
      </w:r>
      <w:r w:rsidR="00F65727">
        <w:rPr>
          <w:rFonts w:cs="Arial"/>
          <w:sz w:val="24"/>
          <w:szCs w:val="24"/>
        </w:rPr>
        <w:t>Some forms of discrimination</w:t>
      </w:r>
      <w:r w:rsidR="00761777">
        <w:rPr>
          <w:rFonts w:cs="Arial"/>
          <w:sz w:val="24"/>
          <w:szCs w:val="24"/>
        </w:rPr>
        <w:t xml:space="preserve"> </w:t>
      </w:r>
      <w:r w:rsidR="00F65727">
        <w:rPr>
          <w:rFonts w:cs="Arial"/>
          <w:sz w:val="24"/>
          <w:szCs w:val="24"/>
        </w:rPr>
        <w:t xml:space="preserve">are </w:t>
      </w:r>
      <w:r w:rsidR="00951A61">
        <w:rPr>
          <w:rFonts w:cs="Arial"/>
          <w:sz w:val="24"/>
          <w:szCs w:val="24"/>
        </w:rPr>
        <w:t xml:space="preserve">notoriously </w:t>
      </w:r>
      <w:r w:rsidR="00F65727">
        <w:rPr>
          <w:rFonts w:cs="Arial"/>
          <w:sz w:val="24"/>
          <w:szCs w:val="24"/>
        </w:rPr>
        <w:t>difficult to pinpoint in research, some groups</w:t>
      </w:r>
      <w:r w:rsidR="00951A61">
        <w:rPr>
          <w:rFonts w:cs="Arial"/>
          <w:sz w:val="24"/>
          <w:szCs w:val="24"/>
        </w:rPr>
        <w:t xml:space="preserve"> are for </w:t>
      </w:r>
      <w:r w:rsidR="00761777">
        <w:rPr>
          <w:rFonts w:cs="Arial"/>
          <w:sz w:val="24"/>
          <w:szCs w:val="24"/>
        </w:rPr>
        <w:t xml:space="preserve">various </w:t>
      </w:r>
      <w:r w:rsidR="00951A61">
        <w:rPr>
          <w:rFonts w:cs="Arial"/>
          <w:sz w:val="24"/>
          <w:szCs w:val="24"/>
        </w:rPr>
        <w:lastRenderedPageBreak/>
        <w:t>reasons not able</w:t>
      </w:r>
      <w:r w:rsidR="00F65727">
        <w:rPr>
          <w:rFonts w:cs="Arial"/>
          <w:sz w:val="24"/>
          <w:szCs w:val="24"/>
        </w:rPr>
        <w:t xml:space="preserve"> to </w:t>
      </w:r>
      <w:r w:rsidR="001D7C9C">
        <w:rPr>
          <w:rFonts w:cs="Arial"/>
          <w:sz w:val="24"/>
          <w:szCs w:val="24"/>
        </w:rPr>
        <w:t>draw attention to the discrimination they face</w:t>
      </w:r>
      <w:r w:rsidR="00F65727">
        <w:rPr>
          <w:rFonts w:cs="Arial"/>
          <w:sz w:val="24"/>
          <w:szCs w:val="24"/>
        </w:rPr>
        <w:t>, and</w:t>
      </w:r>
      <w:r w:rsidR="00951A61">
        <w:rPr>
          <w:rFonts w:cs="Arial"/>
          <w:sz w:val="24"/>
          <w:szCs w:val="24"/>
        </w:rPr>
        <w:t>, finally,</w:t>
      </w:r>
      <w:r w:rsidR="00F65727">
        <w:rPr>
          <w:rFonts w:cs="Arial"/>
          <w:sz w:val="24"/>
          <w:szCs w:val="24"/>
        </w:rPr>
        <w:t xml:space="preserve"> discrimination on </w:t>
      </w:r>
      <w:r w:rsidR="00761777">
        <w:rPr>
          <w:rFonts w:cs="Arial"/>
          <w:sz w:val="24"/>
          <w:szCs w:val="24"/>
        </w:rPr>
        <w:t xml:space="preserve">certain </w:t>
      </w:r>
      <w:r w:rsidR="00F65727">
        <w:rPr>
          <w:rFonts w:cs="Arial"/>
          <w:sz w:val="24"/>
          <w:szCs w:val="24"/>
        </w:rPr>
        <w:t xml:space="preserve">grounds </w:t>
      </w:r>
      <w:r w:rsidR="00761777">
        <w:rPr>
          <w:rFonts w:cs="Arial"/>
          <w:sz w:val="24"/>
          <w:szCs w:val="24"/>
        </w:rPr>
        <w:t>is simply more likely to receive research funding t</w:t>
      </w:r>
      <w:r w:rsidR="00F65727">
        <w:rPr>
          <w:rFonts w:cs="Arial"/>
          <w:sz w:val="24"/>
          <w:szCs w:val="24"/>
        </w:rPr>
        <w:t xml:space="preserve">han </w:t>
      </w:r>
      <w:r w:rsidR="00761777">
        <w:rPr>
          <w:rFonts w:cs="Arial"/>
          <w:sz w:val="24"/>
          <w:szCs w:val="24"/>
        </w:rPr>
        <w:t>others.</w:t>
      </w:r>
    </w:p>
    <w:p w14:paraId="47C4D3F5" w14:textId="77777777" w:rsidR="00647EA0" w:rsidRPr="00683B48" w:rsidRDefault="00647EA0" w:rsidP="00FD78A5">
      <w:pPr>
        <w:jc w:val="both"/>
        <w:rPr>
          <w:rFonts w:cs="Arial"/>
          <w:b/>
          <w:i/>
          <w:sz w:val="24"/>
          <w:szCs w:val="24"/>
        </w:rPr>
      </w:pPr>
      <w:r w:rsidRPr="00683B48">
        <w:rPr>
          <w:rFonts w:cs="Arial"/>
          <w:b/>
          <w:i/>
          <w:sz w:val="24"/>
          <w:szCs w:val="24"/>
        </w:rPr>
        <w:t>Example:</w:t>
      </w:r>
      <w:r w:rsidRPr="00683B48">
        <w:rPr>
          <w:rFonts w:cs="Arial"/>
          <w:i/>
          <w:sz w:val="24"/>
          <w:szCs w:val="24"/>
        </w:rPr>
        <w:t xml:space="preserve"> Taking a case </w:t>
      </w:r>
      <w:r w:rsidR="007421B1" w:rsidRPr="00683B48">
        <w:rPr>
          <w:rFonts w:cs="Arial"/>
          <w:i/>
          <w:sz w:val="24"/>
          <w:szCs w:val="24"/>
        </w:rPr>
        <w:t>concerning</w:t>
      </w:r>
      <w:r w:rsidRPr="00683B48">
        <w:rPr>
          <w:rFonts w:cs="Arial"/>
          <w:i/>
          <w:sz w:val="24"/>
          <w:szCs w:val="24"/>
        </w:rPr>
        <w:t xml:space="preserve"> </w:t>
      </w:r>
      <w:r w:rsidR="007421B1" w:rsidRPr="00683B48">
        <w:rPr>
          <w:rFonts w:cs="Arial"/>
          <w:i/>
          <w:sz w:val="24"/>
          <w:szCs w:val="24"/>
        </w:rPr>
        <w:t xml:space="preserve">racial </w:t>
      </w:r>
      <w:r w:rsidRPr="00683B48">
        <w:rPr>
          <w:rFonts w:cs="Arial"/>
          <w:i/>
          <w:sz w:val="24"/>
          <w:szCs w:val="24"/>
        </w:rPr>
        <w:t xml:space="preserve">discrimination </w:t>
      </w:r>
      <w:r w:rsidR="007421B1" w:rsidRPr="00683B48">
        <w:rPr>
          <w:rFonts w:cs="Arial"/>
          <w:i/>
          <w:sz w:val="24"/>
          <w:szCs w:val="24"/>
        </w:rPr>
        <w:t>in the</w:t>
      </w:r>
      <w:r w:rsidRPr="00683B48">
        <w:rPr>
          <w:rFonts w:cs="Arial"/>
          <w:i/>
          <w:sz w:val="24"/>
          <w:szCs w:val="24"/>
        </w:rPr>
        <w:t xml:space="preserve"> insurance </w:t>
      </w:r>
      <w:r w:rsidR="007421B1" w:rsidRPr="00683B48">
        <w:rPr>
          <w:rFonts w:cs="Arial"/>
          <w:i/>
          <w:sz w:val="24"/>
          <w:szCs w:val="24"/>
        </w:rPr>
        <w:t>sector</w:t>
      </w:r>
      <w:r w:rsidR="00F65727">
        <w:rPr>
          <w:rFonts w:cs="Arial"/>
          <w:i/>
          <w:sz w:val="24"/>
          <w:szCs w:val="24"/>
        </w:rPr>
        <w:t>,</w:t>
      </w:r>
      <w:r w:rsidRPr="00683B48">
        <w:rPr>
          <w:rFonts w:cs="Arial"/>
          <w:i/>
          <w:sz w:val="24"/>
          <w:szCs w:val="24"/>
        </w:rPr>
        <w:t xml:space="preserve"> </w:t>
      </w:r>
      <w:r w:rsidR="007421B1" w:rsidRPr="00683B48">
        <w:rPr>
          <w:rFonts w:cs="Arial"/>
          <w:i/>
          <w:sz w:val="24"/>
          <w:szCs w:val="24"/>
        </w:rPr>
        <w:t>c</w:t>
      </w:r>
      <w:r w:rsidRPr="00683B48">
        <w:rPr>
          <w:rFonts w:cs="Arial"/>
          <w:i/>
          <w:sz w:val="24"/>
          <w:szCs w:val="24"/>
        </w:rPr>
        <w:t xml:space="preserve">ould be justified by </w:t>
      </w:r>
      <w:r w:rsidR="00F65727">
        <w:rPr>
          <w:rFonts w:cs="Arial"/>
          <w:i/>
          <w:sz w:val="24"/>
          <w:szCs w:val="24"/>
        </w:rPr>
        <w:t xml:space="preserve">the presence of </w:t>
      </w:r>
      <w:r w:rsidR="00761777">
        <w:rPr>
          <w:rFonts w:cs="Arial"/>
          <w:i/>
          <w:sz w:val="24"/>
          <w:szCs w:val="24"/>
        </w:rPr>
        <w:t xml:space="preserve">evidence indicating a problem. </w:t>
      </w:r>
    </w:p>
    <w:p w14:paraId="65042615" w14:textId="44472760" w:rsidR="00647EA0" w:rsidRPr="00683B48" w:rsidRDefault="00F05EC4" w:rsidP="00FD78A5">
      <w:pPr>
        <w:jc w:val="both"/>
        <w:rPr>
          <w:rFonts w:cs="Arial"/>
          <w:b/>
          <w:sz w:val="24"/>
          <w:szCs w:val="24"/>
        </w:rPr>
      </w:pPr>
      <w:r>
        <w:rPr>
          <w:rFonts w:cs="Arial"/>
          <w:b/>
          <w:sz w:val="24"/>
          <w:szCs w:val="24"/>
        </w:rPr>
        <w:t>CASE SELECTION</w:t>
      </w:r>
    </w:p>
    <w:p w14:paraId="6B35E9CA" w14:textId="77777777" w:rsidR="00647EA0" w:rsidRPr="00683B48" w:rsidRDefault="00647EA0" w:rsidP="00D055BC">
      <w:pPr>
        <w:jc w:val="both"/>
        <w:rPr>
          <w:rFonts w:cs="Arial"/>
          <w:sz w:val="24"/>
          <w:szCs w:val="24"/>
        </w:rPr>
      </w:pPr>
      <w:r w:rsidRPr="00683B48">
        <w:rPr>
          <w:rFonts w:cs="Arial"/>
          <w:sz w:val="24"/>
          <w:szCs w:val="24"/>
        </w:rPr>
        <w:t xml:space="preserve">The strategic </w:t>
      </w:r>
      <w:r w:rsidR="00233DC4" w:rsidRPr="00683B48">
        <w:rPr>
          <w:rFonts w:cs="Arial"/>
          <w:sz w:val="24"/>
          <w:szCs w:val="24"/>
        </w:rPr>
        <w:t xml:space="preserve">objectives </w:t>
      </w:r>
      <w:r w:rsidRPr="00683B48">
        <w:rPr>
          <w:rFonts w:cs="Arial"/>
          <w:sz w:val="24"/>
          <w:szCs w:val="24"/>
        </w:rPr>
        <w:t>will</w:t>
      </w:r>
      <w:r w:rsidR="00233DC4" w:rsidRPr="00683B48">
        <w:rPr>
          <w:rFonts w:cs="Arial"/>
          <w:sz w:val="24"/>
          <w:szCs w:val="24"/>
        </w:rPr>
        <w:t xml:space="preserve"> guide the</w:t>
      </w:r>
      <w:r w:rsidRPr="00683B48">
        <w:rPr>
          <w:rFonts w:cs="Arial"/>
          <w:sz w:val="24"/>
          <w:szCs w:val="24"/>
        </w:rPr>
        <w:t xml:space="preserve"> </w:t>
      </w:r>
      <w:r w:rsidR="00233DC4" w:rsidRPr="00683B48">
        <w:rPr>
          <w:rFonts w:cs="Arial"/>
          <w:sz w:val="24"/>
          <w:szCs w:val="24"/>
        </w:rPr>
        <w:t>selection of a certain type of case</w:t>
      </w:r>
      <w:r w:rsidRPr="00683B48">
        <w:rPr>
          <w:rFonts w:cs="Arial"/>
          <w:sz w:val="24"/>
          <w:szCs w:val="24"/>
        </w:rPr>
        <w:t xml:space="preserve">. </w:t>
      </w:r>
      <w:r w:rsidR="00233DC4" w:rsidRPr="00683B48">
        <w:rPr>
          <w:rFonts w:cs="Arial"/>
          <w:sz w:val="24"/>
          <w:szCs w:val="24"/>
        </w:rPr>
        <w:t>It is important to note that</w:t>
      </w:r>
      <w:r w:rsidRPr="00683B48">
        <w:rPr>
          <w:rFonts w:cs="Arial"/>
          <w:sz w:val="24"/>
          <w:szCs w:val="24"/>
        </w:rPr>
        <w:t xml:space="preserve"> there will always be an element of subjectivity involved in deciding whether one issue is more important and strategic </w:t>
      </w:r>
      <w:r w:rsidR="00233DC4" w:rsidRPr="00683B48">
        <w:rPr>
          <w:rFonts w:cs="Arial"/>
          <w:sz w:val="24"/>
          <w:szCs w:val="24"/>
        </w:rPr>
        <w:t xml:space="preserve">to pursue </w:t>
      </w:r>
      <w:r w:rsidRPr="00683B48">
        <w:rPr>
          <w:rFonts w:cs="Arial"/>
          <w:sz w:val="24"/>
          <w:szCs w:val="24"/>
        </w:rPr>
        <w:t>than another.</w:t>
      </w:r>
      <w:r w:rsidR="001D7C9C">
        <w:rPr>
          <w:rFonts w:cs="Arial"/>
          <w:sz w:val="24"/>
          <w:szCs w:val="24"/>
        </w:rPr>
        <w:t xml:space="preserve"> A certain degree of subjectivity is</w:t>
      </w:r>
      <w:r w:rsidR="00761777">
        <w:rPr>
          <w:rFonts w:cs="Arial"/>
          <w:sz w:val="24"/>
          <w:szCs w:val="24"/>
        </w:rPr>
        <w:t xml:space="preserve"> thus</w:t>
      </w:r>
      <w:r w:rsidR="001D7C9C">
        <w:rPr>
          <w:rFonts w:cs="Arial"/>
          <w:sz w:val="24"/>
          <w:szCs w:val="24"/>
        </w:rPr>
        <w:t xml:space="preserve"> inevitable, but th</w:t>
      </w:r>
      <w:r w:rsidR="00761777">
        <w:rPr>
          <w:rFonts w:cs="Arial"/>
          <w:sz w:val="24"/>
          <w:szCs w:val="24"/>
        </w:rPr>
        <w:t>e quality of the assessment can be raised</w:t>
      </w:r>
      <w:r w:rsidR="001D7C9C">
        <w:rPr>
          <w:rFonts w:cs="Arial"/>
          <w:sz w:val="24"/>
          <w:szCs w:val="24"/>
        </w:rPr>
        <w:t xml:space="preserve"> by establishing fixed </w:t>
      </w:r>
      <w:r w:rsidR="00D055BC">
        <w:rPr>
          <w:rFonts w:cs="Arial"/>
          <w:sz w:val="24"/>
          <w:szCs w:val="24"/>
        </w:rPr>
        <w:t>decision-making</w:t>
      </w:r>
      <w:r w:rsidR="001D7C9C">
        <w:rPr>
          <w:rFonts w:cs="Arial"/>
          <w:sz w:val="24"/>
          <w:szCs w:val="24"/>
        </w:rPr>
        <w:t xml:space="preserve"> structures and procedures within the body. While the form may vary, </w:t>
      </w:r>
      <w:r w:rsidR="00761777">
        <w:rPr>
          <w:rFonts w:cs="Arial"/>
          <w:sz w:val="24"/>
          <w:szCs w:val="24"/>
        </w:rPr>
        <w:t>such</w:t>
      </w:r>
      <w:r w:rsidR="001D7C9C">
        <w:rPr>
          <w:rFonts w:cs="Arial"/>
          <w:sz w:val="24"/>
          <w:szCs w:val="24"/>
        </w:rPr>
        <w:t xml:space="preserve"> structures usually involve </w:t>
      </w:r>
      <w:r w:rsidR="00D055BC">
        <w:rPr>
          <w:rFonts w:cs="Arial"/>
          <w:sz w:val="24"/>
          <w:szCs w:val="24"/>
        </w:rPr>
        <w:t>a permanent group composed of management and senior lawyers</w:t>
      </w:r>
      <w:r w:rsidR="00761777">
        <w:rPr>
          <w:rFonts w:cs="Arial"/>
          <w:sz w:val="24"/>
          <w:szCs w:val="24"/>
        </w:rPr>
        <w:t>,</w:t>
      </w:r>
      <w:r w:rsidR="00D055BC">
        <w:rPr>
          <w:rFonts w:cs="Arial"/>
          <w:sz w:val="24"/>
          <w:szCs w:val="24"/>
        </w:rPr>
        <w:t xml:space="preserve"> supplemented by persons with </w:t>
      </w:r>
      <w:r w:rsidR="00761777">
        <w:rPr>
          <w:rFonts w:cs="Arial"/>
          <w:sz w:val="24"/>
          <w:szCs w:val="24"/>
        </w:rPr>
        <w:t xml:space="preserve">the relevant </w:t>
      </w:r>
      <w:r w:rsidR="00D055BC">
        <w:rPr>
          <w:rFonts w:cs="Arial"/>
          <w:sz w:val="24"/>
          <w:szCs w:val="24"/>
        </w:rPr>
        <w:t>expert knowledge</w:t>
      </w:r>
      <w:r w:rsidR="00761777">
        <w:rPr>
          <w:rFonts w:cs="Arial"/>
          <w:sz w:val="24"/>
          <w:szCs w:val="24"/>
        </w:rPr>
        <w:t xml:space="preserve">. </w:t>
      </w:r>
    </w:p>
    <w:p w14:paraId="0E56D562" w14:textId="77777777" w:rsidR="00F3376D" w:rsidRDefault="00647EA0" w:rsidP="00FD78A5">
      <w:pPr>
        <w:jc w:val="both"/>
        <w:rPr>
          <w:rFonts w:cs="Arial"/>
          <w:sz w:val="24"/>
          <w:szCs w:val="24"/>
        </w:rPr>
      </w:pPr>
      <w:r w:rsidRPr="00683B48">
        <w:rPr>
          <w:rFonts w:cs="Arial"/>
          <w:sz w:val="24"/>
          <w:szCs w:val="24"/>
        </w:rPr>
        <w:t xml:space="preserve">If the </w:t>
      </w:r>
      <w:r w:rsidR="00037489" w:rsidRPr="00683B48">
        <w:rPr>
          <w:rFonts w:cs="Arial"/>
          <w:sz w:val="24"/>
          <w:szCs w:val="24"/>
        </w:rPr>
        <w:t xml:space="preserve">objective </w:t>
      </w:r>
      <w:r w:rsidRPr="00683B48">
        <w:rPr>
          <w:rFonts w:cs="Arial"/>
          <w:sz w:val="24"/>
          <w:szCs w:val="24"/>
        </w:rPr>
        <w:t xml:space="preserve">is to clarify a point of law, it is </w:t>
      </w:r>
      <w:r w:rsidR="00CF2476" w:rsidRPr="00683B48">
        <w:rPr>
          <w:rFonts w:cs="Arial"/>
          <w:sz w:val="24"/>
          <w:szCs w:val="24"/>
        </w:rPr>
        <w:t xml:space="preserve">prudent </w:t>
      </w:r>
      <w:r w:rsidRPr="00683B48">
        <w:rPr>
          <w:rFonts w:cs="Arial"/>
          <w:sz w:val="24"/>
          <w:szCs w:val="24"/>
        </w:rPr>
        <w:t>to choose a case w</w:t>
      </w:r>
      <w:r w:rsidR="00F3376D">
        <w:rPr>
          <w:rFonts w:cs="Arial"/>
          <w:sz w:val="24"/>
          <w:szCs w:val="24"/>
        </w:rPr>
        <w:t>h</w:t>
      </w:r>
      <w:r w:rsidRPr="00683B48">
        <w:rPr>
          <w:rFonts w:cs="Arial"/>
          <w:sz w:val="24"/>
          <w:szCs w:val="24"/>
        </w:rPr>
        <w:t>ere the facts are not in dispute</w:t>
      </w:r>
      <w:r w:rsidR="00CF2476" w:rsidRPr="00683B48">
        <w:rPr>
          <w:rFonts w:cs="Arial"/>
          <w:sz w:val="24"/>
          <w:szCs w:val="24"/>
        </w:rPr>
        <w:t>. O</w:t>
      </w:r>
      <w:r w:rsidRPr="00683B48">
        <w:rPr>
          <w:rFonts w:cs="Arial"/>
          <w:sz w:val="24"/>
          <w:szCs w:val="24"/>
        </w:rPr>
        <w:t xml:space="preserve">therwise, there is a risk that the court will </w:t>
      </w:r>
      <w:r w:rsidR="00F3376D">
        <w:rPr>
          <w:rFonts w:cs="Arial"/>
          <w:sz w:val="24"/>
          <w:szCs w:val="24"/>
        </w:rPr>
        <w:t>focus on</w:t>
      </w:r>
      <w:r w:rsidRPr="00683B48">
        <w:rPr>
          <w:rFonts w:cs="Arial"/>
          <w:sz w:val="24"/>
          <w:szCs w:val="24"/>
        </w:rPr>
        <w:t xml:space="preserve"> the factual dispute</w:t>
      </w:r>
      <w:r w:rsidR="00F3376D">
        <w:rPr>
          <w:rFonts w:cs="Arial"/>
          <w:sz w:val="24"/>
          <w:szCs w:val="24"/>
        </w:rPr>
        <w:t xml:space="preserve">, and find a way to resolve the case without trying the contentious point of law. </w:t>
      </w:r>
    </w:p>
    <w:p w14:paraId="3444D2C4" w14:textId="77777777" w:rsidR="00D055BC" w:rsidRDefault="00647EA0" w:rsidP="00FD78A5">
      <w:pPr>
        <w:jc w:val="both"/>
        <w:rPr>
          <w:rFonts w:cs="Arial"/>
          <w:i/>
          <w:sz w:val="24"/>
          <w:szCs w:val="24"/>
        </w:rPr>
      </w:pPr>
      <w:r w:rsidRPr="00683B48">
        <w:rPr>
          <w:rFonts w:cs="Arial"/>
          <w:b/>
          <w:i/>
          <w:sz w:val="24"/>
          <w:szCs w:val="24"/>
        </w:rPr>
        <w:t xml:space="preserve">Example: </w:t>
      </w:r>
      <w:r w:rsidRPr="00683B48">
        <w:rPr>
          <w:rFonts w:cs="Arial"/>
          <w:i/>
          <w:sz w:val="24"/>
          <w:szCs w:val="24"/>
        </w:rPr>
        <w:t xml:space="preserve">In a case </w:t>
      </w:r>
      <w:r w:rsidR="002444FC" w:rsidRPr="00683B48">
        <w:rPr>
          <w:rFonts w:cs="Arial"/>
          <w:i/>
          <w:sz w:val="24"/>
          <w:szCs w:val="24"/>
        </w:rPr>
        <w:t xml:space="preserve">concerning </w:t>
      </w:r>
      <w:r w:rsidR="00D055BC">
        <w:rPr>
          <w:rFonts w:cs="Arial"/>
          <w:i/>
          <w:sz w:val="24"/>
          <w:szCs w:val="24"/>
        </w:rPr>
        <w:t>whether</w:t>
      </w:r>
      <w:r w:rsidR="002444FC" w:rsidRPr="00683B48">
        <w:rPr>
          <w:rFonts w:cs="Arial"/>
          <w:i/>
          <w:sz w:val="24"/>
          <w:szCs w:val="24"/>
        </w:rPr>
        <w:t xml:space="preserve"> </w:t>
      </w:r>
      <w:r w:rsidR="00D055BC">
        <w:rPr>
          <w:rFonts w:cs="Arial"/>
          <w:i/>
          <w:sz w:val="24"/>
          <w:szCs w:val="24"/>
        </w:rPr>
        <w:t>a</w:t>
      </w:r>
      <w:r w:rsidR="002444FC" w:rsidRPr="00683B48">
        <w:rPr>
          <w:rFonts w:cs="Arial"/>
          <w:i/>
          <w:sz w:val="24"/>
          <w:szCs w:val="24"/>
        </w:rPr>
        <w:t xml:space="preserve"> </w:t>
      </w:r>
      <w:r w:rsidRPr="00683B48">
        <w:rPr>
          <w:rFonts w:cs="Arial"/>
          <w:i/>
          <w:sz w:val="24"/>
          <w:szCs w:val="24"/>
        </w:rPr>
        <w:t>refusal of service</w:t>
      </w:r>
      <w:r w:rsidR="00D055BC">
        <w:rPr>
          <w:rFonts w:cs="Arial"/>
          <w:i/>
          <w:sz w:val="24"/>
          <w:szCs w:val="24"/>
        </w:rPr>
        <w:t xml:space="preserve"> was lawful or not</w:t>
      </w:r>
      <w:r w:rsidRPr="00683B48">
        <w:rPr>
          <w:rFonts w:cs="Arial"/>
          <w:i/>
          <w:sz w:val="24"/>
          <w:szCs w:val="24"/>
        </w:rPr>
        <w:t xml:space="preserve">, it is helpful if </w:t>
      </w:r>
      <w:r w:rsidR="00C54D43" w:rsidRPr="00683B48">
        <w:rPr>
          <w:rFonts w:cs="Arial"/>
          <w:i/>
          <w:sz w:val="24"/>
          <w:szCs w:val="24"/>
        </w:rPr>
        <w:t xml:space="preserve">it </w:t>
      </w:r>
      <w:r w:rsidR="00D055BC">
        <w:rPr>
          <w:rFonts w:cs="Arial"/>
          <w:i/>
          <w:sz w:val="24"/>
          <w:szCs w:val="24"/>
        </w:rPr>
        <w:t xml:space="preserve">is not in </w:t>
      </w:r>
      <w:r w:rsidRPr="00683B48">
        <w:rPr>
          <w:rFonts w:cs="Arial"/>
          <w:i/>
          <w:sz w:val="24"/>
          <w:szCs w:val="24"/>
        </w:rPr>
        <w:t>dispute</w:t>
      </w:r>
      <w:r w:rsidR="00D055BC">
        <w:rPr>
          <w:rFonts w:cs="Arial"/>
          <w:i/>
          <w:sz w:val="24"/>
          <w:szCs w:val="24"/>
        </w:rPr>
        <w:t xml:space="preserve"> that the claimant</w:t>
      </w:r>
      <w:r w:rsidRPr="00683B48">
        <w:rPr>
          <w:rFonts w:cs="Arial"/>
          <w:i/>
          <w:sz w:val="24"/>
          <w:szCs w:val="24"/>
        </w:rPr>
        <w:t xml:space="preserve"> was </w:t>
      </w:r>
      <w:r w:rsidR="00CE7BA8">
        <w:rPr>
          <w:rFonts w:cs="Arial"/>
          <w:i/>
          <w:sz w:val="24"/>
          <w:szCs w:val="24"/>
        </w:rPr>
        <w:t xml:space="preserve">in fact </w:t>
      </w:r>
      <w:r w:rsidRPr="00683B48">
        <w:rPr>
          <w:rFonts w:cs="Arial"/>
          <w:i/>
          <w:sz w:val="24"/>
          <w:szCs w:val="24"/>
        </w:rPr>
        <w:t>refused service</w:t>
      </w:r>
      <w:r w:rsidR="00D055BC">
        <w:rPr>
          <w:rFonts w:cs="Arial"/>
          <w:i/>
          <w:sz w:val="24"/>
          <w:szCs w:val="24"/>
        </w:rPr>
        <w:t xml:space="preserve">. </w:t>
      </w:r>
    </w:p>
    <w:p w14:paraId="4F566B97" w14:textId="77777777" w:rsidR="00647EA0" w:rsidRPr="00683B48" w:rsidRDefault="00647EA0" w:rsidP="00FD78A5">
      <w:pPr>
        <w:jc w:val="both"/>
        <w:rPr>
          <w:rFonts w:cs="Arial"/>
          <w:sz w:val="24"/>
          <w:szCs w:val="24"/>
        </w:rPr>
      </w:pPr>
      <w:r w:rsidRPr="00683B48">
        <w:rPr>
          <w:rFonts w:cs="Arial"/>
          <w:sz w:val="24"/>
          <w:szCs w:val="24"/>
        </w:rPr>
        <w:t xml:space="preserve">If the </w:t>
      </w:r>
      <w:r w:rsidR="00B1211F" w:rsidRPr="00683B48">
        <w:rPr>
          <w:rFonts w:cs="Arial"/>
          <w:sz w:val="24"/>
          <w:szCs w:val="24"/>
        </w:rPr>
        <w:t xml:space="preserve">objective </w:t>
      </w:r>
      <w:r w:rsidRPr="00683B48">
        <w:rPr>
          <w:rFonts w:cs="Arial"/>
          <w:sz w:val="24"/>
          <w:szCs w:val="24"/>
        </w:rPr>
        <w:t xml:space="preserve">is to raise awareness </w:t>
      </w:r>
      <w:r w:rsidR="00B1211F" w:rsidRPr="00683B48">
        <w:rPr>
          <w:rFonts w:cs="Arial"/>
          <w:sz w:val="24"/>
          <w:szCs w:val="24"/>
        </w:rPr>
        <w:t xml:space="preserve">or create </w:t>
      </w:r>
      <w:r w:rsidRPr="00683B48">
        <w:rPr>
          <w:rFonts w:cs="Arial"/>
          <w:sz w:val="24"/>
          <w:szCs w:val="24"/>
        </w:rPr>
        <w:t xml:space="preserve">media publicity </w:t>
      </w:r>
      <w:r w:rsidR="00B1211F" w:rsidRPr="00683B48">
        <w:rPr>
          <w:rFonts w:cs="Arial"/>
          <w:sz w:val="24"/>
          <w:szCs w:val="24"/>
        </w:rPr>
        <w:t xml:space="preserve">concerning </w:t>
      </w:r>
      <w:r w:rsidRPr="00683B48">
        <w:rPr>
          <w:rFonts w:cs="Arial"/>
          <w:sz w:val="24"/>
          <w:szCs w:val="24"/>
        </w:rPr>
        <w:t xml:space="preserve">a particular problem, the circumstances of the case must serve to </w:t>
      </w:r>
      <w:r w:rsidR="00CE7BA8">
        <w:rPr>
          <w:rFonts w:cs="Arial"/>
          <w:sz w:val="24"/>
          <w:szCs w:val="24"/>
        </w:rPr>
        <w:t xml:space="preserve">clearly </w:t>
      </w:r>
      <w:r w:rsidRPr="00683B48">
        <w:rPr>
          <w:rFonts w:cs="Arial"/>
          <w:sz w:val="24"/>
          <w:szCs w:val="24"/>
        </w:rPr>
        <w:t xml:space="preserve">illustrate that problem. </w:t>
      </w:r>
    </w:p>
    <w:p w14:paraId="416A5726" w14:textId="77777777" w:rsidR="006D5692" w:rsidRDefault="006D5692" w:rsidP="00FD78A5">
      <w:pPr>
        <w:jc w:val="both"/>
        <w:rPr>
          <w:rFonts w:cs="Arial"/>
          <w:sz w:val="24"/>
          <w:szCs w:val="24"/>
        </w:rPr>
      </w:pPr>
      <w:r w:rsidRPr="006D5692">
        <w:rPr>
          <w:rFonts w:cs="Arial"/>
          <w:sz w:val="24"/>
          <w:szCs w:val="24"/>
        </w:rPr>
        <w:t>In situations where the aim is to</w:t>
      </w:r>
      <w:r>
        <w:rPr>
          <w:rFonts w:cs="Arial"/>
          <w:sz w:val="24"/>
          <w:szCs w:val="24"/>
        </w:rPr>
        <w:t xml:space="preserve"> push for a change of the legal, </w:t>
      </w:r>
      <w:r w:rsidRPr="006D5692">
        <w:rPr>
          <w:rFonts w:cs="Arial"/>
          <w:sz w:val="24"/>
          <w:szCs w:val="24"/>
        </w:rPr>
        <w:t>political</w:t>
      </w:r>
      <w:r>
        <w:rPr>
          <w:rFonts w:cs="Arial"/>
          <w:sz w:val="24"/>
          <w:szCs w:val="24"/>
        </w:rPr>
        <w:t xml:space="preserve">, or </w:t>
      </w:r>
      <w:r w:rsidRPr="006D5692">
        <w:rPr>
          <w:rFonts w:cs="Arial"/>
          <w:sz w:val="24"/>
          <w:szCs w:val="24"/>
        </w:rPr>
        <w:t>societal status quo, the case must in addition have a strong moral dimension where there are good chances a court (or the media) will find it reasonable to condemn the perpetrator of discrim</w:t>
      </w:r>
      <w:r>
        <w:rPr>
          <w:rFonts w:cs="Arial"/>
          <w:sz w:val="24"/>
          <w:szCs w:val="24"/>
        </w:rPr>
        <w:t>ination and find for the victim.</w:t>
      </w:r>
    </w:p>
    <w:p w14:paraId="279E17BC" w14:textId="4E7D9252" w:rsidR="00647EA0" w:rsidRPr="00683B48" w:rsidRDefault="00647EA0" w:rsidP="00FD78A5">
      <w:pPr>
        <w:jc w:val="both"/>
        <w:rPr>
          <w:rFonts w:cs="Arial"/>
          <w:sz w:val="24"/>
          <w:szCs w:val="24"/>
        </w:rPr>
      </w:pPr>
      <w:r w:rsidRPr="00683B48">
        <w:rPr>
          <w:rFonts w:cs="Arial"/>
          <w:sz w:val="24"/>
          <w:szCs w:val="24"/>
        </w:rPr>
        <w:t xml:space="preserve">Considering the difficulties and the potential negative impact of losing strategic cases, equality bodies should not become involved in litigation until the four questions below have been fully answered: </w:t>
      </w:r>
    </w:p>
    <w:p w14:paraId="77015359" w14:textId="77777777" w:rsidR="00647EA0" w:rsidRPr="00683B48" w:rsidRDefault="00647EA0" w:rsidP="00FD78A5">
      <w:pPr>
        <w:pStyle w:val="ListParagraph"/>
        <w:numPr>
          <w:ilvl w:val="0"/>
          <w:numId w:val="6"/>
        </w:numPr>
        <w:jc w:val="both"/>
        <w:rPr>
          <w:rFonts w:cs="Arial"/>
          <w:sz w:val="24"/>
          <w:szCs w:val="24"/>
        </w:rPr>
      </w:pPr>
      <w:r w:rsidRPr="00683B48">
        <w:rPr>
          <w:rFonts w:cs="Arial"/>
          <w:sz w:val="24"/>
          <w:szCs w:val="24"/>
        </w:rPr>
        <w:t xml:space="preserve">What happened? </w:t>
      </w:r>
    </w:p>
    <w:p w14:paraId="08E76530" w14:textId="77777777" w:rsidR="00C772BF" w:rsidRDefault="00647EA0" w:rsidP="00C772BF">
      <w:pPr>
        <w:pStyle w:val="ListParagraph"/>
        <w:numPr>
          <w:ilvl w:val="0"/>
          <w:numId w:val="6"/>
        </w:numPr>
        <w:jc w:val="both"/>
        <w:rPr>
          <w:rFonts w:cs="Arial"/>
          <w:sz w:val="24"/>
          <w:szCs w:val="24"/>
        </w:rPr>
      </w:pPr>
      <w:r w:rsidRPr="00683B48">
        <w:rPr>
          <w:rFonts w:cs="Arial"/>
          <w:sz w:val="24"/>
          <w:szCs w:val="24"/>
        </w:rPr>
        <w:t>What was the reason for the treatment</w:t>
      </w:r>
      <w:r w:rsidR="00F00C08" w:rsidRPr="00683B48">
        <w:rPr>
          <w:rFonts w:cs="Arial"/>
          <w:sz w:val="24"/>
          <w:szCs w:val="24"/>
        </w:rPr>
        <w:t xml:space="preserve"> in question</w:t>
      </w:r>
      <w:r w:rsidR="00C772BF">
        <w:rPr>
          <w:rFonts w:cs="Arial"/>
          <w:sz w:val="24"/>
          <w:szCs w:val="24"/>
        </w:rPr>
        <w:t>?</w:t>
      </w:r>
    </w:p>
    <w:p w14:paraId="388D95FC" w14:textId="77777777" w:rsidR="006F3139" w:rsidRPr="006F3139" w:rsidRDefault="006F3139" w:rsidP="006F3139">
      <w:pPr>
        <w:pStyle w:val="ListParagraph"/>
        <w:numPr>
          <w:ilvl w:val="0"/>
          <w:numId w:val="6"/>
        </w:numPr>
        <w:jc w:val="both"/>
        <w:rPr>
          <w:rFonts w:cs="Arial"/>
          <w:sz w:val="24"/>
          <w:szCs w:val="24"/>
        </w:rPr>
      </w:pPr>
      <w:r w:rsidRPr="006F3139">
        <w:rPr>
          <w:rFonts w:cs="Arial"/>
          <w:sz w:val="24"/>
          <w:szCs w:val="24"/>
        </w:rPr>
        <w:t>Why Is What Happened Problematic from a Legal Standpoint?</w:t>
      </w:r>
    </w:p>
    <w:p w14:paraId="6D5BB928" w14:textId="26DF88A5" w:rsidR="00A727E3" w:rsidRPr="008A0FCE" w:rsidRDefault="00C772BF">
      <w:pPr>
        <w:pStyle w:val="ListParagraph"/>
        <w:numPr>
          <w:ilvl w:val="0"/>
          <w:numId w:val="6"/>
        </w:numPr>
        <w:jc w:val="both"/>
        <w:rPr>
          <w:rFonts w:cs="Arial"/>
          <w:sz w:val="24"/>
          <w:szCs w:val="24"/>
        </w:rPr>
      </w:pPr>
      <w:r>
        <w:rPr>
          <w:rFonts w:cs="Arial"/>
          <w:sz w:val="24"/>
          <w:szCs w:val="24"/>
        </w:rPr>
        <w:t>W</w:t>
      </w:r>
      <w:r w:rsidR="008174C1">
        <w:rPr>
          <w:rFonts w:cs="Arial"/>
          <w:sz w:val="24"/>
          <w:szCs w:val="24"/>
        </w:rPr>
        <w:t>hat are the relevant</w:t>
      </w:r>
      <w:r>
        <w:rPr>
          <w:rFonts w:cs="Arial"/>
          <w:sz w:val="24"/>
          <w:szCs w:val="24"/>
        </w:rPr>
        <w:t xml:space="preserve"> policy</w:t>
      </w:r>
      <w:r w:rsidR="008174C1">
        <w:rPr>
          <w:rFonts w:cs="Arial"/>
          <w:sz w:val="24"/>
          <w:szCs w:val="24"/>
        </w:rPr>
        <w:t xml:space="preserve"> considerations</w:t>
      </w:r>
      <w:r>
        <w:rPr>
          <w:rFonts w:cs="Arial"/>
          <w:sz w:val="24"/>
          <w:szCs w:val="24"/>
        </w:rPr>
        <w:t xml:space="preserve">? </w:t>
      </w:r>
    </w:p>
    <w:p w14:paraId="72DB2006" w14:textId="77777777" w:rsidR="00647EA0" w:rsidRDefault="00F00C08" w:rsidP="00FD78A5">
      <w:pPr>
        <w:jc w:val="both"/>
        <w:rPr>
          <w:rFonts w:cs="Arial"/>
          <w:sz w:val="24"/>
          <w:szCs w:val="24"/>
        </w:rPr>
      </w:pPr>
      <w:r w:rsidRPr="00683B48">
        <w:rPr>
          <w:rFonts w:cs="Arial"/>
          <w:sz w:val="24"/>
          <w:szCs w:val="24"/>
        </w:rPr>
        <w:t xml:space="preserve">An additional question which should be answered affirmatively is whether </w:t>
      </w:r>
      <w:r w:rsidR="00443B48" w:rsidRPr="00683B48">
        <w:rPr>
          <w:rFonts w:cs="Arial"/>
          <w:sz w:val="24"/>
          <w:szCs w:val="24"/>
        </w:rPr>
        <w:t xml:space="preserve">the </w:t>
      </w:r>
      <w:r w:rsidR="00582862" w:rsidRPr="00683B48">
        <w:rPr>
          <w:rFonts w:cs="Arial"/>
          <w:sz w:val="24"/>
          <w:szCs w:val="24"/>
        </w:rPr>
        <w:t>equality body</w:t>
      </w:r>
      <w:r w:rsidR="00443B48" w:rsidRPr="00683B48">
        <w:rPr>
          <w:rFonts w:cs="Arial"/>
          <w:sz w:val="24"/>
          <w:szCs w:val="24"/>
        </w:rPr>
        <w:t xml:space="preserve"> ha</w:t>
      </w:r>
      <w:r w:rsidRPr="00683B48">
        <w:rPr>
          <w:rFonts w:cs="Arial"/>
          <w:sz w:val="24"/>
          <w:szCs w:val="24"/>
        </w:rPr>
        <w:t>s</w:t>
      </w:r>
      <w:r w:rsidR="00443B48" w:rsidRPr="00683B48">
        <w:rPr>
          <w:rFonts w:cs="Arial"/>
          <w:sz w:val="24"/>
          <w:szCs w:val="24"/>
        </w:rPr>
        <w:t xml:space="preserve"> sufficient resources to cover the </w:t>
      </w:r>
      <w:r w:rsidRPr="00683B48">
        <w:rPr>
          <w:rFonts w:cs="Arial"/>
          <w:sz w:val="24"/>
          <w:szCs w:val="24"/>
        </w:rPr>
        <w:t xml:space="preserve">litigation </w:t>
      </w:r>
      <w:r w:rsidR="00443B48" w:rsidRPr="00683B48">
        <w:rPr>
          <w:rFonts w:cs="Arial"/>
          <w:sz w:val="24"/>
          <w:szCs w:val="24"/>
        </w:rPr>
        <w:t>costs?</w:t>
      </w:r>
    </w:p>
    <w:p w14:paraId="426339EB" w14:textId="77777777" w:rsidR="006F3139" w:rsidRPr="00683B48" w:rsidRDefault="006F3139" w:rsidP="00FD78A5">
      <w:pPr>
        <w:jc w:val="both"/>
        <w:rPr>
          <w:rFonts w:cs="Arial"/>
          <w:b/>
          <w:sz w:val="24"/>
          <w:szCs w:val="24"/>
        </w:rPr>
      </w:pPr>
    </w:p>
    <w:p w14:paraId="5B6886FB" w14:textId="77777777" w:rsidR="00647EA0" w:rsidRPr="006F3139" w:rsidRDefault="00647EA0" w:rsidP="006F3139">
      <w:pPr>
        <w:pStyle w:val="ListParagraph"/>
        <w:numPr>
          <w:ilvl w:val="0"/>
          <w:numId w:val="14"/>
        </w:numPr>
        <w:jc w:val="both"/>
        <w:rPr>
          <w:rFonts w:cs="Arial"/>
          <w:b/>
          <w:sz w:val="24"/>
          <w:szCs w:val="24"/>
          <w:u w:val="single"/>
        </w:rPr>
      </w:pPr>
      <w:r w:rsidRPr="006F3139">
        <w:rPr>
          <w:rFonts w:cs="Arial"/>
          <w:b/>
          <w:sz w:val="24"/>
          <w:szCs w:val="24"/>
          <w:u w:val="single"/>
        </w:rPr>
        <w:lastRenderedPageBreak/>
        <w:t xml:space="preserve">What </w:t>
      </w:r>
      <w:r w:rsidR="008174C1" w:rsidRPr="006F3139">
        <w:rPr>
          <w:rFonts w:cs="Arial"/>
          <w:b/>
          <w:sz w:val="24"/>
          <w:szCs w:val="24"/>
          <w:u w:val="single"/>
        </w:rPr>
        <w:t>H</w:t>
      </w:r>
      <w:r w:rsidRPr="006F3139">
        <w:rPr>
          <w:rFonts w:cs="Arial"/>
          <w:b/>
          <w:sz w:val="24"/>
          <w:szCs w:val="24"/>
          <w:u w:val="single"/>
        </w:rPr>
        <w:t>appened?</w:t>
      </w:r>
    </w:p>
    <w:p w14:paraId="540F2E50" w14:textId="77777777" w:rsidR="00647EA0" w:rsidRPr="00683B48" w:rsidRDefault="00647EA0" w:rsidP="00FD78A5">
      <w:pPr>
        <w:jc w:val="both"/>
        <w:rPr>
          <w:rFonts w:cs="Arial"/>
          <w:sz w:val="24"/>
          <w:szCs w:val="24"/>
        </w:rPr>
      </w:pPr>
      <w:r w:rsidRPr="00683B48">
        <w:rPr>
          <w:rFonts w:cs="Arial"/>
          <w:sz w:val="24"/>
          <w:szCs w:val="24"/>
        </w:rPr>
        <w:t xml:space="preserve">It is essential to have an accurate account of the facts. Simply relying on the victim’s story </w:t>
      </w:r>
      <w:r w:rsidR="00504985" w:rsidRPr="00683B48">
        <w:rPr>
          <w:rFonts w:cs="Arial"/>
          <w:sz w:val="24"/>
          <w:szCs w:val="24"/>
        </w:rPr>
        <w:t xml:space="preserve">is </w:t>
      </w:r>
      <w:r w:rsidRPr="00683B48">
        <w:rPr>
          <w:rFonts w:cs="Arial"/>
          <w:sz w:val="24"/>
          <w:szCs w:val="24"/>
        </w:rPr>
        <w:t xml:space="preserve">not sufficient. The facts should </w:t>
      </w:r>
      <w:r w:rsidR="00504985" w:rsidRPr="00683B48">
        <w:rPr>
          <w:rFonts w:cs="Arial"/>
          <w:sz w:val="24"/>
          <w:szCs w:val="24"/>
        </w:rPr>
        <w:t xml:space="preserve">always </w:t>
      </w:r>
      <w:r w:rsidRPr="00683B48">
        <w:rPr>
          <w:rFonts w:cs="Arial"/>
          <w:sz w:val="24"/>
          <w:szCs w:val="24"/>
        </w:rPr>
        <w:t xml:space="preserve">be </w:t>
      </w:r>
      <w:r w:rsidR="00504985" w:rsidRPr="00683B48">
        <w:rPr>
          <w:rFonts w:cs="Arial"/>
          <w:sz w:val="24"/>
          <w:szCs w:val="24"/>
        </w:rPr>
        <w:t xml:space="preserve">verified </w:t>
      </w:r>
      <w:r w:rsidRPr="00683B48">
        <w:rPr>
          <w:rFonts w:cs="Arial"/>
          <w:sz w:val="24"/>
          <w:szCs w:val="24"/>
        </w:rPr>
        <w:t xml:space="preserve">against the </w:t>
      </w:r>
      <w:r w:rsidR="00504985" w:rsidRPr="00683B48">
        <w:rPr>
          <w:rFonts w:cs="Arial"/>
          <w:sz w:val="24"/>
          <w:szCs w:val="24"/>
        </w:rPr>
        <w:t xml:space="preserve">opposing side’s </w:t>
      </w:r>
      <w:r w:rsidRPr="00683B48">
        <w:rPr>
          <w:rFonts w:cs="Arial"/>
          <w:sz w:val="24"/>
          <w:szCs w:val="24"/>
        </w:rPr>
        <w:t>story,</w:t>
      </w:r>
      <w:r w:rsidR="00504985" w:rsidRPr="00683B48">
        <w:rPr>
          <w:rFonts w:cs="Arial"/>
          <w:sz w:val="24"/>
          <w:szCs w:val="24"/>
        </w:rPr>
        <w:t xml:space="preserve"> and this should </w:t>
      </w:r>
      <w:r w:rsidR="00164853" w:rsidRPr="00683B48">
        <w:rPr>
          <w:rFonts w:cs="Arial"/>
          <w:sz w:val="24"/>
          <w:szCs w:val="24"/>
        </w:rPr>
        <w:t>prefer</w:t>
      </w:r>
      <w:r w:rsidR="00504985" w:rsidRPr="00683B48">
        <w:rPr>
          <w:rFonts w:cs="Arial"/>
          <w:sz w:val="24"/>
          <w:szCs w:val="24"/>
        </w:rPr>
        <w:t>a</w:t>
      </w:r>
      <w:r w:rsidR="00164853" w:rsidRPr="00683B48">
        <w:rPr>
          <w:rFonts w:cs="Arial"/>
          <w:sz w:val="24"/>
          <w:szCs w:val="24"/>
        </w:rPr>
        <w:t>bly</w:t>
      </w:r>
      <w:r w:rsidRPr="00683B48">
        <w:rPr>
          <w:rFonts w:cs="Arial"/>
          <w:sz w:val="24"/>
          <w:szCs w:val="24"/>
        </w:rPr>
        <w:t xml:space="preserve"> </w:t>
      </w:r>
      <w:r w:rsidR="00504985" w:rsidRPr="00683B48">
        <w:rPr>
          <w:rFonts w:cs="Arial"/>
          <w:sz w:val="24"/>
          <w:szCs w:val="24"/>
        </w:rPr>
        <w:t xml:space="preserve">be done prior to initiating a </w:t>
      </w:r>
      <w:r w:rsidRPr="00683B48">
        <w:rPr>
          <w:rFonts w:cs="Arial"/>
          <w:sz w:val="24"/>
          <w:szCs w:val="24"/>
        </w:rPr>
        <w:t>claim</w:t>
      </w:r>
      <w:r w:rsidR="00CA316A" w:rsidRPr="00683B48">
        <w:rPr>
          <w:rFonts w:cs="Arial"/>
          <w:sz w:val="24"/>
          <w:szCs w:val="24"/>
        </w:rPr>
        <w:t xml:space="preserve"> (</w:t>
      </w:r>
      <w:r w:rsidR="00504985" w:rsidRPr="00683B48">
        <w:rPr>
          <w:rFonts w:cs="Arial"/>
          <w:sz w:val="24"/>
          <w:szCs w:val="24"/>
        </w:rPr>
        <w:t xml:space="preserve">there are however instances where </w:t>
      </w:r>
      <w:r w:rsidR="006C0D3E" w:rsidRPr="00683B48">
        <w:rPr>
          <w:rFonts w:cs="Arial"/>
          <w:sz w:val="24"/>
          <w:szCs w:val="24"/>
        </w:rPr>
        <w:t xml:space="preserve">suit needs to be filed </w:t>
      </w:r>
      <w:r w:rsidRPr="00683B48">
        <w:rPr>
          <w:rFonts w:cs="Arial"/>
          <w:sz w:val="24"/>
          <w:szCs w:val="24"/>
        </w:rPr>
        <w:t xml:space="preserve">before they are fully investigated due to time limit issues). </w:t>
      </w:r>
    </w:p>
    <w:p w14:paraId="657098D0" w14:textId="73B1B5F3" w:rsidR="00647EA0" w:rsidRPr="00683B48" w:rsidRDefault="00647EA0" w:rsidP="00FD78A5">
      <w:pPr>
        <w:jc w:val="both"/>
        <w:rPr>
          <w:rFonts w:cs="Arial"/>
          <w:sz w:val="24"/>
          <w:szCs w:val="24"/>
        </w:rPr>
      </w:pPr>
      <w:r w:rsidRPr="00683B48">
        <w:rPr>
          <w:rFonts w:cs="Arial"/>
          <w:sz w:val="24"/>
          <w:szCs w:val="24"/>
        </w:rPr>
        <w:t>There</w:t>
      </w:r>
      <w:r w:rsidR="006C0D3E" w:rsidRPr="00683B48">
        <w:rPr>
          <w:rFonts w:cs="Arial"/>
          <w:sz w:val="24"/>
          <w:szCs w:val="24"/>
        </w:rPr>
        <w:t xml:space="preserve"> is always a</w:t>
      </w:r>
      <w:r w:rsidRPr="00683B48">
        <w:rPr>
          <w:rFonts w:cs="Arial"/>
          <w:sz w:val="24"/>
          <w:szCs w:val="24"/>
        </w:rPr>
        <w:t xml:space="preserve"> risk</w:t>
      </w:r>
      <w:r w:rsidR="006C0D3E" w:rsidRPr="00683B48">
        <w:rPr>
          <w:rFonts w:cs="Arial"/>
          <w:sz w:val="24"/>
          <w:szCs w:val="24"/>
        </w:rPr>
        <w:t xml:space="preserve"> that</w:t>
      </w:r>
      <w:r w:rsidRPr="00683B48">
        <w:rPr>
          <w:rFonts w:cs="Arial"/>
          <w:sz w:val="24"/>
          <w:szCs w:val="24"/>
        </w:rPr>
        <w:t xml:space="preserve"> the victim’s experience of what happened has been coloured by </w:t>
      </w:r>
      <w:r w:rsidR="006C0D3E" w:rsidRPr="00683B48">
        <w:rPr>
          <w:rFonts w:cs="Arial"/>
          <w:sz w:val="24"/>
          <w:szCs w:val="24"/>
        </w:rPr>
        <w:t xml:space="preserve">prior </w:t>
      </w:r>
      <w:r w:rsidRPr="00683B48">
        <w:rPr>
          <w:rFonts w:cs="Arial"/>
          <w:sz w:val="24"/>
          <w:szCs w:val="24"/>
        </w:rPr>
        <w:t xml:space="preserve">negative experiences, </w:t>
      </w:r>
      <w:r w:rsidR="006C0D3E" w:rsidRPr="00683B48">
        <w:rPr>
          <w:rFonts w:cs="Arial"/>
          <w:sz w:val="24"/>
          <w:szCs w:val="24"/>
        </w:rPr>
        <w:t xml:space="preserve">entailing that </w:t>
      </w:r>
      <w:r w:rsidRPr="00683B48">
        <w:rPr>
          <w:rFonts w:cs="Arial"/>
          <w:sz w:val="24"/>
          <w:szCs w:val="24"/>
        </w:rPr>
        <w:t>their perception of what happened may be inaccurate</w:t>
      </w:r>
      <w:r w:rsidR="006C0D3E" w:rsidRPr="00683B48">
        <w:rPr>
          <w:rFonts w:cs="Arial"/>
          <w:sz w:val="24"/>
          <w:szCs w:val="24"/>
        </w:rPr>
        <w:t xml:space="preserve"> </w:t>
      </w:r>
      <w:r w:rsidRPr="00683B48">
        <w:rPr>
          <w:rFonts w:cs="Arial"/>
          <w:sz w:val="24"/>
          <w:szCs w:val="24"/>
        </w:rPr>
        <w:t xml:space="preserve">or exaggerated. Sometimes those accused of discrimination may have legitimate non-discriminatory motives for their actions which the victim may </w:t>
      </w:r>
      <w:r w:rsidR="006C0D3E" w:rsidRPr="00683B48">
        <w:rPr>
          <w:rFonts w:cs="Arial"/>
          <w:sz w:val="24"/>
          <w:szCs w:val="24"/>
        </w:rPr>
        <w:t>be unaware of</w:t>
      </w:r>
      <w:r w:rsidRPr="00683B48">
        <w:rPr>
          <w:rFonts w:cs="Arial"/>
          <w:sz w:val="24"/>
          <w:szCs w:val="24"/>
        </w:rPr>
        <w:t>. As a general rule</w:t>
      </w:r>
      <w:r w:rsidR="006C0D3E" w:rsidRPr="00683B48">
        <w:rPr>
          <w:rFonts w:cs="Arial"/>
          <w:sz w:val="24"/>
          <w:szCs w:val="24"/>
        </w:rPr>
        <w:t>,</w:t>
      </w:r>
      <w:r w:rsidRPr="00683B48">
        <w:rPr>
          <w:rFonts w:cs="Arial"/>
          <w:sz w:val="24"/>
          <w:szCs w:val="24"/>
        </w:rPr>
        <w:t xml:space="preserve"> there can only be one version of events, and that version must be supported by evidence if it is to withstand scrutiny in court. Advancing more than one theory of what </w:t>
      </w:r>
      <w:r w:rsidR="006C0D3E" w:rsidRPr="00683B48">
        <w:rPr>
          <w:rFonts w:cs="Arial"/>
          <w:sz w:val="24"/>
          <w:szCs w:val="24"/>
        </w:rPr>
        <w:t xml:space="preserve">took place </w:t>
      </w:r>
      <w:r w:rsidRPr="00683B48">
        <w:rPr>
          <w:rFonts w:cs="Arial"/>
          <w:sz w:val="24"/>
          <w:szCs w:val="24"/>
        </w:rPr>
        <w:t xml:space="preserve">will damage the credibility of the </w:t>
      </w:r>
      <w:r w:rsidR="00874611" w:rsidRPr="00683B48">
        <w:rPr>
          <w:rFonts w:cs="Arial"/>
          <w:sz w:val="24"/>
          <w:szCs w:val="24"/>
        </w:rPr>
        <w:t>equality body</w:t>
      </w:r>
      <w:r w:rsidRPr="00683B48">
        <w:rPr>
          <w:rFonts w:cs="Arial"/>
          <w:sz w:val="24"/>
          <w:szCs w:val="24"/>
        </w:rPr>
        <w:t xml:space="preserve"> as well as the victim, </w:t>
      </w:r>
      <w:r w:rsidR="006C0D3E" w:rsidRPr="00683B48">
        <w:rPr>
          <w:rFonts w:cs="Arial"/>
          <w:sz w:val="24"/>
          <w:szCs w:val="24"/>
        </w:rPr>
        <w:t xml:space="preserve">will </w:t>
      </w:r>
      <w:r w:rsidRPr="00683B48">
        <w:rPr>
          <w:rFonts w:cs="Arial"/>
          <w:sz w:val="24"/>
          <w:szCs w:val="24"/>
        </w:rPr>
        <w:t xml:space="preserve">likely </w:t>
      </w:r>
      <w:r w:rsidR="006C0D3E" w:rsidRPr="00683B48">
        <w:rPr>
          <w:rFonts w:cs="Arial"/>
          <w:sz w:val="24"/>
          <w:szCs w:val="24"/>
        </w:rPr>
        <w:t xml:space="preserve">lead to </w:t>
      </w:r>
      <w:r w:rsidRPr="00683B48">
        <w:rPr>
          <w:rFonts w:cs="Arial"/>
          <w:sz w:val="24"/>
          <w:szCs w:val="24"/>
        </w:rPr>
        <w:t>fail</w:t>
      </w:r>
      <w:r w:rsidR="006C0D3E" w:rsidRPr="00683B48">
        <w:rPr>
          <w:rFonts w:cs="Arial"/>
          <w:sz w:val="24"/>
          <w:szCs w:val="24"/>
        </w:rPr>
        <w:t>ure in court</w:t>
      </w:r>
      <w:r w:rsidRPr="00683B48">
        <w:rPr>
          <w:rFonts w:cs="Arial"/>
          <w:sz w:val="24"/>
          <w:szCs w:val="24"/>
        </w:rPr>
        <w:t xml:space="preserve"> and </w:t>
      </w:r>
      <w:r w:rsidR="009B27EF" w:rsidRPr="00683B48">
        <w:rPr>
          <w:rFonts w:cs="Arial"/>
          <w:sz w:val="24"/>
          <w:szCs w:val="24"/>
        </w:rPr>
        <w:t>incur</w:t>
      </w:r>
      <w:r w:rsidRPr="00683B48">
        <w:rPr>
          <w:rFonts w:cs="Arial"/>
          <w:sz w:val="24"/>
          <w:szCs w:val="24"/>
        </w:rPr>
        <w:t xml:space="preserve"> costs. </w:t>
      </w:r>
    </w:p>
    <w:p w14:paraId="2BA35707" w14:textId="77777777" w:rsidR="00647EA0" w:rsidRPr="00683B48" w:rsidRDefault="00647EA0" w:rsidP="00FD78A5">
      <w:pPr>
        <w:jc w:val="both"/>
        <w:rPr>
          <w:rFonts w:cs="Arial"/>
          <w:i/>
          <w:sz w:val="24"/>
          <w:szCs w:val="24"/>
        </w:rPr>
      </w:pPr>
      <w:r w:rsidRPr="00683B48">
        <w:rPr>
          <w:rFonts w:cs="Arial"/>
          <w:b/>
          <w:i/>
          <w:sz w:val="24"/>
          <w:szCs w:val="24"/>
        </w:rPr>
        <w:t xml:space="preserve">Example: </w:t>
      </w:r>
      <w:r w:rsidRPr="00683B48">
        <w:rPr>
          <w:rFonts w:cs="Arial"/>
          <w:i/>
          <w:sz w:val="24"/>
          <w:szCs w:val="24"/>
        </w:rPr>
        <w:t xml:space="preserve">A man alleged he was harassed and refused service </w:t>
      </w:r>
      <w:r w:rsidR="009B27EF" w:rsidRPr="00683B48">
        <w:rPr>
          <w:rFonts w:cs="Arial"/>
          <w:i/>
          <w:sz w:val="24"/>
          <w:szCs w:val="24"/>
        </w:rPr>
        <w:t xml:space="preserve">in a cafe </w:t>
      </w:r>
      <w:r w:rsidRPr="00683B48">
        <w:rPr>
          <w:rFonts w:cs="Arial"/>
          <w:i/>
          <w:sz w:val="24"/>
          <w:szCs w:val="24"/>
        </w:rPr>
        <w:t xml:space="preserve">on the grounds of his race. </w:t>
      </w:r>
      <w:r w:rsidR="009B27EF" w:rsidRPr="00683B48">
        <w:rPr>
          <w:rFonts w:cs="Arial"/>
          <w:i/>
          <w:sz w:val="24"/>
          <w:szCs w:val="24"/>
        </w:rPr>
        <w:t>During a fact</w:t>
      </w:r>
      <w:r w:rsidRPr="00683B48">
        <w:rPr>
          <w:rFonts w:cs="Arial"/>
          <w:i/>
          <w:sz w:val="24"/>
          <w:szCs w:val="24"/>
        </w:rPr>
        <w:t xml:space="preserve"> checking</w:t>
      </w:r>
      <w:r w:rsidR="009B27EF" w:rsidRPr="00683B48">
        <w:rPr>
          <w:rFonts w:cs="Arial"/>
          <w:i/>
          <w:sz w:val="24"/>
          <w:szCs w:val="24"/>
        </w:rPr>
        <w:t xml:space="preserve"> exercise,</w:t>
      </w:r>
      <w:r w:rsidRPr="00683B48">
        <w:rPr>
          <w:rFonts w:cs="Arial"/>
          <w:i/>
          <w:sz w:val="24"/>
          <w:szCs w:val="24"/>
        </w:rPr>
        <w:t xml:space="preserve"> it</w:t>
      </w:r>
      <w:r w:rsidR="009B27EF" w:rsidRPr="00683B48">
        <w:rPr>
          <w:rFonts w:cs="Arial"/>
          <w:i/>
          <w:sz w:val="24"/>
          <w:szCs w:val="24"/>
        </w:rPr>
        <w:t xml:space="preserve"> became clear </w:t>
      </w:r>
      <w:r w:rsidRPr="00683B48">
        <w:rPr>
          <w:rFonts w:cs="Arial"/>
          <w:i/>
          <w:sz w:val="24"/>
          <w:szCs w:val="24"/>
        </w:rPr>
        <w:t xml:space="preserve">that he had ordered food and stayed in the café after the alleged incident. </w:t>
      </w:r>
      <w:r w:rsidR="009B27EF" w:rsidRPr="00683B48">
        <w:rPr>
          <w:rFonts w:cs="Arial"/>
          <w:i/>
          <w:sz w:val="24"/>
          <w:szCs w:val="24"/>
        </w:rPr>
        <w:t>The restaurant’s s</w:t>
      </w:r>
      <w:r w:rsidRPr="00683B48">
        <w:rPr>
          <w:rFonts w:cs="Arial"/>
          <w:i/>
          <w:sz w:val="24"/>
          <w:szCs w:val="24"/>
        </w:rPr>
        <w:t>taff alleged</w:t>
      </w:r>
      <w:r w:rsidR="009B27EF" w:rsidRPr="00683B48">
        <w:rPr>
          <w:rFonts w:cs="Arial"/>
          <w:i/>
          <w:sz w:val="24"/>
          <w:szCs w:val="24"/>
        </w:rPr>
        <w:t xml:space="preserve"> that</w:t>
      </w:r>
      <w:r w:rsidRPr="00683B48">
        <w:rPr>
          <w:rFonts w:cs="Arial"/>
          <w:i/>
          <w:sz w:val="24"/>
          <w:szCs w:val="24"/>
        </w:rPr>
        <w:t xml:space="preserve"> he had been aggressive towards them and </w:t>
      </w:r>
      <w:r w:rsidR="009B27EF" w:rsidRPr="00683B48">
        <w:rPr>
          <w:rFonts w:cs="Arial"/>
          <w:i/>
          <w:sz w:val="24"/>
          <w:szCs w:val="24"/>
        </w:rPr>
        <w:t xml:space="preserve">that </w:t>
      </w:r>
      <w:r w:rsidRPr="00683B48">
        <w:rPr>
          <w:rFonts w:cs="Arial"/>
          <w:i/>
          <w:sz w:val="24"/>
          <w:szCs w:val="24"/>
        </w:rPr>
        <w:t xml:space="preserve">they had not harassed him. As there was insufficient evidence to establish what </w:t>
      </w:r>
      <w:r w:rsidR="009B27EF" w:rsidRPr="00683B48">
        <w:rPr>
          <w:rFonts w:cs="Arial"/>
          <w:i/>
          <w:sz w:val="24"/>
          <w:szCs w:val="24"/>
        </w:rPr>
        <w:t xml:space="preserve">had </w:t>
      </w:r>
      <w:r w:rsidRPr="00683B48">
        <w:rPr>
          <w:rFonts w:cs="Arial"/>
          <w:i/>
          <w:sz w:val="24"/>
          <w:szCs w:val="24"/>
        </w:rPr>
        <w:t xml:space="preserve">actually </w:t>
      </w:r>
      <w:r w:rsidR="009B27EF" w:rsidRPr="00683B48">
        <w:rPr>
          <w:rFonts w:cs="Arial"/>
          <w:i/>
          <w:sz w:val="24"/>
          <w:szCs w:val="24"/>
        </w:rPr>
        <w:t xml:space="preserve">taken place, </w:t>
      </w:r>
      <w:r w:rsidRPr="00683B48">
        <w:rPr>
          <w:rFonts w:cs="Arial"/>
          <w:i/>
          <w:sz w:val="24"/>
          <w:szCs w:val="24"/>
        </w:rPr>
        <w:t xml:space="preserve">the case was </w:t>
      </w:r>
      <w:r w:rsidR="008B2C7C" w:rsidRPr="00683B48">
        <w:rPr>
          <w:rFonts w:cs="Arial"/>
          <w:i/>
          <w:sz w:val="24"/>
          <w:szCs w:val="24"/>
        </w:rPr>
        <w:t>excluded from</w:t>
      </w:r>
      <w:r w:rsidR="009B27EF" w:rsidRPr="00683B48">
        <w:rPr>
          <w:rFonts w:cs="Arial"/>
          <w:i/>
          <w:sz w:val="24"/>
          <w:szCs w:val="24"/>
        </w:rPr>
        <w:t xml:space="preserve"> </w:t>
      </w:r>
      <w:r w:rsidRPr="00683B48">
        <w:rPr>
          <w:rFonts w:cs="Arial"/>
          <w:i/>
          <w:sz w:val="24"/>
          <w:szCs w:val="24"/>
        </w:rPr>
        <w:t xml:space="preserve">further strategic action. </w:t>
      </w:r>
    </w:p>
    <w:p w14:paraId="344E7DDD" w14:textId="77777777" w:rsidR="00647EA0" w:rsidRPr="00683B48" w:rsidRDefault="00647EA0" w:rsidP="00FD78A5">
      <w:pPr>
        <w:jc w:val="both"/>
        <w:rPr>
          <w:rFonts w:cs="Arial"/>
          <w:b/>
          <w:i/>
          <w:sz w:val="24"/>
          <w:szCs w:val="24"/>
        </w:rPr>
      </w:pPr>
      <w:r w:rsidRPr="00683B48">
        <w:rPr>
          <w:rFonts w:cs="Arial"/>
          <w:i/>
          <w:sz w:val="24"/>
          <w:szCs w:val="24"/>
        </w:rPr>
        <w:t>By contrast, a group refused service at a restaurant on the basis of their ethnic background had recorded the incident on their mobile phones</w:t>
      </w:r>
      <w:r w:rsidR="008B2C7C" w:rsidRPr="00683B48">
        <w:rPr>
          <w:rFonts w:cs="Arial"/>
          <w:i/>
          <w:sz w:val="24"/>
          <w:szCs w:val="24"/>
        </w:rPr>
        <w:t>. These recordings</w:t>
      </w:r>
      <w:r w:rsidRPr="00683B48">
        <w:rPr>
          <w:rFonts w:cs="Arial"/>
          <w:i/>
          <w:sz w:val="24"/>
          <w:szCs w:val="24"/>
        </w:rPr>
        <w:t xml:space="preserve"> </w:t>
      </w:r>
      <w:r w:rsidR="008B2C7C" w:rsidRPr="00683B48">
        <w:rPr>
          <w:rFonts w:cs="Arial"/>
          <w:i/>
          <w:sz w:val="24"/>
          <w:szCs w:val="24"/>
        </w:rPr>
        <w:t>made it possible to</w:t>
      </w:r>
      <w:r w:rsidRPr="00683B48">
        <w:rPr>
          <w:rFonts w:cs="Arial"/>
          <w:i/>
          <w:sz w:val="24"/>
          <w:szCs w:val="24"/>
        </w:rPr>
        <w:t xml:space="preserve"> prove the facts </w:t>
      </w:r>
      <w:r w:rsidR="008B2C7C" w:rsidRPr="00683B48">
        <w:rPr>
          <w:rFonts w:cs="Arial"/>
          <w:i/>
          <w:sz w:val="24"/>
          <w:szCs w:val="24"/>
        </w:rPr>
        <w:t>in evidence of</w:t>
      </w:r>
      <w:r w:rsidRPr="00683B48">
        <w:rPr>
          <w:rFonts w:cs="Arial"/>
          <w:i/>
          <w:sz w:val="24"/>
          <w:szCs w:val="24"/>
        </w:rPr>
        <w:t xml:space="preserve"> their claim of direct race discrimination. The </w:t>
      </w:r>
      <w:r w:rsidR="00874611" w:rsidRPr="00683B48">
        <w:rPr>
          <w:rFonts w:cs="Arial"/>
          <w:i/>
          <w:sz w:val="24"/>
          <w:szCs w:val="24"/>
        </w:rPr>
        <w:t>equality body</w:t>
      </w:r>
      <w:r w:rsidRPr="00683B48">
        <w:rPr>
          <w:rFonts w:cs="Arial"/>
          <w:i/>
          <w:sz w:val="24"/>
          <w:szCs w:val="24"/>
        </w:rPr>
        <w:t xml:space="preserve"> considers th</w:t>
      </w:r>
      <w:r w:rsidR="008B2C7C" w:rsidRPr="00683B48">
        <w:rPr>
          <w:rFonts w:cs="Arial"/>
          <w:i/>
          <w:sz w:val="24"/>
          <w:szCs w:val="24"/>
        </w:rPr>
        <w:t>is</w:t>
      </w:r>
      <w:r w:rsidRPr="00683B48">
        <w:rPr>
          <w:rFonts w:cs="Arial"/>
          <w:i/>
          <w:sz w:val="24"/>
          <w:szCs w:val="24"/>
        </w:rPr>
        <w:t xml:space="preserve"> case </w:t>
      </w:r>
      <w:r w:rsidR="008B2C7C" w:rsidRPr="00683B48">
        <w:rPr>
          <w:rFonts w:cs="Arial"/>
          <w:i/>
          <w:sz w:val="24"/>
          <w:szCs w:val="24"/>
        </w:rPr>
        <w:t xml:space="preserve">to be </w:t>
      </w:r>
      <w:r w:rsidRPr="00683B48">
        <w:rPr>
          <w:rFonts w:cs="Arial"/>
          <w:i/>
          <w:sz w:val="24"/>
          <w:szCs w:val="24"/>
        </w:rPr>
        <w:t xml:space="preserve">strategic </w:t>
      </w:r>
      <w:r w:rsidR="008B2C7C" w:rsidRPr="00683B48">
        <w:rPr>
          <w:rFonts w:cs="Arial"/>
          <w:i/>
          <w:sz w:val="24"/>
          <w:szCs w:val="24"/>
        </w:rPr>
        <w:t xml:space="preserve">due to the </w:t>
      </w:r>
      <w:r w:rsidR="000E326C" w:rsidRPr="00683B48">
        <w:rPr>
          <w:rFonts w:cs="Arial"/>
          <w:i/>
          <w:sz w:val="24"/>
          <w:szCs w:val="24"/>
        </w:rPr>
        <w:t>quality of the evidence and as</w:t>
      </w:r>
      <w:r w:rsidR="008B2C7C" w:rsidRPr="00683B48">
        <w:rPr>
          <w:rFonts w:cs="Arial"/>
          <w:i/>
          <w:sz w:val="24"/>
          <w:szCs w:val="24"/>
        </w:rPr>
        <w:t xml:space="preserve"> </w:t>
      </w:r>
      <w:r w:rsidRPr="00683B48">
        <w:rPr>
          <w:rFonts w:cs="Arial"/>
          <w:i/>
          <w:sz w:val="24"/>
          <w:szCs w:val="24"/>
        </w:rPr>
        <w:t xml:space="preserve">it highlights a widespread practice of </w:t>
      </w:r>
      <w:r w:rsidR="000E326C" w:rsidRPr="00683B48">
        <w:rPr>
          <w:rFonts w:cs="Arial"/>
          <w:i/>
          <w:sz w:val="24"/>
          <w:szCs w:val="24"/>
        </w:rPr>
        <w:t xml:space="preserve">open </w:t>
      </w:r>
      <w:r w:rsidRPr="00683B48">
        <w:rPr>
          <w:rFonts w:cs="Arial"/>
          <w:i/>
          <w:sz w:val="24"/>
          <w:szCs w:val="24"/>
        </w:rPr>
        <w:t xml:space="preserve">discrimination against the group. </w:t>
      </w:r>
    </w:p>
    <w:p w14:paraId="423F445A" w14:textId="5CE6B59A" w:rsidR="00647EA0" w:rsidRPr="006F3139" w:rsidRDefault="00A727E3" w:rsidP="006F3139">
      <w:pPr>
        <w:pStyle w:val="ListParagraph"/>
        <w:numPr>
          <w:ilvl w:val="0"/>
          <w:numId w:val="14"/>
        </w:numPr>
        <w:jc w:val="both"/>
        <w:rPr>
          <w:rFonts w:cs="Arial"/>
          <w:sz w:val="24"/>
          <w:szCs w:val="24"/>
          <w:u w:val="single"/>
        </w:rPr>
      </w:pPr>
      <w:r w:rsidRPr="006F3139">
        <w:rPr>
          <w:rFonts w:cs="Arial"/>
          <w:b/>
          <w:sz w:val="24"/>
          <w:szCs w:val="24"/>
          <w:u w:val="single"/>
        </w:rPr>
        <w:t xml:space="preserve">Proving Discrimination: </w:t>
      </w:r>
      <w:r w:rsidR="00647EA0" w:rsidRPr="006F3139">
        <w:rPr>
          <w:rFonts w:cs="Arial"/>
          <w:b/>
          <w:sz w:val="24"/>
          <w:szCs w:val="24"/>
          <w:u w:val="single"/>
        </w:rPr>
        <w:t xml:space="preserve">What </w:t>
      </w:r>
      <w:r w:rsidR="00951A61" w:rsidRPr="006F3139">
        <w:rPr>
          <w:rFonts w:cs="Arial"/>
          <w:b/>
          <w:sz w:val="24"/>
          <w:szCs w:val="24"/>
          <w:u w:val="single"/>
        </w:rPr>
        <w:t>was</w:t>
      </w:r>
      <w:r w:rsidR="00647EA0" w:rsidRPr="006F3139">
        <w:rPr>
          <w:rFonts w:cs="Arial"/>
          <w:b/>
          <w:sz w:val="24"/>
          <w:szCs w:val="24"/>
          <w:u w:val="single"/>
        </w:rPr>
        <w:t xml:space="preserve"> the </w:t>
      </w:r>
      <w:r w:rsidR="00821469" w:rsidRPr="006F3139">
        <w:rPr>
          <w:rFonts w:cs="Arial"/>
          <w:b/>
          <w:sz w:val="24"/>
          <w:szCs w:val="24"/>
          <w:u w:val="single"/>
        </w:rPr>
        <w:t>R</w:t>
      </w:r>
      <w:r w:rsidR="00647EA0" w:rsidRPr="006F3139">
        <w:rPr>
          <w:rFonts w:cs="Arial"/>
          <w:b/>
          <w:sz w:val="24"/>
          <w:szCs w:val="24"/>
          <w:u w:val="single"/>
        </w:rPr>
        <w:t xml:space="preserve">eason for the </w:t>
      </w:r>
      <w:r w:rsidR="00821469" w:rsidRPr="006F3139">
        <w:rPr>
          <w:rFonts w:cs="Arial"/>
          <w:b/>
          <w:sz w:val="24"/>
          <w:szCs w:val="24"/>
          <w:u w:val="single"/>
        </w:rPr>
        <w:t>T</w:t>
      </w:r>
      <w:r w:rsidR="00647EA0" w:rsidRPr="006F3139">
        <w:rPr>
          <w:rFonts w:cs="Arial"/>
          <w:b/>
          <w:sz w:val="24"/>
          <w:szCs w:val="24"/>
          <w:u w:val="single"/>
        </w:rPr>
        <w:t>reatment?</w:t>
      </w:r>
      <w:r w:rsidR="00647EA0" w:rsidRPr="006F3139">
        <w:rPr>
          <w:rFonts w:cs="Arial"/>
          <w:i/>
          <w:sz w:val="24"/>
          <w:szCs w:val="24"/>
          <w:u w:val="single"/>
        </w:rPr>
        <w:t xml:space="preserve"> </w:t>
      </w:r>
      <w:r w:rsidR="00647EA0" w:rsidRPr="006F3139">
        <w:rPr>
          <w:rFonts w:cs="Arial"/>
          <w:b/>
          <w:sz w:val="24"/>
          <w:szCs w:val="24"/>
          <w:u w:val="single"/>
        </w:rPr>
        <w:t xml:space="preserve"> </w:t>
      </w:r>
    </w:p>
    <w:p w14:paraId="102E0BF6" w14:textId="77777777" w:rsidR="00427E30" w:rsidRPr="00683B48" w:rsidRDefault="00647EA0" w:rsidP="00FD78A5">
      <w:pPr>
        <w:jc w:val="both"/>
        <w:rPr>
          <w:rFonts w:cs="Arial"/>
          <w:sz w:val="24"/>
          <w:szCs w:val="24"/>
        </w:rPr>
      </w:pPr>
      <w:r w:rsidRPr="00683B48">
        <w:rPr>
          <w:rFonts w:cs="Arial"/>
          <w:sz w:val="24"/>
          <w:szCs w:val="24"/>
        </w:rPr>
        <w:t>Poor treatment of a person belong</w:t>
      </w:r>
      <w:r w:rsidR="00DE7A51" w:rsidRPr="00683B48">
        <w:rPr>
          <w:rFonts w:cs="Arial"/>
          <w:sz w:val="24"/>
          <w:szCs w:val="24"/>
        </w:rPr>
        <w:t>ing</w:t>
      </w:r>
      <w:r w:rsidRPr="00683B48">
        <w:rPr>
          <w:rFonts w:cs="Arial"/>
          <w:sz w:val="24"/>
          <w:szCs w:val="24"/>
        </w:rPr>
        <w:t xml:space="preserve"> to a particular group does not necessarily mean they have been discriminated against. In </w:t>
      </w:r>
      <w:r w:rsidR="000D223F" w:rsidRPr="00683B48">
        <w:rPr>
          <w:rFonts w:cs="Arial"/>
          <w:sz w:val="24"/>
          <w:szCs w:val="24"/>
        </w:rPr>
        <w:t xml:space="preserve">order to win in </w:t>
      </w:r>
      <w:r w:rsidRPr="00683B48">
        <w:rPr>
          <w:rFonts w:cs="Arial"/>
          <w:sz w:val="24"/>
          <w:szCs w:val="24"/>
        </w:rPr>
        <w:t>cases of direct discrimination and harassment (less so in cases of sexual harassment)</w:t>
      </w:r>
      <w:r w:rsidR="000D223F" w:rsidRPr="00683B48">
        <w:rPr>
          <w:rFonts w:cs="Arial"/>
          <w:sz w:val="24"/>
          <w:szCs w:val="24"/>
        </w:rPr>
        <w:t>,</w:t>
      </w:r>
      <w:r w:rsidRPr="00683B48">
        <w:rPr>
          <w:rFonts w:cs="Arial"/>
          <w:sz w:val="24"/>
          <w:szCs w:val="24"/>
        </w:rPr>
        <w:t xml:space="preserve"> it is essential to show that discrimination is at least one of the causes of the treatment </w:t>
      </w:r>
      <w:r w:rsidR="000D223F" w:rsidRPr="00683B48">
        <w:rPr>
          <w:rFonts w:cs="Arial"/>
          <w:sz w:val="24"/>
          <w:szCs w:val="24"/>
        </w:rPr>
        <w:t>in question</w:t>
      </w:r>
      <w:r w:rsidRPr="00683B48">
        <w:rPr>
          <w:rFonts w:cs="Arial"/>
          <w:sz w:val="24"/>
          <w:szCs w:val="24"/>
        </w:rPr>
        <w:t xml:space="preserve">. </w:t>
      </w:r>
    </w:p>
    <w:p w14:paraId="518D98FC" w14:textId="77777777" w:rsidR="00647EA0" w:rsidRPr="00683B48" w:rsidRDefault="00427E30" w:rsidP="00FD78A5">
      <w:pPr>
        <w:jc w:val="both"/>
        <w:rPr>
          <w:rFonts w:cs="Arial"/>
          <w:i/>
          <w:sz w:val="24"/>
          <w:szCs w:val="24"/>
        </w:rPr>
      </w:pPr>
      <w:r w:rsidRPr="00683B48">
        <w:rPr>
          <w:rFonts w:cs="Arial"/>
          <w:b/>
          <w:i/>
          <w:sz w:val="24"/>
          <w:szCs w:val="24"/>
        </w:rPr>
        <w:t>Example:</w:t>
      </w:r>
      <w:r w:rsidRPr="00683B48">
        <w:rPr>
          <w:rFonts w:cs="Arial"/>
          <w:i/>
          <w:sz w:val="24"/>
          <w:szCs w:val="24"/>
        </w:rPr>
        <w:t xml:space="preserve"> I</w:t>
      </w:r>
      <w:r w:rsidR="00647EA0" w:rsidRPr="00683B48">
        <w:rPr>
          <w:rFonts w:cs="Arial"/>
          <w:i/>
          <w:sz w:val="24"/>
          <w:szCs w:val="24"/>
        </w:rPr>
        <w:t xml:space="preserve">t is not </w:t>
      </w:r>
      <w:r w:rsidR="000D223F" w:rsidRPr="00683B48">
        <w:rPr>
          <w:rFonts w:cs="Arial"/>
          <w:i/>
          <w:sz w:val="24"/>
          <w:szCs w:val="24"/>
        </w:rPr>
        <w:t>sufficient to successfully claim discrimination in a case where</w:t>
      </w:r>
      <w:r w:rsidR="00647EA0" w:rsidRPr="00683B48">
        <w:rPr>
          <w:rFonts w:cs="Arial"/>
          <w:i/>
          <w:sz w:val="24"/>
          <w:szCs w:val="24"/>
        </w:rPr>
        <w:t xml:space="preserve"> a woman was not called for an interview </w:t>
      </w:r>
      <w:r w:rsidR="000D223F" w:rsidRPr="00683B48">
        <w:rPr>
          <w:rFonts w:cs="Arial"/>
          <w:i/>
          <w:sz w:val="24"/>
          <w:szCs w:val="24"/>
        </w:rPr>
        <w:t xml:space="preserve">where </w:t>
      </w:r>
      <w:r w:rsidR="00647EA0" w:rsidRPr="00683B48">
        <w:rPr>
          <w:rFonts w:cs="Arial"/>
          <w:i/>
          <w:sz w:val="24"/>
          <w:szCs w:val="24"/>
        </w:rPr>
        <w:t xml:space="preserve">all those called were men. The woman must show that she was equally qualified for the </w:t>
      </w:r>
      <w:r w:rsidR="000D223F" w:rsidRPr="00683B48">
        <w:rPr>
          <w:rFonts w:cs="Arial"/>
          <w:i/>
          <w:sz w:val="24"/>
          <w:szCs w:val="24"/>
        </w:rPr>
        <w:t xml:space="preserve">position </w:t>
      </w:r>
      <w:r w:rsidR="00647EA0" w:rsidRPr="00683B48">
        <w:rPr>
          <w:rFonts w:cs="Arial"/>
          <w:i/>
          <w:sz w:val="24"/>
          <w:szCs w:val="24"/>
        </w:rPr>
        <w:t xml:space="preserve">as the men </w:t>
      </w:r>
      <w:r w:rsidR="000D223F" w:rsidRPr="00683B48">
        <w:rPr>
          <w:rFonts w:cs="Arial"/>
          <w:i/>
          <w:sz w:val="24"/>
          <w:szCs w:val="24"/>
        </w:rPr>
        <w:t xml:space="preserve">who </w:t>
      </w:r>
      <w:r w:rsidR="00647EA0" w:rsidRPr="00683B48">
        <w:rPr>
          <w:rFonts w:cs="Arial"/>
          <w:i/>
          <w:sz w:val="24"/>
          <w:szCs w:val="24"/>
        </w:rPr>
        <w:t>were interviewed</w:t>
      </w:r>
      <w:r w:rsidR="000D223F" w:rsidRPr="00683B48">
        <w:rPr>
          <w:rFonts w:cs="Arial"/>
          <w:i/>
          <w:sz w:val="24"/>
          <w:szCs w:val="24"/>
        </w:rPr>
        <w:t>,</w:t>
      </w:r>
      <w:r w:rsidR="00647EA0" w:rsidRPr="00683B48">
        <w:rPr>
          <w:rFonts w:cs="Arial"/>
          <w:i/>
          <w:sz w:val="24"/>
          <w:szCs w:val="24"/>
        </w:rPr>
        <w:t xml:space="preserve"> and that there is no apparent reason why she was not called for an interview. If the employer can show that the men called for </w:t>
      </w:r>
      <w:r w:rsidR="000D223F" w:rsidRPr="00683B48">
        <w:rPr>
          <w:rFonts w:cs="Arial"/>
          <w:i/>
          <w:sz w:val="24"/>
          <w:szCs w:val="24"/>
        </w:rPr>
        <w:t xml:space="preserve">an </w:t>
      </w:r>
      <w:r w:rsidR="00647EA0" w:rsidRPr="00683B48">
        <w:rPr>
          <w:rFonts w:cs="Arial"/>
          <w:i/>
          <w:sz w:val="24"/>
          <w:szCs w:val="24"/>
        </w:rPr>
        <w:t xml:space="preserve">interview were all more qualified for the </w:t>
      </w:r>
      <w:r w:rsidR="000D223F" w:rsidRPr="00683B48">
        <w:rPr>
          <w:rFonts w:cs="Arial"/>
          <w:i/>
          <w:sz w:val="24"/>
          <w:szCs w:val="24"/>
        </w:rPr>
        <w:t xml:space="preserve">position </w:t>
      </w:r>
      <w:r w:rsidR="00647EA0" w:rsidRPr="00683B48">
        <w:rPr>
          <w:rFonts w:cs="Arial"/>
          <w:i/>
          <w:sz w:val="24"/>
          <w:szCs w:val="24"/>
        </w:rPr>
        <w:t>than the woman</w:t>
      </w:r>
      <w:r w:rsidR="000D223F" w:rsidRPr="00683B48">
        <w:rPr>
          <w:rFonts w:cs="Arial"/>
          <w:i/>
          <w:sz w:val="24"/>
          <w:szCs w:val="24"/>
        </w:rPr>
        <w:t>,</w:t>
      </w:r>
      <w:r w:rsidR="00647EA0" w:rsidRPr="00683B48">
        <w:rPr>
          <w:rFonts w:cs="Arial"/>
          <w:i/>
          <w:sz w:val="24"/>
          <w:szCs w:val="24"/>
        </w:rPr>
        <w:t xml:space="preserve"> there is no case</w:t>
      </w:r>
      <w:r w:rsidR="000D223F" w:rsidRPr="00683B48">
        <w:rPr>
          <w:rFonts w:cs="Arial"/>
          <w:i/>
          <w:sz w:val="24"/>
          <w:szCs w:val="24"/>
        </w:rPr>
        <w:t>. I</w:t>
      </w:r>
      <w:r w:rsidR="00647EA0" w:rsidRPr="00683B48">
        <w:rPr>
          <w:rFonts w:cs="Arial"/>
          <w:i/>
          <w:sz w:val="24"/>
          <w:szCs w:val="24"/>
        </w:rPr>
        <w:t>f they</w:t>
      </w:r>
      <w:r w:rsidR="000D223F" w:rsidRPr="00683B48">
        <w:rPr>
          <w:rFonts w:cs="Arial"/>
          <w:i/>
          <w:sz w:val="24"/>
          <w:szCs w:val="24"/>
        </w:rPr>
        <w:t xml:space="preserve"> are not able to show this, however,</w:t>
      </w:r>
      <w:r w:rsidR="00647EA0" w:rsidRPr="00683B48">
        <w:rPr>
          <w:rFonts w:cs="Arial"/>
          <w:i/>
          <w:sz w:val="24"/>
          <w:szCs w:val="24"/>
        </w:rPr>
        <w:t xml:space="preserve"> then the burden </w:t>
      </w:r>
      <w:r w:rsidR="000D223F" w:rsidRPr="00683B48">
        <w:rPr>
          <w:rFonts w:cs="Arial"/>
          <w:i/>
          <w:sz w:val="24"/>
          <w:szCs w:val="24"/>
        </w:rPr>
        <w:t xml:space="preserve">of proof to show that there was no discrimination </w:t>
      </w:r>
      <w:r w:rsidR="00647EA0" w:rsidRPr="00683B48">
        <w:rPr>
          <w:rFonts w:cs="Arial"/>
          <w:i/>
          <w:sz w:val="24"/>
          <w:szCs w:val="24"/>
        </w:rPr>
        <w:t xml:space="preserve">will shift to the employer. </w:t>
      </w:r>
    </w:p>
    <w:p w14:paraId="4032D35D" w14:textId="77777777" w:rsidR="00647EA0" w:rsidRPr="00683B48" w:rsidRDefault="00647EA0" w:rsidP="00FD78A5">
      <w:pPr>
        <w:jc w:val="both"/>
        <w:rPr>
          <w:rFonts w:cs="Arial"/>
          <w:i/>
          <w:sz w:val="24"/>
          <w:szCs w:val="24"/>
        </w:rPr>
      </w:pPr>
      <w:r w:rsidRPr="00683B48">
        <w:rPr>
          <w:rFonts w:cs="Arial"/>
          <w:i/>
          <w:sz w:val="24"/>
          <w:szCs w:val="24"/>
        </w:rPr>
        <w:lastRenderedPageBreak/>
        <w:t xml:space="preserve">Similarly, in a harassment case, if X, who belongs to an ethnic minority has been called </w:t>
      </w:r>
      <w:r w:rsidR="0071766D" w:rsidRPr="00683B48">
        <w:rPr>
          <w:rFonts w:cs="Arial"/>
          <w:i/>
          <w:sz w:val="24"/>
          <w:szCs w:val="24"/>
        </w:rPr>
        <w:t>‘</w:t>
      </w:r>
      <w:r w:rsidRPr="00683B48">
        <w:rPr>
          <w:rFonts w:cs="Arial"/>
          <w:i/>
          <w:sz w:val="24"/>
          <w:szCs w:val="24"/>
        </w:rPr>
        <w:t>stupid</w:t>
      </w:r>
      <w:r w:rsidR="0071766D" w:rsidRPr="00683B48">
        <w:rPr>
          <w:rFonts w:cs="Arial"/>
          <w:i/>
          <w:sz w:val="24"/>
          <w:szCs w:val="24"/>
        </w:rPr>
        <w:t>’</w:t>
      </w:r>
      <w:r w:rsidRPr="00683B48">
        <w:rPr>
          <w:rFonts w:cs="Arial"/>
          <w:i/>
          <w:sz w:val="24"/>
          <w:szCs w:val="24"/>
        </w:rPr>
        <w:t xml:space="preserve"> by his employer, X will need to provide evidence from which it is reasonable to presume that he has been singled out for reasons connected to him belonging to that ethnic minority</w:t>
      </w:r>
      <w:r w:rsidR="00443B48" w:rsidRPr="00683B48">
        <w:rPr>
          <w:rFonts w:cs="Arial"/>
          <w:i/>
          <w:sz w:val="24"/>
          <w:szCs w:val="24"/>
        </w:rPr>
        <w:t xml:space="preserve"> in order </w:t>
      </w:r>
      <w:r w:rsidRPr="00683B48">
        <w:rPr>
          <w:rFonts w:cs="Arial"/>
          <w:i/>
          <w:sz w:val="24"/>
          <w:szCs w:val="24"/>
        </w:rPr>
        <w:t xml:space="preserve">to shift the burden of proof to the </w:t>
      </w:r>
      <w:r w:rsidR="0071766D" w:rsidRPr="00683B48">
        <w:rPr>
          <w:rFonts w:cs="Arial"/>
          <w:i/>
          <w:sz w:val="24"/>
          <w:szCs w:val="24"/>
        </w:rPr>
        <w:t>employer</w:t>
      </w:r>
      <w:r w:rsidRPr="00683B48">
        <w:rPr>
          <w:rFonts w:cs="Arial"/>
          <w:i/>
          <w:sz w:val="24"/>
          <w:szCs w:val="24"/>
        </w:rPr>
        <w:t xml:space="preserve">. </w:t>
      </w:r>
    </w:p>
    <w:p w14:paraId="78E36C20" w14:textId="77777777" w:rsidR="00647EA0" w:rsidRPr="00683B48" w:rsidRDefault="00647EA0" w:rsidP="00FD78A5">
      <w:pPr>
        <w:jc w:val="both"/>
        <w:rPr>
          <w:rFonts w:cs="Arial"/>
          <w:sz w:val="24"/>
          <w:szCs w:val="24"/>
        </w:rPr>
      </w:pPr>
      <w:r w:rsidRPr="00683B48">
        <w:rPr>
          <w:rFonts w:cs="Arial"/>
          <w:sz w:val="24"/>
          <w:szCs w:val="24"/>
        </w:rPr>
        <w:t xml:space="preserve">In indirect discrimination cases there is a risk that the defendant will provide a number of reasons to justify a </w:t>
      </w:r>
      <w:r w:rsidR="0071766D" w:rsidRPr="00683B48">
        <w:rPr>
          <w:rFonts w:cs="Arial"/>
          <w:sz w:val="24"/>
          <w:szCs w:val="24"/>
        </w:rPr>
        <w:t xml:space="preserve">rule as </w:t>
      </w:r>
      <w:r w:rsidRPr="00683B48">
        <w:rPr>
          <w:rFonts w:cs="Arial"/>
          <w:sz w:val="24"/>
          <w:szCs w:val="24"/>
        </w:rPr>
        <w:t xml:space="preserve">neutral. </w:t>
      </w:r>
      <w:r w:rsidR="0071766D" w:rsidRPr="00683B48">
        <w:rPr>
          <w:rFonts w:cs="Arial"/>
          <w:sz w:val="24"/>
          <w:szCs w:val="24"/>
        </w:rPr>
        <w:t>Prior to initiating litigation i</w:t>
      </w:r>
      <w:r w:rsidRPr="00683B48">
        <w:rPr>
          <w:rFonts w:cs="Arial"/>
          <w:sz w:val="24"/>
          <w:szCs w:val="24"/>
        </w:rPr>
        <w:t xml:space="preserve">t is advisable to try to </w:t>
      </w:r>
      <w:r w:rsidR="008174C1">
        <w:rPr>
          <w:rFonts w:cs="Arial"/>
          <w:sz w:val="24"/>
          <w:szCs w:val="24"/>
        </w:rPr>
        <w:t>“</w:t>
      </w:r>
      <w:r w:rsidRPr="00683B48">
        <w:rPr>
          <w:rFonts w:cs="Arial"/>
          <w:sz w:val="24"/>
          <w:szCs w:val="24"/>
        </w:rPr>
        <w:t>lock</w:t>
      </w:r>
      <w:r w:rsidR="008174C1">
        <w:rPr>
          <w:rFonts w:cs="Arial"/>
          <w:sz w:val="24"/>
          <w:szCs w:val="24"/>
        </w:rPr>
        <w:t>”</w:t>
      </w:r>
      <w:r w:rsidRPr="00683B48">
        <w:rPr>
          <w:rFonts w:cs="Arial"/>
          <w:sz w:val="24"/>
          <w:szCs w:val="24"/>
        </w:rPr>
        <w:t xml:space="preserve"> the alleged discriminator into stating what the legitimate aim of the rule is and why a less discriminatory means of achieving the aim </w:t>
      </w:r>
      <w:r w:rsidR="0071766D" w:rsidRPr="00683B48">
        <w:rPr>
          <w:rFonts w:cs="Arial"/>
          <w:sz w:val="24"/>
          <w:szCs w:val="24"/>
        </w:rPr>
        <w:t xml:space="preserve">would be insufficient. Having this documented </w:t>
      </w:r>
      <w:r w:rsidRPr="00683B48">
        <w:rPr>
          <w:rFonts w:cs="Arial"/>
          <w:sz w:val="24"/>
          <w:szCs w:val="24"/>
        </w:rPr>
        <w:t>will</w:t>
      </w:r>
      <w:r w:rsidR="0071766D" w:rsidRPr="00683B48">
        <w:rPr>
          <w:rFonts w:cs="Arial"/>
          <w:sz w:val="24"/>
          <w:szCs w:val="24"/>
        </w:rPr>
        <w:t xml:space="preserve"> make it</w:t>
      </w:r>
      <w:r w:rsidRPr="00683B48">
        <w:rPr>
          <w:rFonts w:cs="Arial"/>
          <w:sz w:val="24"/>
          <w:szCs w:val="24"/>
        </w:rPr>
        <w:t xml:space="preserve"> more difficult for them to provide a different, and potentially lawful</w:t>
      </w:r>
      <w:r w:rsidR="0071766D" w:rsidRPr="00683B48">
        <w:rPr>
          <w:rFonts w:cs="Arial"/>
          <w:sz w:val="24"/>
          <w:szCs w:val="24"/>
        </w:rPr>
        <w:t>,</w:t>
      </w:r>
      <w:r w:rsidRPr="00683B48">
        <w:rPr>
          <w:rFonts w:cs="Arial"/>
          <w:sz w:val="24"/>
          <w:szCs w:val="24"/>
        </w:rPr>
        <w:t xml:space="preserve"> reason later on in the litigation in order to defeat the case. </w:t>
      </w:r>
    </w:p>
    <w:p w14:paraId="47B8038E" w14:textId="77777777" w:rsidR="00647EA0" w:rsidRPr="006F3139" w:rsidRDefault="00647EA0" w:rsidP="006F3139">
      <w:pPr>
        <w:pStyle w:val="ListParagraph"/>
        <w:numPr>
          <w:ilvl w:val="0"/>
          <w:numId w:val="14"/>
        </w:numPr>
        <w:jc w:val="both"/>
        <w:rPr>
          <w:rFonts w:cs="Arial"/>
          <w:b/>
          <w:sz w:val="24"/>
          <w:szCs w:val="24"/>
          <w:u w:val="single"/>
        </w:rPr>
      </w:pPr>
      <w:r w:rsidRPr="006F3139">
        <w:rPr>
          <w:rFonts w:cs="Arial"/>
          <w:b/>
          <w:sz w:val="24"/>
          <w:szCs w:val="24"/>
          <w:u w:val="single"/>
        </w:rPr>
        <w:t xml:space="preserve">Why </w:t>
      </w:r>
      <w:r w:rsidR="008174C1" w:rsidRPr="006F3139">
        <w:rPr>
          <w:rFonts w:cs="Arial"/>
          <w:b/>
          <w:sz w:val="24"/>
          <w:szCs w:val="24"/>
          <w:u w:val="single"/>
        </w:rPr>
        <w:t>Is W</w:t>
      </w:r>
      <w:r w:rsidRPr="006F3139">
        <w:rPr>
          <w:rFonts w:cs="Arial"/>
          <w:b/>
          <w:sz w:val="24"/>
          <w:szCs w:val="24"/>
          <w:u w:val="single"/>
        </w:rPr>
        <w:t xml:space="preserve">hat </w:t>
      </w:r>
      <w:r w:rsidR="008174C1" w:rsidRPr="006F3139">
        <w:rPr>
          <w:rFonts w:cs="Arial"/>
          <w:b/>
          <w:sz w:val="24"/>
          <w:szCs w:val="24"/>
          <w:u w:val="single"/>
        </w:rPr>
        <w:t>H</w:t>
      </w:r>
      <w:r w:rsidRPr="006F3139">
        <w:rPr>
          <w:rFonts w:cs="Arial"/>
          <w:b/>
          <w:sz w:val="24"/>
          <w:szCs w:val="24"/>
          <w:u w:val="single"/>
        </w:rPr>
        <w:t xml:space="preserve">appened </w:t>
      </w:r>
      <w:r w:rsidR="008174C1" w:rsidRPr="006F3139">
        <w:rPr>
          <w:rFonts w:cs="Arial"/>
          <w:b/>
          <w:sz w:val="24"/>
          <w:szCs w:val="24"/>
          <w:u w:val="single"/>
        </w:rPr>
        <w:t>Problematic from a Legal Standpoint</w:t>
      </w:r>
      <w:r w:rsidRPr="006F3139">
        <w:rPr>
          <w:rFonts w:cs="Arial"/>
          <w:b/>
          <w:sz w:val="24"/>
          <w:szCs w:val="24"/>
          <w:u w:val="single"/>
        </w:rPr>
        <w:t>?</w:t>
      </w:r>
    </w:p>
    <w:p w14:paraId="796D4935" w14:textId="77777777" w:rsidR="00647EA0" w:rsidRPr="00683B48" w:rsidRDefault="00647EA0" w:rsidP="00FD78A5">
      <w:pPr>
        <w:jc w:val="both"/>
        <w:rPr>
          <w:rFonts w:cs="Arial"/>
          <w:b/>
          <w:sz w:val="24"/>
          <w:szCs w:val="24"/>
        </w:rPr>
      </w:pPr>
      <w:r w:rsidRPr="00683B48">
        <w:rPr>
          <w:rFonts w:cs="Arial"/>
          <w:sz w:val="24"/>
          <w:szCs w:val="24"/>
        </w:rPr>
        <w:t xml:space="preserve">It must be possible, as a matter of law, for the court to reach the desired strategic outcome of the case. </w:t>
      </w:r>
      <w:r w:rsidR="00575055" w:rsidRPr="00683B48">
        <w:rPr>
          <w:rFonts w:cs="Arial"/>
          <w:sz w:val="24"/>
          <w:szCs w:val="24"/>
        </w:rPr>
        <w:t xml:space="preserve">Applicable </w:t>
      </w:r>
      <w:r w:rsidRPr="00683B48">
        <w:rPr>
          <w:rFonts w:cs="Arial"/>
          <w:sz w:val="24"/>
          <w:szCs w:val="24"/>
        </w:rPr>
        <w:t xml:space="preserve">rules must allow for a particular interpretation, and preferably, other courts or instances (the higher the better) have argued similarly in other cases. The </w:t>
      </w:r>
      <w:r w:rsidR="00EA0367" w:rsidRPr="00683B48">
        <w:rPr>
          <w:rFonts w:cs="Arial"/>
          <w:sz w:val="24"/>
          <w:szCs w:val="24"/>
        </w:rPr>
        <w:t xml:space="preserve">desired outcome </w:t>
      </w:r>
      <w:r w:rsidRPr="00683B48">
        <w:rPr>
          <w:rFonts w:cs="Arial"/>
          <w:sz w:val="24"/>
          <w:szCs w:val="24"/>
        </w:rPr>
        <w:t xml:space="preserve">should be one </w:t>
      </w:r>
      <w:r w:rsidR="00C15A67" w:rsidRPr="00683B48">
        <w:rPr>
          <w:rFonts w:cs="Arial"/>
          <w:sz w:val="24"/>
          <w:szCs w:val="24"/>
        </w:rPr>
        <w:t xml:space="preserve">that </w:t>
      </w:r>
      <w:r w:rsidRPr="00683B48">
        <w:rPr>
          <w:rFonts w:cs="Arial"/>
          <w:sz w:val="24"/>
          <w:szCs w:val="24"/>
        </w:rPr>
        <w:t xml:space="preserve">the court can reach easily. In any event, the court should be provided with a clear, safe, and persuasive path of legal arguments to justify the desired outcome. The mere use of rhetoric on the necessity to protect human rights and vague references to international conventions rarely provides the court with the clarity and authority it needs in order to give a judgement that will achieve the strategic </w:t>
      </w:r>
      <w:r w:rsidR="00C15A67" w:rsidRPr="00683B48">
        <w:rPr>
          <w:rFonts w:cs="Arial"/>
          <w:sz w:val="24"/>
          <w:szCs w:val="24"/>
        </w:rPr>
        <w:t xml:space="preserve">objective </w:t>
      </w:r>
      <w:r w:rsidRPr="00683B48">
        <w:rPr>
          <w:rFonts w:cs="Arial"/>
          <w:sz w:val="24"/>
          <w:szCs w:val="24"/>
        </w:rPr>
        <w:t>of the litigation.</w:t>
      </w:r>
    </w:p>
    <w:p w14:paraId="709E624C" w14:textId="77777777" w:rsidR="00647EA0" w:rsidRPr="00683B48" w:rsidRDefault="00647EA0" w:rsidP="00FD78A5">
      <w:pPr>
        <w:jc w:val="both"/>
        <w:rPr>
          <w:rFonts w:cs="Arial"/>
          <w:sz w:val="24"/>
          <w:szCs w:val="24"/>
        </w:rPr>
      </w:pPr>
      <w:r w:rsidRPr="00683B48">
        <w:rPr>
          <w:rFonts w:cs="Arial"/>
          <w:sz w:val="24"/>
          <w:szCs w:val="24"/>
        </w:rPr>
        <w:t>If the case concerns a point of law, generally speaking, there must be a supportive legal argument for reaching the strategic outcome in question.</w:t>
      </w:r>
      <w:r w:rsidR="00C15A67" w:rsidRPr="00683B48">
        <w:rPr>
          <w:rFonts w:cs="Arial"/>
          <w:sz w:val="24"/>
          <w:szCs w:val="24"/>
        </w:rPr>
        <w:t xml:space="preserve"> </w:t>
      </w:r>
      <w:r w:rsidRPr="00683B48">
        <w:rPr>
          <w:rFonts w:cs="Arial"/>
          <w:sz w:val="24"/>
          <w:szCs w:val="24"/>
        </w:rPr>
        <w:t>Legally weak cases, however unfair the facts or the impact on the victim, should be avoided</w:t>
      </w:r>
      <w:r w:rsidR="00C15A67" w:rsidRPr="00683B48">
        <w:rPr>
          <w:rFonts w:cs="Arial"/>
          <w:sz w:val="24"/>
          <w:szCs w:val="24"/>
        </w:rPr>
        <w:t xml:space="preserve"> for this reason.</w:t>
      </w:r>
      <w:r w:rsidRPr="00683B48">
        <w:rPr>
          <w:rFonts w:cs="Arial"/>
          <w:sz w:val="24"/>
          <w:szCs w:val="24"/>
        </w:rPr>
        <w:t xml:space="preserve"> </w:t>
      </w:r>
    </w:p>
    <w:p w14:paraId="072DFB1E" w14:textId="77777777" w:rsidR="00647EA0" w:rsidRPr="00683B48" w:rsidRDefault="00C15A67" w:rsidP="00FD78A5">
      <w:pPr>
        <w:jc w:val="both"/>
        <w:rPr>
          <w:rFonts w:cs="Arial"/>
          <w:b/>
          <w:sz w:val="24"/>
          <w:szCs w:val="24"/>
        </w:rPr>
      </w:pPr>
      <w:r w:rsidRPr="00683B48">
        <w:rPr>
          <w:rFonts w:cs="Arial"/>
          <w:sz w:val="24"/>
          <w:szCs w:val="24"/>
        </w:rPr>
        <w:t>T</w:t>
      </w:r>
      <w:r w:rsidR="00647EA0" w:rsidRPr="00683B48">
        <w:rPr>
          <w:rFonts w:cs="Arial"/>
          <w:sz w:val="24"/>
          <w:szCs w:val="24"/>
        </w:rPr>
        <w:t xml:space="preserve">here are </w:t>
      </w:r>
      <w:r w:rsidRPr="00683B48">
        <w:rPr>
          <w:rFonts w:cs="Arial"/>
          <w:sz w:val="24"/>
          <w:szCs w:val="24"/>
        </w:rPr>
        <w:t xml:space="preserve">however </w:t>
      </w:r>
      <w:r w:rsidR="00647EA0" w:rsidRPr="00683B48">
        <w:rPr>
          <w:rFonts w:cs="Arial"/>
          <w:sz w:val="24"/>
          <w:szCs w:val="24"/>
        </w:rPr>
        <w:t>rare cases which</w:t>
      </w:r>
      <w:r w:rsidRPr="00683B48">
        <w:rPr>
          <w:rFonts w:cs="Arial"/>
          <w:sz w:val="24"/>
          <w:szCs w:val="24"/>
        </w:rPr>
        <w:t xml:space="preserve"> the equality body</w:t>
      </w:r>
      <w:r w:rsidR="00647EA0" w:rsidRPr="00683B48">
        <w:rPr>
          <w:rFonts w:cs="Arial"/>
          <w:sz w:val="24"/>
          <w:szCs w:val="24"/>
        </w:rPr>
        <w:t xml:space="preserve"> may </w:t>
      </w:r>
      <w:r w:rsidRPr="00683B48">
        <w:rPr>
          <w:rFonts w:cs="Arial"/>
          <w:sz w:val="24"/>
          <w:szCs w:val="24"/>
        </w:rPr>
        <w:t>be</w:t>
      </w:r>
      <w:r w:rsidR="00647EA0" w:rsidRPr="00683B48">
        <w:rPr>
          <w:rFonts w:cs="Arial"/>
          <w:sz w:val="24"/>
          <w:szCs w:val="24"/>
        </w:rPr>
        <w:t xml:space="preserve"> likely to lose, but </w:t>
      </w:r>
      <w:r w:rsidRPr="00683B48">
        <w:rPr>
          <w:rFonts w:cs="Arial"/>
          <w:sz w:val="24"/>
          <w:szCs w:val="24"/>
        </w:rPr>
        <w:t xml:space="preserve">are </w:t>
      </w:r>
      <w:r w:rsidR="00647EA0" w:rsidRPr="00683B48">
        <w:rPr>
          <w:rFonts w:cs="Arial"/>
          <w:sz w:val="24"/>
          <w:szCs w:val="24"/>
        </w:rPr>
        <w:t xml:space="preserve">nevertheless strategic </w:t>
      </w:r>
      <w:r w:rsidRPr="00683B48">
        <w:rPr>
          <w:rFonts w:cs="Arial"/>
          <w:sz w:val="24"/>
          <w:szCs w:val="24"/>
        </w:rPr>
        <w:t xml:space="preserve">as </w:t>
      </w:r>
      <w:r w:rsidR="00647EA0" w:rsidRPr="00683B48">
        <w:rPr>
          <w:rFonts w:cs="Arial"/>
          <w:sz w:val="24"/>
          <w:szCs w:val="24"/>
        </w:rPr>
        <w:t xml:space="preserve">they are likely to result in a shift in public attitudes or a change in the law. (See Malcolm and </w:t>
      </w:r>
      <w:r w:rsidR="00443B48" w:rsidRPr="00683B48">
        <w:rPr>
          <w:rFonts w:cs="Arial"/>
          <w:sz w:val="24"/>
          <w:szCs w:val="24"/>
        </w:rPr>
        <w:t>Paulley</w:t>
      </w:r>
      <w:r w:rsidR="00CA316A" w:rsidRPr="00683B48">
        <w:rPr>
          <w:rFonts w:cs="Arial"/>
          <w:sz w:val="24"/>
          <w:szCs w:val="24"/>
        </w:rPr>
        <w:t xml:space="preserve"> case</w:t>
      </w:r>
      <w:r w:rsidRPr="00683B48">
        <w:rPr>
          <w:rFonts w:cs="Arial"/>
          <w:sz w:val="24"/>
          <w:szCs w:val="24"/>
        </w:rPr>
        <w:t>s</w:t>
      </w:r>
      <w:r w:rsidR="00CA316A" w:rsidRPr="00683B48">
        <w:rPr>
          <w:rFonts w:cs="Arial"/>
          <w:sz w:val="24"/>
          <w:szCs w:val="24"/>
        </w:rPr>
        <w:t xml:space="preserve"> in chapter 1</w:t>
      </w:r>
      <w:r w:rsidR="00647EA0" w:rsidRPr="00683B48">
        <w:rPr>
          <w:rFonts w:cs="Arial"/>
          <w:sz w:val="24"/>
          <w:szCs w:val="24"/>
        </w:rPr>
        <w:t>)</w:t>
      </w:r>
    </w:p>
    <w:p w14:paraId="0A076AF8" w14:textId="77777777" w:rsidR="00647EA0" w:rsidRPr="006F3139" w:rsidRDefault="00647EA0" w:rsidP="006F3139">
      <w:pPr>
        <w:pStyle w:val="ListParagraph"/>
        <w:numPr>
          <w:ilvl w:val="0"/>
          <w:numId w:val="14"/>
        </w:numPr>
        <w:jc w:val="both"/>
        <w:rPr>
          <w:rFonts w:cs="Arial"/>
          <w:b/>
          <w:sz w:val="24"/>
          <w:szCs w:val="24"/>
          <w:u w:val="single"/>
        </w:rPr>
      </w:pPr>
      <w:r w:rsidRPr="006F3139">
        <w:rPr>
          <w:rFonts w:cs="Arial"/>
          <w:b/>
          <w:sz w:val="24"/>
          <w:szCs w:val="24"/>
          <w:u w:val="single"/>
        </w:rPr>
        <w:t xml:space="preserve">What </w:t>
      </w:r>
      <w:r w:rsidR="000920D2" w:rsidRPr="006F3139">
        <w:rPr>
          <w:rFonts w:cs="Arial"/>
          <w:b/>
          <w:sz w:val="24"/>
          <w:szCs w:val="24"/>
          <w:u w:val="single"/>
        </w:rPr>
        <w:t>A</w:t>
      </w:r>
      <w:r w:rsidRPr="006F3139">
        <w:rPr>
          <w:rFonts w:cs="Arial"/>
          <w:b/>
          <w:sz w:val="24"/>
          <w:szCs w:val="24"/>
          <w:u w:val="single"/>
        </w:rPr>
        <w:t xml:space="preserve">re the </w:t>
      </w:r>
      <w:r w:rsidR="000920D2" w:rsidRPr="006F3139">
        <w:rPr>
          <w:rFonts w:cs="Arial"/>
          <w:b/>
          <w:sz w:val="24"/>
          <w:szCs w:val="24"/>
          <w:u w:val="single"/>
        </w:rPr>
        <w:t>P</w:t>
      </w:r>
      <w:r w:rsidRPr="006F3139">
        <w:rPr>
          <w:rFonts w:cs="Arial"/>
          <w:b/>
          <w:sz w:val="24"/>
          <w:szCs w:val="24"/>
          <w:u w:val="single"/>
        </w:rPr>
        <w:t xml:space="preserve">olicy </w:t>
      </w:r>
      <w:r w:rsidR="000920D2" w:rsidRPr="006F3139">
        <w:rPr>
          <w:rFonts w:cs="Arial"/>
          <w:b/>
          <w:sz w:val="24"/>
          <w:szCs w:val="24"/>
          <w:u w:val="single"/>
        </w:rPr>
        <w:t>C</w:t>
      </w:r>
      <w:r w:rsidRPr="006F3139">
        <w:rPr>
          <w:rFonts w:cs="Arial"/>
          <w:b/>
          <w:sz w:val="24"/>
          <w:szCs w:val="24"/>
          <w:u w:val="single"/>
        </w:rPr>
        <w:t>onsiderations?</w:t>
      </w:r>
    </w:p>
    <w:p w14:paraId="599F60FE" w14:textId="77777777" w:rsidR="00647EA0" w:rsidRPr="00683B48" w:rsidRDefault="00647EA0" w:rsidP="00FD78A5">
      <w:pPr>
        <w:jc w:val="both"/>
        <w:rPr>
          <w:rFonts w:cs="Arial"/>
          <w:sz w:val="24"/>
          <w:szCs w:val="24"/>
        </w:rPr>
      </w:pPr>
      <w:r w:rsidRPr="00683B48">
        <w:rPr>
          <w:rFonts w:cs="Arial"/>
          <w:sz w:val="24"/>
          <w:szCs w:val="24"/>
        </w:rPr>
        <w:t>A good understanding of the social, political and economic factors affecting the issues in the case and the outcome sought are essential</w:t>
      </w:r>
      <w:r w:rsidR="00443B48" w:rsidRPr="00683B48">
        <w:rPr>
          <w:rFonts w:cs="Arial"/>
          <w:sz w:val="24"/>
          <w:szCs w:val="24"/>
        </w:rPr>
        <w:t xml:space="preserve"> to determine whether the case is strategically strong or weak</w:t>
      </w:r>
      <w:r w:rsidRPr="00683B48">
        <w:rPr>
          <w:rFonts w:cs="Arial"/>
          <w:sz w:val="24"/>
          <w:szCs w:val="24"/>
        </w:rPr>
        <w:t xml:space="preserve">. </w:t>
      </w:r>
      <w:r w:rsidR="00895D47" w:rsidRPr="00683B48">
        <w:rPr>
          <w:rFonts w:cs="Arial"/>
          <w:sz w:val="24"/>
          <w:szCs w:val="24"/>
        </w:rPr>
        <w:t>D</w:t>
      </w:r>
      <w:r w:rsidRPr="00683B48">
        <w:rPr>
          <w:rFonts w:cs="Arial"/>
          <w:sz w:val="24"/>
          <w:szCs w:val="24"/>
        </w:rPr>
        <w:t xml:space="preserve">iscrimination cases </w:t>
      </w:r>
      <w:r w:rsidR="00895D47" w:rsidRPr="00683B48">
        <w:rPr>
          <w:rFonts w:cs="Arial"/>
          <w:sz w:val="24"/>
          <w:szCs w:val="24"/>
        </w:rPr>
        <w:t xml:space="preserve">often </w:t>
      </w:r>
      <w:r w:rsidRPr="00683B48">
        <w:rPr>
          <w:rFonts w:cs="Arial"/>
          <w:sz w:val="24"/>
          <w:szCs w:val="24"/>
        </w:rPr>
        <w:t xml:space="preserve">raise a conflict between opposing interests, and although the law has already established that the balance should tip in favour of the right not to be discriminated, it is not always that simple in practice. For example, a court may very well </w:t>
      </w:r>
      <w:r w:rsidRPr="00683B48">
        <w:rPr>
          <w:rFonts w:cs="Arial"/>
          <w:i/>
          <w:sz w:val="24"/>
          <w:szCs w:val="24"/>
        </w:rPr>
        <w:t>prima facie</w:t>
      </w:r>
      <w:r w:rsidRPr="00683B48">
        <w:rPr>
          <w:rFonts w:cs="Arial"/>
          <w:sz w:val="24"/>
          <w:szCs w:val="24"/>
        </w:rPr>
        <w:t xml:space="preserve"> consider it unreasonable to </w:t>
      </w:r>
      <w:r w:rsidR="00895D47" w:rsidRPr="00683B48">
        <w:rPr>
          <w:rFonts w:cs="Arial"/>
          <w:sz w:val="24"/>
          <w:szCs w:val="24"/>
        </w:rPr>
        <w:t xml:space="preserve">find against </w:t>
      </w:r>
      <w:r w:rsidRPr="00683B48">
        <w:rPr>
          <w:rFonts w:cs="Arial"/>
          <w:sz w:val="24"/>
          <w:szCs w:val="24"/>
        </w:rPr>
        <w:t>an insurance company for using group based statistics to determine a higher premium for an individual</w:t>
      </w:r>
      <w:r w:rsidR="00895D47" w:rsidRPr="00683B48">
        <w:rPr>
          <w:rFonts w:cs="Arial"/>
          <w:sz w:val="24"/>
          <w:szCs w:val="24"/>
        </w:rPr>
        <w:t>,</w:t>
      </w:r>
      <w:r w:rsidRPr="00683B48">
        <w:rPr>
          <w:rFonts w:cs="Arial"/>
          <w:sz w:val="24"/>
          <w:szCs w:val="24"/>
        </w:rPr>
        <w:t xml:space="preserve"> sympathize with a small employer who cannot afford to hire a pregnant woman, or</w:t>
      </w:r>
      <w:r w:rsidR="00895D47" w:rsidRPr="00683B48">
        <w:rPr>
          <w:rFonts w:cs="Arial"/>
          <w:sz w:val="24"/>
          <w:szCs w:val="24"/>
        </w:rPr>
        <w:t xml:space="preserve"> consider</w:t>
      </w:r>
      <w:r w:rsidRPr="00683B48">
        <w:rPr>
          <w:rFonts w:cs="Arial"/>
          <w:sz w:val="24"/>
          <w:szCs w:val="24"/>
        </w:rPr>
        <w:t xml:space="preserve"> it justified to protect younger employees in dismissal</w:t>
      </w:r>
      <w:r w:rsidR="00895D47" w:rsidRPr="00683B48">
        <w:rPr>
          <w:rFonts w:cs="Arial"/>
          <w:sz w:val="24"/>
          <w:szCs w:val="24"/>
        </w:rPr>
        <w:t xml:space="preserve"> cases</w:t>
      </w:r>
      <w:r w:rsidRPr="00683B48">
        <w:rPr>
          <w:rFonts w:cs="Arial"/>
          <w:sz w:val="24"/>
          <w:szCs w:val="24"/>
        </w:rPr>
        <w:t xml:space="preserve"> considering </w:t>
      </w:r>
      <w:r w:rsidR="00895D47" w:rsidRPr="00683B48">
        <w:rPr>
          <w:rFonts w:cs="Arial"/>
          <w:sz w:val="24"/>
          <w:szCs w:val="24"/>
        </w:rPr>
        <w:t xml:space="preserve">that </w:t>
      </w:r>
      <w:r w:rsidRPr="00683B48">
        <w:rPr>
          <w:rFonts w:cs="Arial"/>
          <w:sz w:val="24"/>
          <w:szCs w:val="24"/>
        </w:rPr>
        <w:t>they have families to support.</w:t>
      </w:r>
    </w:p>
    <w:p w14:paraId="5258D341" w14:textId="77777777" w:rsidR="00647EA0" w:rsidRPr="00683B48" w:rsidRDefault="00647EA0" w:rsidP="00FD78A5">
      <w:pPr>
        <w:jc w:val="both"/>
        <w:rPr>
          <w:rFonts w:cs="Arial"/>
          <w:sz w:val="24"/>
          <w:szCs w:val="24"/>
        </w:rPr>
      </w:pPr>
      <w:r w:rsidRPr="00683B48">
        <w:rPr>
          <w:rFonts w:cs="Arial"/>
          <w:sz w:val="24"/>
          <w:szCs w:val="24"/>
        </w:rPr>
        <w:lastRenderedPageBreak/>
        <w:t xml:space="preserve">The court may </w:t>
      </w:r>
      <w:r w:rsidR="00895D47" w:rsidRPr="00683B48">
        <w:rPr>
          <w:rFonts w:cs="Arial"/>
          <w:sz w:val="24"/>
          <w:szCs w:val="24"/>
        </w:rPr>
        <w:t xml:space="preserve">also </w:t>
      </w:r>
      <w:r w:rsidRPr="00683B48">
        <w:rPr>
          <w:rFonts w:cs="Arial"/>
          <w:sz w:val="24"/>
          <w:szCs w:val="24"/>
        </w:rPr>
        <w:t xml:space="preserve">be unsympathetic to the case. For successful strategic litigation, the policy considerations and the individual case itself must both be analysed carefully.  </w:t>
      </w:r>
      <w:r w:rsidR="00443B48" w:rsidRPr="00683B48">
        <w:rPr>
          <w:rFonts w:cs="Arial"/>
          <w:sz w:val="24"/>
          <w:szCs w:val="24"/>
        </w:rPr>
        <w:t xml:space="preserve">The </w:t>
      </w:r>
      <w:r w:rsidRPr="00683B48">
        <w:rPr>
          <w:rFonts w:cs="Arial"/>
          <w:sz w:val="24"/>
          <w:szCs w:val="24"/>
        </w:rPr>
        <w:t xml:space="preserve">facts and circumstances of the case </w:t>
      </w:r>
      <w:r w:rsidR="00443B48" w:rsidRPr="00683B48">
        <w:rPr>
          <w:rFonts w:cs="Arial"/>
          <w:sz w:val="24"/>
          <w:szCs w:val="24"/>
        </w:rPr>
        <w:t xml:space="preserve">should </w:t>
      </w:r>
      <w:r w:rsidRPr="00683B48">
        <w:rPr>
          <w:rFonts w:cs="Arial"/>
          <w:sz w:val="24"/>
          <w:szCs w:val="24"/>
        </w:rPr>
        <w:t xml:space="preserve">favour the policy outcome sought considering the structural or systemic discrimination </w:t>
      </w:r>
      <w:r w:rsidR="00895D47" w:rsidRPr="00683B48">
        <w:rPr>
          <w:rFonts w:cs="Arial"/>
          <w:sz w:val="24"/>
          <w:szCs w:val="24"/>
        </w:rPr>
        <w:t>at</w:t>
      </w:r>
      <w:r w:rsidRPr="00683B48">
        <w:rPr>
          <w:rFonts w:cs="Arial"/>
          <w:sz w:val="24"/>
          <w:szCs w:val="24"/>
        </w:rPr>
        <w:t xml:space="preserve"> issue</w:t>
      </w:r>
      <w:r w:rsidR="00895D47" w:rsidRPr="00683B48">
        <w:rPr>
          <w:rFonts w:cs="Arial"/>
          <w:sz w:val="24"/>
          <w:szCs w:val="24"/>
        </w:rPr>
        <w:t>.</w:t>
      </w:r>
    </w:p>
    <w:p w14:paraId="34AD3C6E" w14:textId="77777777" w:rsidR="00647EA0" w:rsidRPr="00683B48" w:rsidRDefault="00647EA0" w:rsidP="00FD78A5">
      <w:pPr>
        <w:jc w:val="both"/>
        <w:rPr>
          <w:rFonts w:cs="Arial"/>
          <w:sz w:val="24"/>
          <w:szCs w:val="24"/>
        </w:rPr>
      </w:pPr>
      <w:r w:rsidRPr="00683B48">
        <w:rPr>
          <w:rFonts w:cs="Arial"/>
          <w:sz w:val="24"/>
          <w:szCs w:val="24"/>
        </w:rPr>
        <w:t xml:space="preserve">For example, should employers typically have to </w:t>
      </w:r>
      <w:r w:rsidR="00B153C0" w:rsidRPr="00683B48">
        <w:rPr>
          <w:rFonts w:cs="Arial"/>
          <w:sz w:val="24"/>
          <w:szCs w:val="24"/>
        </w:rPr>
        <w:t xml:space="preserve">carry </w:t>
      </w:r>
      <w:r w:rsidRPr="00683B48">
        <w:rPr>
          <w:rFonts w:cs="Arial"/>
          <w:sz w:val="24"/>
          <w:szCs w:val="24"/>
        </w:rPr>
        <w:t xml:space="preserve">the costs/risks/inconvenience for accommodating religious dress in a particular type of occupation? </w:t>
      </w:r>
      <w:r w:rsidR="00B153C0" w:rsidRPr="00683B48">
        <w:rPr>
          <w:rFonts w:cs="Arial"/>
          <w:sz w:val="24"/>
          <w:szCs w:val="24"/>
        </w:rPr>
        <w:t xml:space="preserve">Answering this question </w:t>
      </w:r>
      <w:r w:rsidRPr="00683B48">
        <w:rPr>
          <w:rFonts w:cs="Arial"/>
          <w:sz w:val="24"/>
          <w:szCs w:val="24"/>
        </w:rPr>
        <w:t>is necessary to determine how or whether the case should be argued. Successful litigation typically requires ‘selling’ a particular outcome as attractive to the court, and for that to happen, the policy case must be strong. In any event, the individual circumstances should not work against the desirable outcome.</w:t>
      </w:r>
    </w:p>
    <w:p w14:paraId="74F41D4D" w14:textId="77777777" w:rsidR="00647EA0" w:rsidRPr="00683B48" w:rsidRDefault="00647EA0" w:rsidP="00FD78A5">
      <w:pPr>
        <w:jc w:val="both"/>
        <w:rPr>
          <w:rFonts w:cs="Arial"/>
          <w:b/>
          <w:sz w:val="24"/>
          <w:szCs w:val="24"/>
        </w:rPr>
      </w:pPr>
      <w:r w:rsidRPr="00683B48">
        <w:rPr>
          <w:rFonts w:cs="Arial"/>
          <w:sz w:val="24"/>
          <w:szCs w:val="24"/>
        </w:rPr>
        <w:t xml:space="preserve">In addition to developing a theory of the case based on the four </w:t>
      </w:r>
      <w:r w:rsidR="00B153C0" w:rsidRPr="00683B48">
        <w:rPr>
          <w:rFonts w:cs="Arial"/>
          <w:sz w:val="24"/>
          <w:szCs w:val="24"/>
        </w:rPr>
        <w:t xml:space="preserve">questions listed </w:t>
      </w:r>
      <w:r w:rsidRPr="00683B48">
        <w:rPr>
          <w:rFonts w:cs="Arial"/>
          <w:sz w:val="24"/>
          <w:szCs w:val="24"/>
        </w:rPr>
        <w:t>above, it is critical to analyse the alleged discriminator’s case and determine whether their case is stronger, weaker or equally strong in one or more of the</w:t>
      </w:r>
      <w:r w:rsidR="00420235" w:rsidRPr="00683B48">
        <w:rPr>
          <w:rFonts w:cs="Arial"/>
          <w:sz w:val="24"/>
          <w:szCs w:val="24"/>
        </w:rPr>
        <w:t>se</w:t>
      </w:r>
      <w:r w:rsidRPr="00683B48">
        <w:rPr>
          <w:rFonts w:cs="Arial"/>
          <w:sz w:val="24"/>
          <w:szCs w:val="24"/>
        </w:rPr>
        <w:t xml:space="preserve"> aspects. </w:t>
      </w:r>
      <w:r w:rsidR="00420235" w:rsidRPr="00683B48">
        <w:rPr>
          <w:rFonts w:cs="Arial"/>
          <w:sz w:val="24"/>
          <w:szCs w:val="24"/>
        </w:rPr>
        <w:t>By performing this analysis</w:t>
      </w:r>
      <w:r w:rsidRPr="00683B48">
        <w:rPr>
          <w:rFonts w:cs="Arial"/>
          <w:sz w:val="24"/>
          <w:szCs w:val="24"/>
        </w:rPr>
        <w:t xml:space="preserve">, it is often possible to predict and outline the lines of conflict and </w:t>
      </w:r>
      <w:r w:rsidR="00420235" w:rsidRPr="00683B48">
        <w:rPr>
          <w:rFonts w:cs="Arial"/>
          <w:sz w:val="24"/>
          <w:szCs w:val="24"/>
        </w:rPr>
        <w:t xml:space="preserve">opposing </w:t>
      </w:r>
      <w:r w:rsidRPr="00683B48">
        <w:rPr>
          <w:rFonts w:cs="Arial"/>
          <w:sz w:val="24"/>
          <w:szCs w:val="24"/>
        </w:rPr>
        <w:t>arguments in advance</w:t>
      </w:r>
      <w:r w:rsidR="00420235" w:rsidRPr="00683B48">
        <w:rPr>
          <w:rFonts w:cs="Arial"/>
          <w:sz w:val="24"/>
          <w:szCs w:val="24"/>
        </w:rPr>
        <w:t xml:space="preserve">. Thereby a </w:t>
      </w:r>
      <w:r w:rsidRPr="00683B48">
        <w:rPr>
          <w:rFonts w:cs="Arial"/>
          <w:sz w:val="24"/>
          <w:szCs w:val="24"/>
        </w:rPr>
        <w:t xml:space="preserve">sober risk assessment </w:t>
      </w:r>
      <w:r w:rsidR="00420235" w:rsidRPr="00683B48">
        <w:rPr>
          <w:rFonts w:cs="Arial"/>
          <w:sz w:val="24"/>
          <w:szCs w:val="24"/>
        </w:rPr>
        <w:t xml:space="preserve">can be performed, </w:t>
      </w:r>
      <w:r w:rsidRPr="00683B48">
        <w:rPr>
          <w:rFonts w:cs="Arial"/>
          <w:sz w:val="24"/>
          <w:szCs w:val="24"/>
        </w:rPr>
        <w:t>prepar</w:t>
      </w:r>
      <w:r w:rsidR="00420235" w:rsidRPr="00683B48">
        <w:rPr>
          <w:rFonts w:cs="Arial"/>
          <w:sz w:val="24"/>
          <w:szCs w:val="24"/>
        </w:rPr>
        <w:t>ations</w:t>
      </w:r>
      <w:r w:rsidRPr="00683B48">
        <w:rPr>
          <w:rFonts w:cs="Arial"/>
          <w:sz w:val="24"/>
          <w:szCs w:val="24"/>
        </w:rPr>
        <w:t xml:space="preserve"> to neutralise the opposing party’s arguments</w:t>
      </w:r>
      <w:r w:rsidR="00420235" w:rsidRPr="00683B48">
        <w:rPr>
          <w:rFonts w:cs="Arial"/>
          <w:sz w:val="24"/>
          <w:szCs w:val="24"/>
        </w:rPr>
        <w:t xml:space="preserve"> can be made</w:t>
      </w:r>
      <w:r w:rsidR="00443B48" w:rsidRPr="00683B48">
        <w:rPr>
          <w:rFonts w:cs="Arial"/>
          <w:sz w:val="24"/>
          <w:szCs w:val="24"/>
        </w:rPr>
        <w:t xml:space="preserve">, </w:t>
      </w:r>
      <w:r w:rsidRPr="00683B48">
        <w:rPr>
          <w:rFonts w:cs="Arial"/>
          <w:sz w:val="24"/>
          <w:szCs w:val="24"/>
        </w:rPr>
        <w:t xml:space="preserve">or </w:t>
      </w:r>
      <w:r w:rsidR="00443B48" w:rsidRPr="00683B48">
        <w:rPr>
          <w:rFonts w:cs="Arial"/>
          <w:sz w:val="24"/>
          <w:szCs w:val="24"/>
        </w:rPr>
        <w:t>alternatively it</w:t>
      </w:r>
      <w:r w:rsidR="00420235" w:rsidRPr="00683B48">
        <w:rPr>
          <w:rFonts w:cs="Arial"/>
          <w:sz w:val="24"/>
          <w:szCs w:val="24"/>
        </w:rPr>
        <w:t xml:space="preserve"> may be decided that it</w:t>
      </w:r>
      <w:r w:rsidR="00443B48" w:rsidRPr="00683B48">
        <w:rPr>
          <w:rFonts w:cs="Arial"/>
          <w:sz w:val="24"/>
          <w:szCs w:val="24"/>
        </w:rPr>
        <w:t xml:space="preserve"> is better </w:t>
      </w:r>
      <w:r w:rsidRPr="00683B48">
        <w:rPr>
          <w:rFonts w:cs="Arial"/>
          <w:sz w:val="24"/>
          <w:szCs w:val="24"/>
        </w:rPr>
        <w:t xml:space="preserve">not to </w:t>
      </w:r>
      <w:r w:rsidR="00420235" w:rsidRPr="00683B48">
        <w:rPr>
          <w:rFonts w:cs="Arial"/>
          <w:sz w:val="24"/>
          <w:szCs w:val="24"/>
        </w:rPr>
        <w:t xml:space="preserve">pursue </w:t>
      </w:r>
      <w:r w:rsidRPr="00683B48">
        <w:rPr>
          <w:rFonts w:cs="Arial"/>
          <w:sz w:val="24"/>
          <w:szCs w:val="24"/>
        </w:rPr>
        <w:t xml:space="preserve">that </w:t>
      </w:r>
      <w:r w:rsidR="00443B48" w:rsidRPr="00683B48">
        <w:rPr>
          <w:rFonts w:cs="Arial"/>
          <w:sz w:val="24"/>
          <w:szCs w:val="24"/>
        </w:rPr>
        <w:t xml:space="preserve">particular </w:t>
      </w:r>
      <w:r w:rsidRPr="00683B48">
        <w:rPr>
          <w:rFonts w:cs="Arial"/>
          <w:sz w:val="24"/>
          <w:szCs w:val="24"/>
        </w:rPr>
        <w:t>case.</w:t>
      </w:r>
    </w:p>
    <w:p w14:paraId="54150EE7" w14:textId="77777777" w:rsidR="00647EA0" w:rsidRPr="006F3139" w:rsidRDefault="00647EA0" w:rsidP="006F3139">
      <w:pPr>
        <w:pStyle w:val="ListParagraph"/>
        <w:numPr>
          <w:ilvl w:val="0"/>
          <w:numId w:val="14"/>
        </w:numPr>
        <w:jc w:val="both"/>
        <w:rPr>
          <w:rFonts w:cs="Arial"/>
          <w:b/>
          <w:sz w:val="24"/>
          <w:szCs w:val="24"/>
          <w:u w:val="single"/>
        </w:rPr>
      </w:pPr>
      <w:r w:rsidRPr="006F3139">
        <w:rPr>
          <w:rFonts w:cs="Arial"/>
          <w:b/>
          <w:sz w:val="24"/>
          <w:szCs w:val="24"/>
          <w:u w:val="single"/>
        </w:rPr>
        <w:t xml:space="preserve">Considering the </w:t>
      </w:r>
      <w:r w:rsidR="00A5053D" w:rsidRPr="006F3139">
        <w:rPr>
          <w:rFonts w:cs="Arial"/>
          <w:b/>
          <w:sz w:val="24"/>
          <w:szCs w:val="24"/>
          <w:u w:val="single"/>
        </w:rPr>
        <w:t>C</w:t>
      </w:r>
      <w:r w:rsidRPr="006F3139">
        <w:rPr>
          <w:rFonts w:cs="Arial"/>
          <w:b/>
          <w:sz w:val="24"/>
          <w:szCs w:val="24"/>
          <w:u w:val="single"/>
        </w:rPr>
        <w:t>osts</w:t>
      </w:r>
    </w:p>
    <w:p w14:paraId="46E99E8A" w14:textId="77777777" w:rsidR="00647EA0" w:rsidRPr="00683B48" w:rsidRDefault="00647EA0" w:rsidP="00FD78A5">
      <w:pPr>
        <w:jc w:val="both"/>
        <w:rPr>
          <w:rFonts w:cs="Arial"/>
          <w:sz w:val="24"/>
          <w:szCs w:val="24"/>
        </w:rPr>
      </w:pPr>
      <w:r w:rsidRPr="00683B48">
        <w:rPr>
          <w:rFonts w:cs="Arial"/>
          <w:sz w:val="24"/>
          <w:szCs w:val="24"/>
        </w:rPr>
        <w:t xml:space="preserve">Litigation costs can be prohibitively high, especially when cases are in appellate courts. When considering </w:t>
      </w:r>
      <w:r w:rsidR="000857ED" w:rsidRPr="00683B48">
        <w:rPr>
          <w:rFonts w:cs="Arial"/>
          <w:sz w:val="24"/>
          <w:szCs w:val="24"/>
        </w:rPr>
        <w:t xml:space="preserve">whether to pursue </w:t>
      </w:r>
      <w:r w:rsidRPr="00683B48">
        <w:rPr>
          <w:rFonts w:cs="Arial"/>
          <w:sz w:val="24"/>
          <w:szCs w:val="24"/>
        </w:rPr>
        <w:t xml:space="preserve">a strategic case, the </w:t>
      </w:r>
      <w:r w:rsidR="00874611" w:rsidRPr="00683B48">
        <w:rPr>
          <w:rFonts w:cs="Arial"/>
          <w:sz w:val="24"/>
          <w:szCs w:val="24"/>
        </w:rPr>
        <w:t>equality body</w:t>
      </w:r>
      <w:r w:rsidRPr="00683B48">
        <w:rPr>
          <w:rFonts w:cs="Arial"/>
          <w:sz w:val="24"/>
          <w:szCs w:val="24"/>
        </w:rPr>
        <w:t xml:space="preserve"> should determine whether i</w:t>
      </w:r>
      <w:r w:rsidR="000857ED" w:rsidRPr="00683B48">
        <w:rPr>
          <w:rFonts w:cs="Arial"/>
          <w:sz w:val="24"/>
          <w:szCs w:val="24"/>
        </w:rPr>
        <w:t>t has</w:t>
      </w:r>
      <w:r w:rsidRPr="00683B48">
        <w:rPr>
          <w:rFonts w:cs="Arial"/>
          <w:sz w:val="24"/>
          <w:szCs w:val="24"/>
        </w:rPr>
        <w:t xml:space="preserve"> </w:t>
      </w:r>
      <w:r w:rsidR="000857ED" w:rsidRPr="00683B48">
        <w:rPr>
          <w:rFonts w:cs="Arial"/>
          <w:sz w:val="24"/>
          <w:szCs w:val="24"/>
        </w:rPr>
        <w:t xml:space="preserve">sufficient </w:t>
      </w:r>
      <w:r w:rsidRPr="00683B48">
        <w:rPr>
          <w:rFonts w:cs="Arial"/>
          <w:sz w:val="24"/>
          <w:szCs w:val="24"/>
        </w:rPr>
        <w:t>fun</w:t>
      </w:r>
      <w:r w:rsidR="000857ED" w:rsidRPr="00683B48">
        <w:rPr>
          <w:rFonts w:cs="Arial"/>
          <w:sz w:val="24"/>
          <w:szCs w:val="24"/>
        </w:rPr>
        <w:t>ds</w:t>
      </w:r>
      <w:r w:rsidRPr="00683B48">
        <w:rPr>
          <w:rFonts w:cs="Arial"/>
          <w:sz w:val="24"/>
          <w:szCs w:val="24"/>
        </w:rPr>
        <w:t xml:space="preserve"> </w:t>
      </w:r>
      <w:r w:rsidR="00443B48" w:rsidRPr="00683B48">
        <w:rPr>
          <w:rFonts w:cs="Arial"/>
          <w:sz w:val="24"/>
          <w:szCs w:val="24"/>
        </w:rPr>
        <w:t xml:space="preserve">and internal resources </w:t>
      </w:r>
      <w:r w:rsidRPr="00683B48">
        <w:rPr>
          <w:rFonts w:cs="Arial"/>
          <w:sz w:val="24"/>
          <w:szCs w:val="24"/>
        </w:rPr>
        <w:t xml:space="preserve">to </w:t>
      </w:r>
      <w:r w:rsidR="000857ED" w:rsidRPr="00683B48">
        <w:rPr>
          <w:rFonts w:cs="Arial"/>
          <w:sz w:val="24"/>
          <w:szCs w:val="24"/>
        </w:rPr>
        <w:t xml:space="preserve">cover </w:t>
      </w:r>
      <w:r w:rsidRPr="00683B48">
        <w:rPr>
          <w:rFonts w:cs="Arial"/>
          <w:sz w:val="24"/>
          <w:szCs w:val="24"/>
        </w:rPr>
        <w:t>the costs of the other parties (as well as its own) if the case is lost</w:t>
      </w:r>
      <w:r w:rsidR="000857ED" w:rsidRPr="00683B48">
        <w:rPr>
          <w:rFonts w:cs="Arial"/>
          <w:sz w:val="24"/>
          <w:szCs w:val="24"/>
        </w:rPr>
        <w:t>. Furthermore, it should be established that</w:t>
      </w:r>
      <w:r w:rsidRPr="00683B48">
        <w:rPr>
          <w:rFonts w:cs="Arial"/>
          <w:sz w:val="24"/>
          <w:szCs w:val="24"/>
        </w:rPr>
        <w:t xml:space="preserve"> the</w:t>
      </w:r>
      <w:r w:rsidR="000857ED" w:rsidRPr="00683B48">
        <w:rPr>
          <w:rFonts w:cs="Arial"/>
          <w:sz w:val="24"/>
          <w:szCs w:val="24"/>
        </w:rPr>
        <w:t xml:space="preserve"> possible</w:t>
      </w:r>
      <w:r w:rsidRPr="00683B48">
        <w:rPr>
          <w:rFonts w:cs="Arial"/>
          <w:sz w:val="24"/>
          <w:szCs w:val="24"/>
        </w:rPr>
        <w:t xml:space="preserve"> benefit from </w:t>
      </w:r>
      <w:r w:rsidR="000857ED" w:rsidRPr="00683B48">
        <w:rPr>
          <w:rFonts w:cs="Arial"/>
          <w:sz w:val="24"/>
          <w:szCs w:val="24"/>
        </w:rPr>
        <w:t xml:space="preserve">successful </w:t>
      </w:r>
      <w:r w:rsidRPr="00683B48">
        <w:rPr>
          <w:rFonts w:cs="Arial"/>
          <w:sz w:val="24"/>
          <w:szCs w:val="24"/>
        </w:rPr>
        <w:t xml:space="preserve">litigation justifies the </w:t>
      </w:r>
      <w:r w:rsidR="000857ED" w:rsidRPr="00683B48">
        <w:rPr>
          <w:rFonts w:cs="Arial"/>
          <w:sz w:val="24"/>
          <w:szCs w:val="24"/>
        </w:rPr>
        <w:t xml:space="preserve">possible </w:t>
      </w:r>
      <w:r w:rsidRPr="00683B48">
        <w:rPr>
          <w:rFonts w:cs="Arial"/>
          <w:sz w:val="24"/>
          <w:szCs w:val="24"/>
        </w:rPr>
        <w:t xml:space="preserve">costs. </w:t>
      </w:r>
      <w:r w:rsidR="000857ED" w:rsidRPr="00683B48">
        <w:rPr>
          <w:rFonts w:cs="Arial"/>
          <w:sz w:val="24"/>
          <w:szCs w:val="24"/>
        </w:rPr>
        <w:t xml:space="preserve">Where </w:t>
      </w:r>
      <w:r w:rsidRPr="00683B48">
        <w:rPr>
          <w:rFonts w:cs="Arial"/>
          <w:sz w:val="24"/>
          <w:szCs w:val="24"/>
        </w:rPr>
        <w:t>funding is limited, it is better to focus on cases with little or no factual dispute</w:t>
      </w:r>
      <w:r w:rsidR="000857ED" w:rsidRPr="00683B48">
        <w:rPr>
          <w:rFonts w:cs="Arial"/>
          <w:sz w:val="24"/>
          <w:szCs w:val="24"/>
        </w:rPr>
        <w:t xml:space="preserve"> in order</w:t>
      </w:r>
      <w:r w:rsidRPr="00683B48">
        <w:rPr>
          <w:rFonts w:cs="Arial"/>
          <w:sz w:val="24"/>
          <w:szCs w:val="24"/>
        </w:rPr>
        <w:t xml:space="preserve"> to reduce costs and avoid poor settlement agreements which do not require the perpetrator to admit guilt or rectify a policy or behaviour. </w:t>
      </w:r>
    </w:p>
    <w:p w14:paraId="0B74002F" w14:textId="77777777" w:rsidR="00647EA0" w:rsidRPr="00683B48" w:rsidRDefault="00647EA0" w:rsidP="00FD78A5">
      <w:pPr>
        <w:jc w:val="both"/>
        <w:rPr>
          <w:rFonts w:cs="Arial"/>
          <w:sz w:val="24"/>
          <w:szCs w:val="24"/>
        </w:rPr>
      </w:pPr>
      <w:r w:rsidRPr="00683B48">
        <w:rPr>
          <w:rFonts w:cs="Arial"/>
          <w:sz w:val="24"/>
          <w:szCs w:val="24"/>
        </w:rPr>
        <w:t xml:space="preserve">Complex discrimination cases involve all aspects described above and, in addition, tend to entail a mix of law, politics and morality. Such cases require careful analysis and decision making prior to </w:t>
      </w:r>
      <w:r w:rsidR="00D701FB" w:rsidRPr="00683B48">
        <w:rPr>
          <w:rFonts w:cs="Arial"/>
          <w:sz w:val="24"/>
          <w:szCs w:val="24"/>
        </w:rPr>
        <w:t>initiating legal proceedings</w:t>
      </w:r>
      <w:r w:rsidRPr="00683B48">
        <w:rPr>
          <w:rFonts w:cs="Arial"/>
          <w:sz w:val="24"/>
          <w:szCs w:val="24"/>
        </w:rPr>
        <w:t xml:space="preserve">. </w:t>
      </w:r>
    </w:p>
    <w:p w14:paraId="7C37BBB3" w14:textId="2E71CB2A" w:rsidR="00647EA0" w:rsidRPr="00683B48" w:rsidRDefault="00647EA0" w:rsidP="00FD78A5">
      <w:pPr>
        <w:jc w:val="both"/>
        <w:rPr>
          <w:rFonts w:cs="Arial"/>
          <w:b/>
          <w:sz w:val="24"/>
          <w:szCs w:val="24"/>
        </w:rPr>
      </w:pPr>
      <w:r w:rsidRPr="00683B48">
        <w:rPr>
          <w:rFonts w:cs="Arial"/>
          <w:b/>
          <w:sz w:val="24"/>
          <w:szCs w:val="24"/>
        </w:rPr>
        <w:t xml:space="preserve">Checklist for </w:t>
      </w:r>
      <w:r w:rsidR="00911223" w:rsidRPr="00683B48">
        <w:rPr>
          <w:rFonts w:cs="Arial"/>
          <w:b/>
          <w:sz w:val="24"/>
          <w:szCs w:val="24"/>
        </w:rPr>
        <w:t>S</w:t>
      </w:r>
      <w:r w:rsidRPr="00683B48">
        <w:rPr>
          <w:rFonts w:cs="Arial"/>
          <w:b/>
          <w:sz w:val="24"/>
          <w:szCs w:val="24"/>
        </w:rPr>
        <w:t xml:space="preserve">electing </w:t>
      </w:r>
      <w:r w:rsidR="00911223" w:rsidRPr="00683B48">
        <w:rPr>
          <w:rFonts w:cs="Arial"/>
          <w:b/>
          <w:sz w:val="24"/>
          <w:szCs w:val="24"/>
        </w:rPr>
        <w:t>C</w:t>
      </w:r>
      <w:r w:rsidRPr="00683B48">
        <w:rPr>
          <w:rFonts w:cs="Arial"/>
          <w:b/>
          <w:sz w:val="24"/>
          <w:szCs w:val="24"/>
        </w:rPr>
        <w:t>ases</w:t>
      </w:r>
    </w:p>
    <w:p w14:paraId="0128BDD0"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t>Does the case fit the equality body’s strategic litigation policy?</w:t>
      </w:r>
    </w:p>
    <w:p w14:paraId="13068ABD"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t>Are the facts of the case clear and strong?</w:t>
      </w:r>
    </w:p>
    <w:p w14:paraId="7D0534A6"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t xml:space="preserve">Is there </w:t>
      </w:r>
      <w:r w:rsidR="00283F0F" w:rsidRPr="00683B48">
        <w:rPr>
          <w:rFonts w:cs="Arial"/>
          <w:sz w:val="24"/>
          <w:szCs w:val="24"/>
        </w:rPr>
        <w:t xml:space="preserve">sufficient </w:t>
      </w:r>
      <w:r w:rsidRPr="00683B48">
        <w:rPr>
          <w:rFonts w:cs="Arial"/>
          <w:sz w:val="24"/>
          <w:szCs w:val="24"/>
        </w:rPr>
        <w:t>evidence of discrimination?</w:t>
      </w:r>
    </w:p>
    <w:p w14:paraId="4BC1AE4A"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t>Are there sound and strong legal arguments (or even precedents) supporting the desired outcome?</w:t>
      </w:r>
    </w:p>
    <w:p w14:paraId="6048375B"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t>Is the social-political-economic environment supportive or are there particular sensitivities and risks?</w:t>
      </w:r>
    </w:p>
    <w:p w14:paraId="4D807C2B"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lastRenderedPageBreak/>
        <w:t>What will the impact</w:t>
      </w:r>
      <w:r w:rsidR="00283F0F" w:rsidRPr="00683B48">
        <w:rPr>
          <w:rFonts w:cs="Arial"/>
          <w:sz w:val="24"/>
          <w:szCs w:val="24"/>
        </w:rPr>
        <w:t xml:space="preserve"> be</w:t>
      </w:r>
      <w:r w:rsidRPr="00683B48">
        <w:rPr>
          <w:rFonts w:cs="Arial"/>
          <w:sz w:val="24"/>
          <w:szCs w:val="24"/>
        </w:rPr>
        <w:t xml:space="preserve"> if</w:t>
      </w:r>
      <w:r w:rsidR="00283F0F" w:rsidRPr="00683B48">
        <w:rPr>
          <w:rFonts w:cs="Arial"/>
          <w:sz w:val="24"/>
          <w:szCs w:val="24"/>
        </w:rPr>
        <w:t xml:space="preserve"> litigation is</w:t>
      </w:r>
      <w:r w:rsidRPr="00683B48">
        <w:rPr>
          <w:rFonts w:cs="Arial"/>
          <w:sz w:val="24"/>
          <w:szCs w:val="24"/>
        </w:rPr>
        <w:t xml:space="preserve"> successful?</w:t>
      </w:r>
    </w:p>
    <w:p w14:paraId="55285CDB"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t xml:space="preserve">What will the impact </w:t>
      </w:r>
      <w:r w:rsidR="00283F0F" w:rsidRPr="00683B48">
        <w:rPr>
          <w:rFonts w:cs="Arial"/>
          <w:sz w:val="24"/>
          <w:szCs w:val="24"/>
        </w:rPr>
        <w:t xml:space="preserve">be </w:t>
      </w:r>
      <w:r w:rsidRPr="00683B48">
        <w:rPr>
          <w:rFonts w:cs="Arial"/>
          <w:sz w:val="24"/>
          <w:szCs w:val="24"/>
        </w:rPr>
        <w:t xml:space="preserve">on the affected group if </w:t>
      </w:r>
      <w:r w:rsidR="00283F0F" w:rsidRPr="00683B48">
        <w:rPr>
          <w:rFonts w:cs="Arial"/>
          <w:sz w:val="24"/>
          <w:szCs w:val="24"/>
        </w:rPr>
        <w:t xml:space="preserve">litigation is </w:t>
      </w:r>
      <w:r w:rsidRPr="00683B48">
        <w:rPr>
          <w:rFonts w:cs="Arial"/>
          <w:sz w:val="24"/>
          <w:szCs w:val="24"/>
        </w:rPr>
        <w:t>unsuccessful?</w:t>
      </w:r>
    </w:p>
    <w:p w14:paraId="087F123B" w14:textId="77777777" w:rsidR="00A179E4" w:rsidRPr="00683B48" w:rsidRDefault="00A179E4" w:rsidP="00FD78A5">
      <w:pPr>
        <w:pStyle w:val="ListParagraph"/>
        <w:numPr>
          <w:ilvl w:val="0"/>
          <w:numId w:val="8"/>
        </w:numPr>
        <w:jc w:val="both"/>
        <w:rPr>
          <w:rFonts w:cs="Arial"/>
          <w:sz w:val="24"/>
          <w:szCs w:val="24"/>
        </w:rPr>
      </w:pPr>
      <w:r w:rsidRPr="00683B48">
        <w:rPr>
          <w:rFonts w:cs="Arial"/>
          <w:sz w:val="24"/>
          <w:szCs w:val="24"/>
        </w:rPr>
        <w:t xml:space="preserve">Are the </w:t>
      </w:r>
      <w:r w:rsidR="00283F0F" w:rsidRPr="00683B48">
        <w:rPr>
          <w:rFonts w:cs="Arial"/>
          <w:sz w:val="24"/>
          <w:szCs w:val="24"/>
        </w:rPr>
        <w:t xml:space="preserve">possible </w:t>
      </w:r>
      <w:r w:rsidRPr="00683B48">
        <w:rPr>
          <w:rFonts w:cs="Arial"/>
          <w:sz w:val="24"/>
          <w:szCs w:val="24"/>
        </w:rPr>
        <w:t>cost</w:t>
      </w:r>
      <w:r w:rsidR="00283F0F" w:rsidRPr="00683B48">
        <w:rPr>
          <w:rFonts w:cs="Arial"/>
          <w:sz w:val="24"/>
          <w:szCs w:val="24"/>
        </w:rPr>
        <w:t>s</w:t>
      </w:r>
      <w:r w:rsidRPr="00683B48">
        <w:rPr>
          <w:rFonts w:cs="Arial"/>
          <w:sz w:val="24"/>
          <w:szCs w:val="24"/>
        </w:rPr>
        <w:t xml:space="preserve"> justified by the potential legal-policy gains?</w:t>
      </w:r>
    </w:p>
    <w:p w14:paraId="0DEB1EA7"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t xml:space="preserve">Will progress towards the strategic </w:t>
      </w:r>
      <w:r w:rsidR="00283F0F" w:rsidRPr="00683B48">
        <w:rPr>
          <w:rFonts w:cs="Arial"/>
          <w:sz w:val="24"/>
          <w:szCs w:val="24"/>
        </w:rPr>
        <w:t xml:space="preserve">objective </w:t>
      </w:r>
      <w:r w:rsidRPr="00683B48">
        <w:rPr>
          <w:rFonts w:cs="Arial"/>
          <w:sz w:val="24"/>
          <w:szCs w:val="24"/>
        </w:rPr>
        <w:t>sought be set back/harmed if the case is lost or the intervention/amicus curia</w:t>
      </w:r>
      <w:r w:rsidR="00F3294D" w:rsidRPr="00683B48">
        <w:rPr>
          <w:rFonts w:cs="Arial"/>
          <w:sz w:val="24"/>
          <w:szCs w:val="24"/>
        </w:rPr>
        <w:t>e</w:t>
      </w:r>
      <w:r w:rsidRPr="00683B48">
        <w:rPr>
          <w:rFonts w:cs="Arial"/>
          <w:sz w:val="24"/>
          <w:szCs w:val="24"/>
        </w:rPr>
        <w:t xml:space="preserve"> </w:t>
      </w:r>
      <w:r w:rsidR="00283F0F" w:rsidRPr="00683B48">
        <w:rPr>
          <w:rFonts w:cs="Arial"/>
          <w:sz w:val="24"/>
          <w:szCs w:val="24"/>
        </w:rPr>
        <w:t xml:space="preserve">is </w:t>
      </w:r>
      <w:r w:rsidRPr="00683B48">
        <w:rPr>
          <w:rFonts w:cs="Arial"/>
          <w:sz w:val="24"/>
          <w:szCs w:val="24"/>
        </w:rPr>
        <w:t>not successful?</w:t>
      </w:r>
    </w:p>
    <w:p w14:paraId="1003AF82" w14:textId="77777777" w:rsidR="00647EA0" w:rsidRPr="00683B48" w:rsidRDefault="00A179E4" w:rsidP="00FD78A5">
      <w:pPr>
        <w:pStyle w:val="ListParagraph"/>
        <w:numPr>
          <w:ilvl w:val="0"/>
          <w:numId w:val="8"/>
        </w:numPr>
        <w:jc w:val="both"/>
        <w:rPr>
          <w:rFonts w:cs="Arial"/>
          <w:sz w:val="24"/>
          <w:szCs w:val="24"/>
        </w:rPr>
      </w:pPr>
      <w:r w:rsidRPr="00683B48">
        <w:rPr>
          <w:rFonts w:cs="Arial"/>
          <w:sz w:val="24"/>
          <w:szCs w:val="24"/>
        </w:rPr>
        <w:t>How c</w:t>
      </w:r>
      <w:r w:rsidR="00647EA0" w:rsidRPr="00683B48">
        <w:rPr>
          <w:rFonts w:cs="Arial"/>
          <w:sz w:val="24"/>
          <w:szCs w:val="24"/>
        </w:rPr>
        <w:t xml:space="preserve">an the case be publicised in order to influence public opinion to further the strategic </w:t>
      </w:r>
      <w:r w:rsidR="00283F0F" w:rsidRPr="00683B48">
        <w:rPr>
          <w:rFonts w:cs="Arial"/>
          <w:sz w:val="24"/>
          <w:szCs w:val="24"/>
        </w:rPr>
        <w:t xml:space="preserve">objective </w:t>
      </w:r>
      <w:r w:rsidR="00647EA0" w:rsidRPr="00683B48">
        <w:rPr>
          <w:rFonts w:cs="Arial"/>
          <w:sz w:val="24"/>
          <w:szCs w:val="24"/>
        </w:rPr>
        <w:t xml:space="preserve">sought? </w:t>
      </w:r>
    </w:p>
    <w:p w14:paraId="7870C299" w14:textId="77777777" w:rsidR="00647EA0" w:rsidRPr="00683B48" w:rsidRDefault="00647EA0" w:rsidP="00FD78A5">
      <w:pPr>
        <w:pStyle w:val="ListParagraph"/>
        <w:numPr>
          <w:ilvl w:val="0"/>
          <w:numId w:val="8"/>
        </w:numPr>
        <w:jc w:val="both"/>
        <w:rPr>
          <w:rFonts w:cs="Arial"/>
          <w:sz w:val="24"/>
          <w:szCs w:val="24"/>
        </w:rPr>
      </w:pPr>
      <w:r w:rsidRPr="00683B48">
        <w:rPr>
          <w:rFonts w:cs="Arial"/>
          <w:sz w:val="24"/>
          <w:szCs w:val="24"/>
        </w:rPr>
        <w:t xml:space="preserve">Is there a better way to tackle the issue than through </w:t>
      </w:r>
      <w:r w:rsidR="00A179E4" w:rsidRPr="00683B48">
        <w:rPr>
          <w:rFonts w:cs="Arial"/>
          <w:sz w:val="24"/>
          <w:szCs w:val="24"/>
        </w:rPr>
        <w:t>litigation</w:t>
      </w:r>
      <w:r w:rsidRPr="00683B48">
        <w:rPr>
          <w:rFonts w:cs="Arial"/>
          <w:sz w:val="24"/>
          <w:szCs w:val="24"/>
        </w:rPr>
        <w:t>?</w:t>
      </w:r>
    </w:p>
    <w:p w14:paraId="18E66683" w14:textId="77777777" w:rsidR="00647EA0" w:rsidRPr="00683B48" w:rsidRDefault="00647EA0" w:rsidP="00FD78A5">
      <w:pPr>
        <w:jc w:val="both"/>
        <w:rPr>
          <w:rFonts w:cs="Arial"/>
          <w:sz w:val="24"/>
          <w:szCs w:val="24"/>
        </w:rPr>
      </w:pPr>
    </w:p>
    <w:p w14:paraId="59F77E0A" w14:textId="77777777" w:rsidR="00647EA0" w:rsidRPr="00683B48" w:rsidRDefault="00647EA0" w:rsidP="00FD78A5">
      <w:pPr>
        <w:spacing w:after="0" w:line="240" w:lineRule="auto"/>
        <w:jc w:val="both"/>
        <w:rPr>
          <w:rFonts w:cs="Arial"/>
          <w:sz w:val="24"/>
          <w:szCs w:val="24"/>
        </w:rPr>
      </w:pPr>
      <w:r w:rsidRPr="00683B48">
        <w:rPr>
          <w:rFonts w:cs="Arial"/>
          <w:sz w:val="24"/>
          <w:szCs w:val="24"/>
        </w:rPr>
        <w:br w:type="page"/>
      </w:r>
    </w:p>
    <w:p w14:paraId="06AB264B" w14:textId="77777777" w:rsidR="00647EA0" w:rsidRPr="00D27A66" w:rsidRDefault="00647EA0" w:rsidP="00FD78A5">
      <w:pPr>
        <w:jc w:val="both"/>
        <w:rPr>
          <w:rFonts w:cs="Arial"/>
          <w:b/>
          <w:sz w:val="36"/>
          <w:szCs w:val="36"/>
        </w:rPr>
      </w:pPr>
      <w:bookmarkStart w:id="2" w:name="chapter3"/>
      <w:r w:rsidRPr="00D27A66">
        <w:rPr>
          <w:rFonts w:cs="Arial"/>
          <w:b/>
          <w:sz w:val="36"/>
          <w:szCs w:val="36"/>
        </w:rPr>
        <w:lastRenderedPageBreak/>
        <w:t>C</w:t>
      </w:r>
      <w:r w:rsidR="00D27A66">
        <w:rPr>
          <w:rFonts w:cs="Arial"/>
          <w:b/>
          <w:sz w:val="36"/>
          <w:szCs w:val="36"/>
        </w:rPr>
        <w:t>HAPTER 3: METHODS</w:t>
      </w:r>
    </w:p>
    <w:bookmarkEnd w:id="2"/>
    <w:p w14:paraId="6EE8CADC" w14:textId="4ADB9A17" w:rsidR="00647EA0" w:rsidRPr="00683B48" w:rsidRDefault="00647EA0" w:rsidP="00FD78A5">
      <w:pPr>
        <w:jc w:val="both"/>
        <w:rPr>
          <w:rFonts w:cs="Arial"/>
          <w:b/>
          <w:sz w:val="24"/>
          <w:szCs w:val="24"/>
        </w:rPr>
      </w:pPr>
      <w:r w:rsidRPr="00683B48">
        <w:rPr>
          <w:rFonts w:cs="Arial"/>
          <w:b/>
          <w:sz w:val="24"/>
          <w:szCs w:val="24"/>
        </w:rPr>
        <w:t>T</w:t>
      </w:r>
      <w:r w:rsidR="00A727E3">
        <w:rPr>
          <w:rFonts w:cs="Arial"/>
          <w:b/>
          <w:sz w:val="24"/>
          <w:szCs w:val="24"/>
        </w:rPr>
        <w:t>OOLS AND STRATEGIES FOR STRATEGIC LEGAL CASE WORK</w:t>
      </w:r>
    </w:p>
    <w:p w14:paraId="73BB3BED" w14:textId="77777777" w:rsidR="00647EA0" w:rsidRPr="00683B48" w:rsidRDefault="00647EA0" w:rsidP="00FD78A5">
      <w:pPr>
        <w:jc w:val="both"/>
        <w:rPr>
          <w:rFonts w:cs="Arial"/>
          <w:sz w:val="24"/>
          <w:szCs w:val="24"/>
        </w:rPr>
      </w:pPr>
      <w:r w:rsidRPr="00683B48">
        <w:rPr>
          <w:rFonts w:cs="Arial"/>
          <w:sz w:val="24"/>
          <w:szCs w:val="24"/>
        </w:rPr>
        <w:t xml:space="preserve">This chapter describes the different methods that can be used in legal casework to achieve a strategic legal </w:t>
      </w:r>
      <w:r w:rsidR="00E76F4C" w:rsidRPr="00683B48">
        <w:rPr>
          <w:rFonts w:cs="Arial"/>
          <w:sz w:val="24"/>
          <w:szCs w:val="24"/>
        </w:rPr>
        <w:t>objective</w:t>
      </w:r>
      <w:r w:rsidR="007129B0">
        <w:rPr>
          <w:rFonts w:cs="Arial"/>
          <w:sz w:val="24"/>
          <w:szCs w:val="24"/>
        </w:rPr>
        <w:t xml:space="preserve"> </w:t>
      </w:r>
      <w:r w:rsidR="007129B0" w:rsidRPr="007129B0">
        <w:rPr>
          <w:rFonts w:cs="Arial"/>
          <w:sz w:val="24"/>
          <w:szCs w:val="24"/>
        </w:rPr>
        <w:t xml:space="preserve">or </w:t>
      </w:r>
      <w:r w:rsidR="007129B0">
        <w:rPr>
          <w:rFonts w:cs="Arial"/>
          <w:sz w:val="24"/>
          <w:szCs w:val="24"/>
        </w:rPr>
        <w:t>a</w:t>
      </w:r>
      <w:r w:rsidR="007129B0" w:rsidRPr="007129B0">
        <w:rPr>
          <w:rFonts w:cs="Arial"/>
          <w:sz w:val="24"/>
          <w:szCs w:val="24"/>
        </w:rPr>
        <w:t xml:space="preserve"> policy aim such as awareness raising</w:t>
      </w:r>
      <w:r w:rsidR="00E76F4C" w:rsidRPr="00683B48">
        <w:rPr>
          <w:rFonts w:cs="Arial"/>
          <w:sz w:val="24"/>
          <w:szCs w:val="24"/>
        </w:rPr>
        <w:t xml:space="preserve">. </w:t>
      </w:r>
      <w:r w:rsidRPr="00683B48">
        <w:rPr>
          <w:rFonts w:cs="Arial"/>
          <w:sz w:val="24"/>
          <w:szCs w:val="24"/>
        </w:rPr>
        <w:t xml:space="preserve"> </w:t>
      </w:r>
    </w:p>
    <w:p w14:paraId="70F6E36A" w14:textId="77777777" w:rsidR="00647EA0" w:rsidRPr="00683B48" w:rsidRDefault="00E76F4C" w:rsidP="00FD78A5">
      <w:pPr>
        <w:jc w:val="both"/>
        <w:rPr>
          <w:rFonts w:cs="Arial"/>
          <w:sz w:val="24"/>
          <w:szCs w:val="24"/>
        </w:rPr>
      </w:pPr>
      <w:r w:rsidRPr="00683B48">
        <w:rPr>
          <w:rFonts w:cs="Arial"/>
          <w:sz w:val="24"/>
          <w:szCs w:val="24"/>
        </w:rPr>
        <w:t xml:space="preserve">National legislation determines an </w:t>
      </w:r>
      <w:r w:rsidR="00874611" w:rsidRPr="00683B48">
        <w:rPr>
          <w:rFonts w:cs="Arial"/>
          <w:sz w:val="24"/>
          <w:szCs w:val="24"/>
        </w:rPr>
        <w:t>equality body’s</w:t>
      </w:r>
      <w:r w:rsidR="00647EA0" w:rsidRPr="00683B48">
        <w:rPr>
          <w:rFonts w:cs="Arial"/>
          <w:sz w:val="24"/>
          <w:szCs w:val="24"/>
        </w:rPr>
        <w:t xml:space="preserve"> mandate, powers and duties</w:t>
      </w:r>
      <w:r w:rsidRPr="00683B48">
        <w:rPr>
          <w:rFonts w:cs="Arial"/>
          <w:sz w:val="24"/>
          <w:szCs w:val="24"/>
        </w:rPr>
        <w:t xml:space="preserve"> as well as</w:t>
      </w:r>
      <w:r w:rsidR="00647EA0" w:rsidRPr="00683B48">
        <w:rPr>
          <w:rFonts w:cs="Arial"/>
          <w:sz w:val="24"/>
          <w:szCs w:val="24"/>
        </w:rPr>
        <w:t xml:space="preserve"> what legal tools it has at its disposal. </w:t>
      </w:r>
      <w:r w:rsidRPr="00683B48">
        <w:rPr>
          <w:rFonts w:cs="Arial"/>
          <w:sz w:val="24"/>
          <w:szCs w:val="24"/>
        </w:rPr>
        <w:t>An equality body’s</w:t>
      </w:r>
      <w:r w:rsidR="00647EA0" w:rsidRPr="00683B48">
        <w:rPr>
          <w:rFonts w:cs="Arial"/>
          <w:sz w:val="24"/>
          <w:szCs w:val="24"/>
        </w:rPr>
        <w:t xml:space="preserve"> ability to </w:t>
      </w:r>
      <w:r w:rsidRPr="00683B48">
        <w:rPr>
          <w:rFonts w:cs="Arial"/>
          <w:sz w:val="24"/>
          <w:szCs w:val="24"/>
        </w:rPr>
        <w:t xml:space="preserve">select </w:t>
      </w:r>
      <w:r w:rsidR="00647EA0" w:rsidRPr="00683B48">
        <w:rPr>
          <w:rFonts w:cs="Arial"/>
          <w:sz w:val="24"/>
          <w:szCs w:val="24"/>
        </w:rPr>
        <w:t xml:space="preserve">cases and </w:t>
      </w:r>
      <w:r w:rsidRPr="00683B48">
        <w:rPr>
          <w:rFonts w:cs="Arial"/>
          <w:sz w:val="24"/>
          <w:szCs w:val="24"/>
        </w:rPr>
        <w:t>tactical approach</w:t>
      </w:r>
      <w:r w:rsidR="00647EA0" w:rsidRPr="00683B48">
        <w:rPr>
          <w:rFonts w:cs="Arial"/>
          <w:sz w:val="24"/>
          <w:szCs w:val="24"/>
        </w:rPr>
        <w:t xml:space="preserve"> </w:t>
      </w:r>
      <w:r w:rsidRPr="00683B48">
        <w:rPr>
          <w:rFonts w:cs="Arial"/>
          <w:sz w:val="24"/>
          <w:szCs w:val="24"/>
        </w:rPr>
        <w:t xml:space="preserve">may thus </w:t>
      </w:r>
      <w:r w:rsidR="00647EA0" w:rsidRPr="00683B48">
        <w:rPr>
          <w:rFonts w:cs="Arial"/>
          <w:sz w:val="24"/>
          <w:szCs w:val="24"/>
        </w:rPr>
        <w:t xml:space="preserve">be limited </w:t>
      </w:r>
      <w:r w:rsidRPr="00683B48">
        <w:rPr>
          <w:rFonts w:cs="Arial"/>
          <w:sz w:val="24"/>
          <w:szCs w:val="24"/>
        </w:rPr>
        <w:t xml:space="preserve">by applicable regulations where it lacks </w:t>
      </w:r>
      <w:r w:rsidR="00647EA0" w:rsidRPr="00683B48">
        <w:rPr>
          <w:rFonts w:cs="Arial"/>
          <w:sz w:val="24"/>
          <w:szCs w:val="24"/>
        </w:rPr>
        <w:t xml:space="preserve">discretionary powers or </w:t>
      </w:r>
      <w:r w:rsidRPr="00683B48">
        <w:rPr>
          <w:rFonts w:cs="Arial"/>
          <w:sz w:val="24"/>
          <w:szCs w:val="24"/>
        </w:rPr>
        <w:t xml:space="preserve">available courses of action </w:t>
      </w:r>
      <w:r w:rsidR="00647EA0" w:rsidRPr="00683B48">
        <w:rPr>
          <w:rFonts w:cs="Arial"/>
          <w:sz w:val="24"/>
          <w:szCs w:val="24"/>
        </w:rPr>
        <w:t xml:space="preserve">are otherwise restricted. </w:t>
      </w:r>
      <w:r w:rsidR="00A20DA6" w:rsidRPr="00683B48">
        <w:rPr>
          <w:rFonts w:cs="Arial"/>
          <w:sz w:val="24"/>
          <w:szCs w:val="24"/>
        </w:rPr>
        <w:t>Information regarding</w:t>
      </w:r>
      <w:r w:rsidR="00647EA0" w:rsidRPr="00683B48">
        <w:rPr>
          <w:rFonts w:cs="Arial"/>
          <w:sz w:val="24"/>
          <w:szCs w:val="24"/>
        </w:rPr>
        <w:t xml:space="preserve"> the different powers and duties of </w:t>
      </w:r>
      <w:r w:rsidR="00A20DA6" w:rsidRPr="00683B48">
        <w:rPr>
          <w:rFonts w:cs="Arial"/>
          <w:sz w:val="24"/>
          <w:szCs w:val="24"/>
        </w:rPr>
        <w:t xml:space="preserve">European </w:t>
      </w:r>
      <w:r w:rsidR="00647EA0" w:rsidRPr="00683B48">
        <w:rPr>
          <w:rFonts w:cs="Arial"/>
          <w:sz w:val="24"/>
          <w:szCs w:val="24"/>
        </w:rPr>
        <w:t xml:space="preserve">equality bodies </w:t>
      </w:r>
      <w:r w:rsidR="00A20DA6" w:rsidRPr="00683B48">
        <w:rPr>
          <w:rFonts w:cs="Arial"/>
          <w:sz w:val="24"/>
          <w:szCs w:val="24"/>
        </w:rPr>
        <w:t xml:space="preserve">can be found </w:t>
      </w:r>
      <w:r w:rsidR="00647EA0" w:rsidRPr="00683B48">
        <w:rPr>
          <w:rFonts w:cs="Arial"/>
          <w:sz w:val="24"/>
          <w:szCs w:val="24"/>
        </w:rPr>
        <w:t>in the European Directory of Equality Bodies on the Equinet website</w:t>
      </w:r>
      <w:r w:rsidR="00647EA0" w:rsidRPr="00683B48">
        <w:rPr>
          <w:rFonts w:cs="Arial"/>
          <w:sz w:val="24"/>
          <w:szCs w:val="24"/>
          <w:vertAlign w:val="superscript"/>
        </w:rPr>
        <w:footnoteReference w:id="3"/>
      </w:r>
      <w:r w:rsidR="00647EA0" w:rsidRPr="00683B48">
        <w:rPr>
          <w:rFonts w:cs="Arial"/>
          <w:sz w:val="24"/>
          <w:szCs w:val="24"/>
        </w:rPr>
        <w:t xml:space="preserve">. </w:t>
      </w:r>
    </w:p>
    <w:p w14:paraId="4A7F3E23" w14:textId="77777777" w:rsidR="00647EA0" w:rsidRPr="00683B48" w:rsidRDefault="00A20DA6" w:rsidP="00FD78A5">
      <w:pPr>
        <w:jc w:val="both"/>
        <w:rPr>
          <w:rFonts w:cs="Arial"/>
          <w:sz w:val="24"/>
          <w:szCs w:val="24"/>
          <w:lang w:val="fi-FI"/>
        </w:rPr>
      </w:pPr>
      <w:r w:rsidRPr="00683B48">
        <w:rPr>
          <w:rFonts w:cs="Arial"/>
          <w:sz w:val="24"/>
          <w:szCs w:val="24"/>
          <w:lang w:val="fi-FI"/>
        </w:rPr>
        <w:t xml:space="preserve">The following </w:t>
      </w:r>
      <w:r w:rsidR="00647EA0" w:rsidRPr="00683B48">
        <w:rPr>
          <w:rFonts w:cs="Arial"/>
          <w:sz w:val="24"/>
          <w:szCs w:val="24"/>
          <w:lang w:val="fi-FI"/>
        </w:rPr>
        <w:t xml:space="preserve">legal powers </w:t>
      </w:r>
      <w:r w:rsidRPr="00683B48">
        <w:rPr>
          <w:rFonts w:cs="Arial"/>
          <w:sz w:val="24"/>
          <w:szCs w:val="24"/>
          <w:lang w:val="fi-FI"/>
        </w:rPr>
        <w:t xml:space="preserve">are commonly </w:t>
      </w:r>
      <w:r w:rsidR="00647EA0" w:rsidRPr="00683B48">
        <w:rPr>
          <w:rFonts w:cs="Arial"/>
          <w:sz w:val="24"/>
          <w:szCs w:val="24"/>
          <w:lang w:val="fi-FI"/>
        </w:rPr>
        <w:t xml:space="preserve">granted to </w:t>
      </w:r>
      <w:r w:rsidR="00874611" w:rsidRPr="00683B48">
        <w:rPr>
          <w:rFonts w:cs="Arial"/>
          <w:sz w:val="24"/>
          <w:szCs w:val="24"/>
          <w:lang w:val="fi-FI"/>
        </w:rPr>
        <w:t>equality bodies</w:t>
      </w:r>
      <w:r w:rsidR="00D1676C" w:rsidRPr="00683B48">
        <w:rPr>
          <w:rFonts w:cs="Arial"/>
          <w:sz w:val="24"/>
          <w:szCs w:val="24"/>
          <w:lang w:val="fi-FI"/>
        </w:rPr>
        <w:t xml:space="preserve">. </w:t>
      </w:r>
      <w:r w:rsidR="00D1676C" w:rsidRPr="00683B48">
        <w:rPr>
          <w:rFonts w:cs="Arial"/>
          <w:sz w:val="24"/>
          <w:szCs w:val="24"/>
        </w:rPr>
        <w:t>A thorough analysis</w:t>
      </w:r>
      <w:r w:rsidR="00A73EFE" w:rsidRPr="00683B48">
        <w:rPr>
          <w:rFonts w:cs="Arial"/>
          <w:sz w:val="24"/>
          <w:szCs w:val="24"/>
        </w:rPr>
        <w:t xml:space="preserve"> </w:t>
      </w:r>
      <w:r w:rsidR="00F3294D" w:rsidRPr="00683B48">
        <w:rPr>
          <w:rFonts w:cs="Arial"/>
          <w:sz w:val="24"/>
          <w:szCs w:val="24"/>
        </w:rPr>
        <w:t xml:space="preserve">should be conducted </w:t>
      </w:r>
      <w:r w:rsidR="00A73EFE" w:rsidRPr="00683B48">
        <w:rPr>
          <w:rFonts w:cs="Arial"/>
          <w:sz w:val="24"/>
          <w:szCs w:val="24"/>
        </w:rPr>
        <w:t>in each individual case</w:t>
      </w:r>
      <w:r w:rsidR="00D1676C" w:rsidRPr="00683B48">
        <w:rPr>
          <w:rFonts w:cs="Arial"/>
          <w:sz w:val="24"/>
          <w:szCs w:val="24"/>
        </w:rPr>
        <w:t>, evaluating all pros and cons</w:t>
      </w:r>
      <w:r w:rsidR="00D1676C" w:rsidRPr="00683B48">
        <w:rPr>
          <w:rFonts w:cs="Arial"/>
          <w:sz w:val="24"/>
          <w:szCs w:val="24"/>
          <w:lang w:val="fi-FI"/>
        </w:rPr>
        <w:t xml:space="preserve"> </w:t>
      </w:r>
      <w:r w:rsidR="00D1676C" w:rsidRPr="00683B48">
        <w:rPr>
          <w:rFonts w:cs="Arial"/>
          <w:sz w:val="24"/>
          <w:szCs w:val="24"/>
        </w:rPr>
        <w:t xml:space="preserve">of </w:t>
      </w:r>
      <w:r w:rsidR="00A73EFE" w:rsidRPr="00683B48">
        <w:rPr>
          <w:rFonts w:cs="Arial"/>
          <w:sz w:val="24"/>
          <w:szCs w:val="24"/>
        </w:rPr>
        <w:t>available</w:t>
      </w:r>
      <w:r w:rsidR="00D1676C" w:rsidRPr="00683B48">
        <w:rPr>
          <w:rFonts w:cs="Arial"/>
          <w:sz w:val="24"/>
          <w:szCs w:val="24"/>
        </w:rPr>
        <w:t xml:space="preserve"> methods</w:t>
      </w:r>
      <w:r w:rsidR="00A73EFE" w:rsidRPr="00683B48">
        <w:rPr>
          <w:rFonts w:cs="Arial"/>
          <w:sz w:val="24"/>
          <w:szCs w:val="24"/>
        </w:rPr>
        <w:t>,</w:t>
      </w:r>
      <w:r w:rsidR="00D1676C" w:rsidRPr="00683B48">
        <w:rPr>
          <w:rFonts w:cs="Arial"/>
          <w:sz w:val="24"/>
          <w:szCs w:val="24"/>
        </w:rPr>
        <w:t xml:space="preserve"> </w:t>
      </w:r>
      <w:r w:rsidR="00A73EFE" w:rsidRPr="00683B48">
        <w:rPr>
          <w:rFonts w:cs="Arial"/>
          <w:sz w:val="24"/>
          <w:szCs w:val="24"/>
        </w:rPr>
        <w:t xml:space="preserve">prior to </w:t>
      </w:r>
      <w:r w:rsidR="00D1676C" w:rsidRPr="00683B48">
        <w:rPr>
          <w:rFonts w:cs="Arial"/>
          <w:sz w:val="24"/>
          <w:szCs w:val="24"/>
        </w:rPr>
        <w:t xml:space="preserve">selecting </w:t>
      </w:r>
      <w:r w:rsidR="00A73EFE" w:rsidRPr="00683B48">
        <w:rPr>
          <w:rFonts w:cs="Arial"/>
          <w:sz w:val="24"/>
          <w:szCs w:val="24"/>
        </w:rPr>
        <w:t>a course of action</w:t>
      </w:r>
      <w:r w:rsidR="00D1676C" w:rsidRPr="00683B48">
        <w:rPr>
          <w:rFonts w:cs="Arial"/>
          <w:sz w:val="24"/>
          <w:szCs w:val="24"/>
        </w:rPr>
        <w:t xml:space="preserve">. </w:t>
      </w:r>
    </w:p>
    <w:p w14:paraId="0E7F9C76" w14:textId="77777777" w:rsidR="00647EA0" w:rsidRPr="00683B48" w:rsidRDefault="00647EA0" w:rsidP="00FD78A5">
      <w:pPr>
        <w:numPr>
          <w:ilvl w:val="0"/>
          <w:numId w:val="9"/>
        </w:numPr>
        <w:spacing w:line="240" w:lineRule="auto"/>
        <w:contextualSpacing/>
        <w:jc w:val="both"/>
        <w:rPr>
          <w:rFonts w:eastAsia="Calibri" w:cs="Arial"/>
          <w:sz w:val="24"/>
          <w:szCs w:val="24"/>
        </w:rPr>
      </w:pPr>
      <w:r w:rsidRPr="00683B48">
        <w:rPr>
          <w:rFonts w:eastAsia="Calibri" w:cs="Arial"/>
          <w:sz w:val="24"/>
          <w:szCs w:val="24"/>
        </w:rPr>
        <w:t xml:space="preserve">Alternative Dispute </w:t>
      </w:r>
      <w:r w:rsidR="00EF4965" w:rsidRPr="00683B48">
        <w:rPr>
          <w:rFonts w:eastAsia="Calibri" w:cs="Arial"/>
          <w:sz w:val="24"/>
          <w:szCs w:val="24"/>
        </w:rPr>
        <w:t>R</w:t>
      </w:r>
      <w:r w:rsidRPr="00683B48">
        <w:rPr>
          <w:rFonts w:eastAsia="Calibri" w:cs="Arial"/>
          <w:sz w:val="24"/>
          <w:szCs w:val="24"/>
        </w:rPr>
        <w:t>esolution</w:t>
      </w:r>
      <w:r w:rsidR="00EF4965" w:rsidRPr="00683B48">
        <w:rPr>
          <w:rFonts w:eastAsia="Calibri" w:cs="Arial"/>
          <w:sz w:val="24"/>
          <w:szCs w:val="24"/>
        </w:rPr>
        <w:t xml:space="preserve"> (ADR)</w:t>
      </w:r>
    </w:p>
    <w:p w14:paraId="50A202E1" w14:textId="77777777" w:rsidR="00C92901" w:rsidRPr="00683B48" w:rsidRDefault="00C92901" w:rsidP="00C92901">
      <w:pPr>
        <w:numPr>
          <w:ilvl w:val="0"/>
          <w:numId w:val="9"/>
        </w:numPr>
        <w:spacing w:line="240" w:lineRule="auto"/>
        <w:contextualSpacing/>
        <w:jc w:val="both"/>
        <w:rPr>
          <w:rFonts w:eastAsia="Calibri" w:cs="Arial"/>
          <w:sz w:val="24"/>
          <w:szCs w:val="24"/>
        </w:rPr>
      </w:pPr>
      <w:r w:rsidRPr="00683B48">
        <w:rPr>
          <w:rFonts w:eastAsia="Calibri" w:cs="Arial"/>
          <w:sz w:val="24"/>
          <w:szCs w:val="24"/>
        </w:rPr>
        <w:t>Prosecution of a case where the discriminatory act is a crime</w:t>
      </w:r>
    </w:p>
    <w:p w14:paraId="72554B6D" w14:textId="77777777" w:rsidR="00C92901" w:rsidRPr="00683B48" w:rsidRDefault="00C92901" w:rsidP="00C92901">
      <w:pPr>
        <w:numPr>
          <w:ilvl w:val="0"/>
          <w:numId w:val="9"/>
        </w:numPr>
        <w:spacing w:line="240" w:lineRule="auto"/>
        <w:contextualSpacing/>
        <w:jc w:val="both"/>
        <w:rPr>
          <w:rFonts w:eastAsia="Calibri" w:cs="Arial"/>
          <w:sz w:val="24"/>
          <w:szCs w:val="24"/>
        </w:rPr>
      </w:pPr>
      <w:r w:rsidRPr="00683B48">
        <w:rPr>
          <w:rFonts w:eastAsia="Calibri" w:cs="Arial"/>
          <w:sz w:val="24"/>
          <w:szCs w:val="24"/>
        </w:rPr>
        <w:t>Litigation through quasi-judicial bodies</w:t>
      </w:r>
    </w:p>
    <w:p w14:paraId="4D3B7EB2" w14:textId="77777777" w:rsidR="00647EA0" w:rsidRPr="00683B48" w:rsidRDefault="00647EA0" w:rsidP="00FD78A5">
      <w:pPr>
        <w:numPr>
          <w:ilvl w:val="0"/>
          <w:numId w:val="9"/>
        </w:numPr>
        <w:spacing w:line="240" w:lineRule="auto"/>
        <w:contextualSpacing/>
        <w:jc w:val="both"/>
        <w:rPr>
          <w:rFonts w:eastAsia="Calibri" w:cs="Arial"/>
          <w:sz w:val="24"/>
          <w:szCs w:val="24"/>
        </w:rPr>
      </w:pPr>
      <w:r w:rsidRPr="00683B48">
        <w:rPr>
          <w:rFonts w:eastAsia="Calibri" w:cs="Arial"/>
          <w:sz w:val="24"/>
          <w:szCs w:val="24"/>
        </w:rPr>
        <w:t>Discretionary power to intervene in legal proceedings</w:t>
      </w:r>
    </w:p>
    <w:p w14:paraId="7E78544B" w14:textId="77777777" w:rsidR="00647EA0" w:rsidRPr="00683B48" w:rsidRDefault="00647EA0" w:rsidP="00FD78A5">
      <w:pPr>
        <w:numPr>
          <w:ilvl w:val="0"/>
          <w:numId w:val="9"/>
        </w:numPr>
        <w:spacing w:line="240" w:lineRule="auto"/>
        <w:contextualSpacing/>
        <w:jc w:val="both"/>
        <w:rPr>
          <w:rFonts w:eastAsia="Calibri" w:cs="Arial"/>
          <w:sz w:val="24"/>
          <w:szCs w:val="24"/>
        </w:rPr>
      </w:pPr>
      <w:r w:rsidRPr="00683B48">
        <w:rPr>
          <w:rFonts w:eastAsia="Calibri" w:cs="Arial"/>
          <w:sz w:val="24"/>
          <w:szCs w:val="24"/>
        </w:rPr>
        <w:t>Discretionary power to provide legal assistance to victims</w:t>
      </w:r>
    </w:p>
    <w:p w14:paraId="6946B515" w14:textId="77777777" w:rsidR="00647EA0" w:rsidRPr="00683B48" w:rsidRDefault="00647EA0" w:rsidP="00FD78A5">
      <w:pPr>
        <w:numPr>
          <w:ilvl w:val="0"/>
          <w:numId w:val="9"/>
        </w:numPr>
        <w:spacing w:line="240" w:lineRule="auto"/>
        <w:contextualSpacing/>
        <w:jc w:val="both"/>
        <w:rPr>
          <w:rFonts w:eastAsia="Calibri" w:cs="Arial"/>
          <w:sz w:val="24"/>
          <w:szCs w:val="24"/>
        </w:rPr>
      </w:pPr>
      <w:r w:rsidRPr="00683B48">
        <w:rPr>
          <w:rFonts w:eastAsia="Calibri" w:cs="Arial"/>
          <w:sz w:val="24"/>
          <w:szCs w:val="24"/>
        </w:rPr>
        <w:t>Provide funding for external lawyers/</w:t>
      </w:r>
      <w:r w:rsidR="00A73EFE" w:rsidRPr="00683B48">
        <w:rPr>
          <w:rFonts w:eastAsia="Calibri" w:cs="Arial"/>
          <w:sz w:val="24"/>
          <w:szCs w:val="24"/>
        </w:rPr>
        <w:t xml:space="preserve">a </w:t>
      </w:r>
      <w:r w:rsidRPr="00683B48">
        <w:rPr>
          <w:rFonts w:eastAsia="Calibri" w:cs="Arial"/>
          <w:sz w:val="24"/>
          <w:szCs w:val="24"/>
        </w:rPr>
        <w:t xml:space="preserve">private law firm to represent </w:t>
      </w:r>
      <w:r w:rsidR="00A73EFE" w:rsidRPr="00683B48">
        <w:rPr>
          <w:rFonts w:eastAsia="Calibri" w:cs="Arial"/>
          <w:sz w:val="24"/>
          <w:szCs w:val="24"/>
        </w:rPr>
        <w:t xml:space="preserve">a </w:t>
      </w:r>
      <w:r w:rsidRPr="00683B48">
        <w:rPr>
          <w:rFonts w:eastAsia="Calibri" w:cs="Arial"/>
          <w:sz w:val="24"/>
          <w:szCs w:val="24"/>
        </w:rPr>
        <w:t>victim in legal proceedings</w:t>
      </w:r>
    </w:p>
    <w:p w14:paraId="589DDFF0" w14:textId="77777777" w:rsidR="00647EA0" w:rsidRPr="00683B48" w:rsidRDefault="005530B7" w:rsidP="00FD78A5">
      <w:pPr>
        <w:numPr>
          <w:ilvl w:val="0"/>
          <w:numId w:val="9"/>
        </w:numPr>
        <w:spacing w:line="240" w:lineRule="auto"/>
        <w:contextualSpacing/>
        <w:jc w:val="both"/>
        <w:rPr>
          <w:rFonts w:eastAsia="Calibri" w:cs="Arial"/>
          <w:sz w:val="24"/>
          <w:szCs w:val="24"/>
        </w:rPr>
      </w:pPr>
      <w:r w:rsidRPr="00683B48">
        <w:rPr>
          <w:rFonts w:eastAsia="Calibri" w:cs="Arial"/>
          <w:sz w:val="24"/>
          <w:szCs w:val="24"/>
        </w:rPr>
        <w:t>The equality body’s o</w:t>
      </w:r>
      <w:r w:rsidR="00647EA0" w:rsidRPr="00683B48">
        <w:rPr>
          <w:rFonts w:eastAsia="Calibri" w:cs="Arial"/>
          <w:sz w:val="24"/>
          <w:szCs w:val="24"/>
        </w:rPr>
        <w:t>wn initiative procedures, injunctions and judicial reviews</w:t>
      </w:r>
    </w:p>
    <w:p w14:paraId="3BA4D6F3" w14:textId="77777777" w:rsidR="00647EA0" w:rsidRPr="00683B48" w:rsidRDefault="00647EA0" w:rsidP="00FD78A5">
      <w:pPr>
        <w:spacing w:line="240" w:lineRule="auto"/>
        <w:ind w:left="720"/>
        <w:contextualSpacing/>
        <w:jc w:val="both"/>
        <w:rPr>
          <w:rFonts w:eastAsia="Calibri" w:cs="Arial"/>
          <w:sz w:val="24"/>
          <w:szCs w:val="24"/>
        </w:rPr>
      </w:pPr>
    </w:p>
    <w:p w14:paraId="3DD6FD2C" w14:textId="77777777" w:rsidR="00647EA0" w:rsidRPr="00A727E3" w:rsidRDefault="00647EA0" w:rsidP="00FD78A5">
      <w:pPr>
        <w:jc w:val="both"/>
        <w:rPr>
          <w:rFonts w:cs="Arial"/>
          <w:b/>
          <w:sz w:val="24"/>
          <w:szCs w:val="24"/>
          <w:u w:val="single"/>
        </w:rPr>
      </w:pPr>
      <w:r w:rsidRPr="00A727E3">
        <w:rPr>
          <w:rFonts w:cs="Arial"/>
          <w:b/>
          <w:sz w:val="24"/>
          <w:szCs w:val="24"/>
          <w:u w:val="single"/>
        </w:rPr>
        <w:t>Alternat</w:t>
      </w:r>
      <w:r w:rsidRPr="005E7C22">
        <w:rPr>
          <w:rFonts w:cs="Arial"/>
          <w:b/>
          <w:sz w:val="24"/>
          <w:szCs w:val="24"/>
          <w:u w:val="single"/>
        </w:rPr>
        <w:t>ive Dispute Resolution</w:t>
      </w:r>
      <w:r w:rsidR="00A727E3" w:rsidRPr="006F3139">
        <w:rPr>
          <w:rFonts w:cs="Arial"/>
          <w:b/>
          <w:sz w:val="24"/>
          <w:szCs w:val="24"/>
          <w:u w:val="single"/>
        </w:rPr>
        <w:t xml:space="preserve"> (ADR)</w:t>
      </w:r>
    </w:p>
    <w:p w14:paraId="7BBB531A" w14:textId="77777777" w:rsidR="006041D9" w:rsidRPr="00683B48" w:rsidRDefault="00F93A34" w:rsidP="00FD78A5">
      <w:pPr>
        <w:jc w:val="both"/>
        <w:rPr>
          <w:rFonts w:cs="Arial"/>
          <w:sz w:val="24"/>
          <w:szCs w:val="24"/>
        </w:rPr>
      </w:pPr>
      <w:r w:rsidRPr="00683B48">
        <w:rPr>
          <w:rFonts w:cs="Arial"/>
          <w:sz w:val="24"/>
          <w:szCs w:val="24"/>
        </w:rPr>
        <w:t>ADR</w:t>
      </w:r>
      <w:r w:rsidR="00647EA0" w:rsidRPr="00683B48">
        <w:rPr>
          <w:rFonts w:cs="Arial"/>
          <w:sz w:val="24"/>
          <w:szCs w:val="24"/>
        </w:rPr>
        <w:t xml:space="preserve"> can, if used strategically, often achieve the same objectives as litigation</w:t>
      </w:r>
      <w:r w:rsidR="00DE6D74" w:rsidRPr="00683B48">
        <w:rPr>
          <w:rFonts w:cs="Arial"/>
          <w:sz w:val="24"/>
          <w:szCs w:val="24"/>
        </w:rPr>
        <w:t xml:space="preserve">. This is </w:t>
      </w:r>
      <w:r w:rsidR="00647EA0" w:rsidRPr="00683B48">
        <w:rPr>
          <w:rFonts w:cs="Arial"/>
          <w:sz w:val="24"/>
          <w:szCs w:val="24"/>
        </w:rPr>
        <w:t>especially</w:t>
      </w:r>
      <w:r w:rsidR="00DE6D74" w:rsidRPr="00683B48">
        <w:rPr>
          <w:rFonts w:cs="Arial"/>
          <w:sz w:val="24"/>
          <w:szCs w:val="24"/>
        </w:rPr>
        <w:t xml:space="preserve"> true</w:t>
      </w:r>
      <w:r w:rsidR="00647EA0" w:rsidRPr="00683B48">
        <w:rPr>
          <w:rFonts w:cs="Arial"/>
          <w:sz w:val="24"/>
          <w:szCs w:val="24"/>
        </w:rPr>
        <w:t xml:space="preserve"> in cases where the discriminating party is a state</w:t>
      </w:r>
      <w:r w:rsidR="00DE6D74" w:rsidRPr="00683B48">
        <w:rPr>
          <w:rFonts w:cs="Arial"/>
          <w:sz w:val="24"/>
          <w:szCs w:val="24"/>
        </w:rPr>
        <w:t>,</w:t>
      </w:r>
      <w:r w:rsidR="00647EA0" w:rsidRPr="00683B48">
        <w:rPr>
          <w:rFonts w:cs="Arial"/>
          <w:sz w:val="24"/>
          <w:szCs w:val="24"/>
        </w:rPr>
        <w:t xml:space="preserve"> municipal body or</w:t>
      </w:r>
      <w:r w:rsidR="00DE6D74" w:rsidRPr="00683B48">
        <w:rPr>
          <w:rFonts w:cs="Arial"/>
          <w:sz w:val="24"/>
          <w:szCs w:val="24"/>
        </w:rPr>
        <w:t xml:space="preserve"> </w:t>
      </w:r>
      <w:r w:rsidR="00647EA0" w:rsidRPr="00683B48">
        <w:rPr>
          <w:rFonts w:cs="Arial"/>
          <w:sz w:val="24"/>
          <w:szCs w:val="24"/>
        </w:rPr>
        <w:t>large enterprise. The chances of ending systemic discrimination can be higher if the</w:t>
      </w:r>
      <w:r w:rsidR="00DE6D74" w:rsidRPr="00683B48">
        <w:rPr>
          <w:rFonts w:cs="Arial"/>
          <w:sz w:val="24"/>
          <w:szCs w:val="24"/>
        </w:rPr>
        <w:t xml:space="preserve"> </w:t>
      </w:r>
      <w:r w:rsidR="00647EA0" w:rsidRPr="00683B48">
        <w:rPr>
          <w:rFonts w:cs="Arial"/>
          <w:sz w:val="24"/>
          <w:szCs w:val="24"/>
        </w:rPr>
        <w:t xml:space="preserve">end result is an “amicable” settlement rather than a court decision, especially if the settlement includes </w:t>
      </w:r>
      <w:r w:rsidR="00DE6D74" w:rsidRPr="00683B48">
        <w:rPr>
          <w:rFonts w:cs="Arial"/>
          <w:sz w:val="24"/>
          <w:szCs w:val="24"/>
        </w:rPr>
        <w:t xml:space="preserve">an obligation for the discriminating party to </w:t>
      </w:r>
      <w:r w:rsidR="00647EA0" w:rsidRPr="00683B48">
        <w:rPr>
          <w:rFonts w:cs="Arial"/>
          <w:sz w:val="24"/>
          <w:szCs w:val="24"/>
        </w:rPr>
        <w:t xml:space="preserve">take pro-active measures aimed at promoting equality and </w:t>
      </w:r>
      <w:r w:rsidR="00DE6D74" w:rsidRPr="00683B48">
        <w:rPr>
          <w:rFonts w:cs="Arial"/>
          <w:sz w:val="24"/>
          <w:szCs w:val="24"/>
        </w:rPr>
        <w:t xml:space="preserve">avoiding </w:t>
      </w:r>
      <w:r w:rsidR="00647EA0" w:rsidRPr="00683B48">
        <w:rPr>
          <w:rFonts w:cs="Arial"/>
          <w:sz w:val="24"/>
          <w:szCs w:val="24"/>
        </w:rPr>
        <w:t xml:space="preserve">discrimination. </w:t>
      </w:r>
    </w:p>
    <w:p w14:paraId="5C700FA5" w14:textId="77777777" w:rsidR="00647EA0" w:rsidRPr="00683B48" w:rsidRDefault="006041D9" w:rsidP="00FD78A5">
      <w:pPr>
        <w:jc w:val="both"/>
        <w:rPr>
          <w:rFonts w:cs="Arial"/>
          <w:i/>
          <w:sz w:val="24"/>
          <w:szCs w:val="24"/>
        </w:rPr>
      </w:pPr>
      <w:r w:rsidRPr="00683B48">
        <w:rPr>
          <w:rFonts w:cs="Arial"/>
          <w:b/>
          <w:i/>
          <w:sz w:val="24"/>
          <w:szCs w:val="24"/>
        </w:rPr>
        <w:t>E</w:t>
      </w:r>
      <w:r w:rsidR="00647EA0" w:rsidRPr="00683B48">
        <w:rPr>
          <w:rFonts w:cs="Arial"/>
          <w:b/>
          <w:i/>
          <w:sz w:val="24"/>
          <w:szCs w:val="24"/>
        </w:rPr>
        <w:t>xample</w:t>
      </w:r>
      <w:r w:rsidRPr="00683B48">
        <w:rPr>
          <w:rFonts w:cs="Arial"/>
          <w:b/>
          <w:i/>
          <w:sz w:val="24"/>
          <w:szCs w:val="24"/>
        </w:rPr>
        <w:t>:</w:t>
      </w:r>
      <w:r w:rsidR="00647EA0" w:rsidRPr="00683B48">
        <w:rPr>
          <w:rFonts w:cs="Arial"/>
          <w:i/>
          <w:sz w:val="24"/>
          <w:szCs w:val="24"/>
        </w:rPr>
        <w:t xml:space="preserve"> </w:t>
      </w:r>
      <w:r w:rsidR="00F93A34" w:rsidRPr="00683B48">
        <w:rPr>
          <w:rFonts w:cs="Arial"/>
          <w:i/>
          <w:sz w:val="24"/>
          <w:szCs w:val="24"/>
        </w:rPr>
        <w:t>Following an amicable settlement</w:t>
      </w:r>
      <w:r w:rsidR="00647EA0" w:rsidRPr="00683B48">
        <w:rPr>
          <w:rFonts w:cs="Arial"/>
          <w:i/>
          <w:sz w:val="24"/>
          <w:szCs w:val="24"/>
        </w:rPr>
        <w:t xml:space="preserve"> </w:t>
      </w:r>
      <w:r w:rsidR="00E67805" w:rsidRPr="00E67805">
        <w:rPr>
          <w:rFonts w:cs="Arial"/>
          <w:i/>
          <w:sz w:val="24"/>
          <w:szCs w:val="24"/>
        </w:rPr>
        <w:t>facilitated by the Finnish Non-Discrimination Ombudsman, a municipality agreed to change its policy on providing emergency shelter:  Previously the municipality sent all customers to a Christian service which demanded all inhabitants regardless of their faith to participate in morning prayers.</w:t>
      </w:r>
    </w:p>
    <w:p w14:paraId="521508E1" w14:textId="77777777" w:rsidR="00647EA0" w:rsidRPr="00683B48" w:rsidRDefault="00647EA0" w:rsidP="00FD78A5">
      <w:pPr>
        <w:jc w:val="both"/>
        <w:rPr>
          <w:rFonts w:cs="Arial"/>
          <w:sz w:val="24"/>
          <w:szCs w:val="24"/>
        </w:rPr>
      </w:pPr>
      <w:r w:rsidRPr="00683B48">
        <w:rPr>
          <w:rFonts w:cs="Arial"/>
          <w:sz w:val="24"/>
          <w:szCs w:val="24"/>
        </w:rPr>
        <w:t xml:space="preserve">A key factor </w:t>
      </w:r>
      <w:r w:rsidR="00712801" w:rsidRPr="00683B48">
        <w:rPr>
          <w:rFonts w:cs="Arial"/>
          <w:sz w:val="24"/>
          <w:szCs w:val="24"/>
        </w:rPr>
        <w:t xml:space="preserve">for the equality body </w:t>
      </w:r>
      <w:r w:rsidRPr="00683B48">
        <w:rPr>
          <w:rFonts w:cs="Arial"/>
          <w:sz w:val="24"/>
          <w:szCs w:val="24"/>
        </w:rPr>
        <w:t xml:space="preserve">to consider </w:t>
      </w:r>
      <w:r w:rsidR="00712801" w:rsidRPr="00683B48">
        <w:rPr>
          <w:rFonts w:cs="Arial"/>
          <w:sz w:val="24"/>
          <w:szCs w:val="24"/>
        </w:rPr>
        <w:t>when</w:t>
      </w:r>
      <w:r w:rsidRPr="00683B48">
        <w:rPr>
          <w:rFonts w:cs="Arial"/>
          <w:sz w:val="24"/>
          <w:szCs w:val="24"/>
        </w:rPr>
        <w:t xml:space="preserve"> deciding whether to recommend dispute resolution in a particular case, is whether the discriminating party will admit </w:t>
      </w:r>
      <w:r w:rsidR="00712801" w:rsidRPr="00683B48">
        <w:rPr>
          <w:rFonts w:cs="Arial"/>
          <w:sz w:val="24"/>
          <w:szCs w:val="24"/>
        </w:rPr>
        <w:t xml:space="preserve">to </w:t>
      </w:r>
      <w:r w:rsidR="00D12EE7" w:rsidRPr="00683B48">
        <w:rPr>
          <w:rFonts w:cs="Arial"/>
          <w:sz w:val="24"/>
          <w:szCs w:val="24"/>
        </w:rPr>
        <w:lastRenderedPageBreak/>
        <w:t xml:space="preserve">having committed </w:t>
      </w:r>
      <w:r w:rsidR="00712801" w:rsidRPr="00683B48">
        <w:rPr>
          <w:rFonts w:cs="Arial"/>
          <w:sz w:val="24"/>
          <w:szCs w:val="24"/>
        </w:rPr>
        <w:t>a discriminatory act</w:t>
      </w:r>
      <w:r w:rsidRPr="00683B48">
        <w:rPr>
          <w:rFonts w:cs="Arial"/>
          <w:sz w:val="24"/>
          <w:szCs w:val="24"/>
        </w:rPr>
        <w:t xml:space="preserve">. If </w:t>
      </w:r>
      <w:r w:rsidR="00712801" w:rsidRPr="00683B48">
        <w:rPr>
          <w:rFonts w:cs="Arial"/>
          <w:sz w:val="24"/>
          <w:szCs w:val="24"/>
        </w:rPr>
        <w:t>the discriminating party</w:t>
      </w:r>
      <w:r w:rsidRPr="00683B48">
        <w:rPr>
          <w:rFonts w:cs="Arial"/>
          <w:sz w:val="24"/>
          <w:szCs w:val="24"/>
        </w:rPr>
        <w:t xml:space="preserve"> will not </w:t>
      </w:r>
      <w:r w:rsidR="00712801" w:rsidRPr="00683B48">
        <w:rPr>
          <w:rFonts w:cs="Arial"/>
          <w:sz w:val="24"/>
          <w:szCs w:val="24"/>
        </w:rPr>
        <w:t>make such an admission</w:t>
      </w:r>
      <w:r w:rsidRPr="00683B48">
        <w:rPr>
          <w:rFonts w:cs="Arial"/>
          <w:sz w:val="24"/>
          <w:szCs w:val="24"/>
        </w:rPr>
        <w:t xml:space="preserve">, there is a risk that the settlement procedure </w:t>
      </w:r>
      <w:r w:rsidR="00712801" w:rsidRPr="00683B48">
        <w:rPr>
          <w:rFonts w:cs="Arial"/>
          <w:sz w:val="24"/>
          <w:szCs w:val="24"/>
        </w:rPr>
        <w:t>may be seen as</w:t>
      </w:r>
      <w:r w:rsidRPr="00683B48">
        <w:rPr>
          <w:rFonts w:cs="Arial"/>
          <w:sz w:val="24"/>
          <w:szCs w:val="24"/>
        </w:rPr>
        <w:t xml:space="preserve"> “buy</w:t>
      </w:r>
      <w:r w:rsidR="00712801" w:rsidRPr="00683B48">
        <w:rPr>
          <w:rFonts w:cs="Arial"/>
          <w:sz w:val="24"/>
          <w:szCs w:val="24"/>
        </w:rPr>
        <w:t>ing</w:t>
      </w:r>
      <w:r w:rsidRPr="00683B48">
        <w:rPr>
          <w:rFonts w:cs="Arial"/>
          <w:sz w:val="24"/>
          <w:szCs w:val="24"/>
        </w:rPr>
        <w:t xml:space="preserve"> the </w:t>
      </w:r>
      <w:r w:rsidR="00712801" w:rsidRPr="00683B48">
        <w:rPr>
          <w:rFonts w:cs="Arial"/>
          <w:sz w:val="24"/>
          <w:szCs w:val="24"/>
        </w:rPr>
        <w:t xml:space="preserve">victim’s </w:t>
      </w:r>
      <w:r w:rsidRPr="00683B48">
        <w:rPr>
          <w:rFonts w:cs="Arial"/>
          <w:sz w:val="24"/>
          <w:szCs w:val="24"/>
        </w:rPr>
        <w:t>silence”</w:t>
      </w:r>
      <w:r w:rsidR="00712801" w:rsidRPr="00683B48">
        <w:rPr>
          <w:rFonts w:cs="Arial"/>
          <w:sz w:val="24"/>
          <w:szCs w:val="24"/>
        </w:rPr>
        <w:t>. This is particularly the case where the discriminating party also requires the inclusion of a</w:t>
      </w:r>
      <w:r w:rsidRPr="00683B48">
        <w:rPr>
          <w:rFonts w:cs="Arial"/>
          <w:sz w:val="24"/>
          <w:szCs w:val="24"/>
        </w:rPr>
        <w:t xml:space="preserve"> confidentiality clause</w:t>
      </w:r>
      <w:r w:rsidR="00712801" w:rsidRPr="00683B48">
        <w:rPr>
          <w:rFonts w:cs="Arial"/>
          <w:sz w:val="24"/>
          <w:szCs w:val="24"/>
        </w:rPr>
        <w:t xml:space="preserve"> in the settlement agreement</w:t>
      </w:r>
      <w:r w:rsidRPr="00683B48">
        <w:rPr>
          <w:rFonts w:cs="Arial"/>
          <w:sz w:val="24"/>
          <w:szCs w:val="24"/>
        </w:rPr>
        <w:t xml:space="preserve">. Some equality bodies have a clear policy not to promote </w:t>
      </w:r>
      <w:r w:rsidR="00B7641D" w:rsidRPr="00683B48">
        <w:rPr>
          <w:rFonts w:cs="Arial"/>
          <w:sz w:val="24"/>
          <w:szCs w:val="24"/>
        </w:rPr>
        <w:t xml:space="preserve">or partake in </w:t>
      </w:r>
      <w:r w:rsidRPr="00683B48">
        <w:rPr>
          <w:rFonts w:cs="Arial"/>
          <w:sz w:val="24"/>
          <w:szCs w:val="24"/>
        </w:rPr>
        <w:t xml:space="preserve">dispute resolution unless the settlement includes </w:t>
      </w:r>
      <w:r w:rsidR="00B7641D" w:rsidRPr="00683B48">
        <w:rPr>
          <w:rFonts w:cs="Arial"/>
          <w:sz w:val="24"/>
          <w:szCs w:val="24"/>
        </w:rPr>
        <w:t xml:space="preserve">admission of a </w:t>
      </w:r>
      <w:r w:rsidRPr="00683B48">
        <w:rPr>
          <w:rFonts w:cs="Arial"/>
          <w:sz w:val="24"/>
          <w:szCs w:val="24"/>
        </w:rPr>
        <w:t>discriminat</w:t>
      </w:r>
      <w:r w:rsidR="00B7641D" w:rsidRPr="00683B48">
        <w:rPr>
          <w:rFonts w:cs="Arial"/>
          <w:sz w:val="24"/>
          <w:szCs w:val="24"/>
        </w:rPr>
        <w:t>ory act</w:t>
      </w:r>
      <w:r w:rsidR="00813E6D" w:rsidRPr="00683B48">
        <w:rPr>
          <w:rFonts w:cs="Arial"/>
          <w:sz w:val="24"/>
          <w:szCs w:val="24"/>
        </w:rPr>
        <w:t xml:space="preserve"> and/or is not subject to confidentiality</w:t>
      </w:r>
      <w:r w:rsidRPr="00683B48">
        <w:rPr>
          <w:rFonts w:cs="Arial"/>
          <w:sz w:val="24"/>
          <w:szCs w:val="24"/>
        </w:rPr>
        <w:t>.</w:t>
      </w:r>
      <w:r w:rsidR="00152970" w:rsidRPr="00683B48">
        <w:rPr>
          <w:rFonts w:cs="Arial"/>
          <w:sz w:val="24"/>
          <w:szCs w:val="24"/>
        </w:rPr>
        <w:t xml:space="preserve"> Another parameter to consider during settlement discussions is whether the discriminating party could be willing to offer a formal apology to the victim for their experience of discrimination, regardless of whether a written admission of guilt is finally included in the settlement agreement.</w:t>
      </w:r>
    </w:p>
    <w:p w14:paraId="0C0274B6" w14:textId="77777777" w:rsidR="00647EA0" w:rsidRPr="00683B48" w:rsidRDefault="00647EA0" w:rsidP="00FD78A5">
      <w:pPr>
        <w:jc w:val="both"/>
        <w:rPr>
          <w:rFonts w:cs="Arial"/>
          <w:sz w:val="24"/>
          <w:szCs w:val="24"/>
        </w:rPr>
      </w:pPr>
      <w:r w:rsidRPr="00683B48">
        <w:rPr>
          <w:rFonts w:cs="Arial"/>
          <w:sz w:val="24"/>
          <w:szCs w:val="24"/>
        </w:rPr>
        <w:t xml:space="preserve">One of the main advantages of dispute resolution </w:t>
      </w:r>
      <w:r w:rsidR="00E67805">
        <w:rPr>
          <w:rFonts w:cs="Arial"/>
          <w:sz w:val="24"/>
          <w:szCs w:val="24"/>
        </w:rPr>
        <w:t>can be</w:t>
      </w:r>
      <w:r w:rsidRPr="00683B48">
        <w:rPr>
          <w:rFonts w:cs="Arial"/>
          <w:sz w:val="24"/>
          <w:szCs w:val="24"/>
        </w:rPr>
        <w:t xml:space="preserve"> </w:t>
      </w:r>
      <w:r w:rsidR="00D12EE7" w:rsidRPr="00683B48">
        <w:rPr>
          <w:rFonts w:cs="Arial"/>
          <w:sz w:val="24"/>
          <w:szCs w:val="24"/>
        </w:rPr>
        <w:t xml:space="preserve">a perception of a “win-win” </w:t>
      </w:r>
      <w:r w:rsidRPr="00683B48">
        <w:rPr>
          <w:rFonts w:cs="Arial"/>
          <w:sz w:val="24"/>
          <w:szCs w:val="24"/>
        </w:rPr>
        <w:t>end result</w:t>
      </w:r>
      <w:r w:rsidR="00D12EE7" w:rsidRPr="00683B48">
        <w:rPr>
          <w:rFonts w:cs="Arial"/>
          <w:sz w:val="24"/>
          <w:szCs w:val="24"/>
        </w:rPr>
        <w:t xml:space="preserve"> for both parties</w:t>
      </w:r>
      <w:r w:rsidRPr="00683B48">
        <w:rPr>
          <w:rFonts w:cs="Arial"/>
          <w:sz w:val="24"/>
          <w:szCs w:val="24"/>
        </w:rPr>
        <w:t xml:space="preserve">, unlike litigation where one party </w:t>
      </w:r>
      <w:r w:rsidR="00B90E03" w:rsidRPr="00683B48">
        <w:rPr>
          <w:rFonts w:cs="Arial"/>
          <w:sz w:val="24"/>
          <w:szCs w:val="24"/>
        </w:rPr>
        <w:t xml:space="preserve">commonly loses the case and </w:t>
      </w:r>
      <w:r w:rsidRPr="00683B48">
        <w:rPr>
          <w:rFonts w:cs="Arial"/>
          <w:sz w:val="24"/>
          <w:szCs w:val="24"/>
        </w:rPr>
        <w:t>is left unsatisfied.</w:t>
      </w:r>
      <w:r w:rsidR="00292EEB" w:rsidRPr="00683B48">
        <w:rPr>
          <w:rFonts w:cs="Arial"/>
          <w:sz w:val="24"/>
          <w:szCs w:val="24"/>
        </w:rPr>
        <w:t xml:space="preserve"> Litigation is also commonly a lengthy, work intensive and emotionally taxing process for the victim, which is avoided through a swift settlement process.</w:t>
      </w:r>
      <w:r w:rsidRPr="00683B48">
        <w:rPr>
          <w:rFonts w:cs="Arial"/>
          <w:sz w:val="24"/>
          <w:szCs w:val="24"/>
        </w:rPr>
        <w:t xml:space="preserve"> </w:t>
      </w:r>
      <w:r w:rsidR="00A55B17" w:rsidRPr="00683B48">
        <w:rPr>
          <w:rFonts w:cs="Arial"/>
          <w:sz w:val="24"/>
          <w:szCs w:val="24"/>
        </w:rPr>
        <w:t>If the settlement agreement is not subject to confidentiality, media reporting can also be used to promote</w:t>
      </w:r>
      <w:r w:rsidRPr="00683B48">
        <w:rPr>
          <w:rFonts w:cs="Arial"/>
          <w:sz w:val="24"/>
          <w:szCs w:val="24"/>
        </w:rPr>
        <w:t xml:space="preserve"> ripple-effects of good practice in the sector concerned. </w:t>
      </w:r>
    </w:p>
    <w:p w14:paraId="55441CD8" w14:textId="10255E46" w:rsidR="00641341" w:rsidRPr="0053719A" w:rsidRDefault="006F3139" w:rsidP="00FD78A5">
      <w:pPr>
        <w:jc w:val="both"/>
        <w:rPr>
          <w:rFonts w:cs="Arial"/>
          <w:sz w:val="24"/>
          <w:szCs w:val="24"/>
        </w:rPr>
      </w:pPr>
      <w:r>
        <w:rPr>
          <w:rFonts w:cs="Arial"/>
          <w:b/>
          <w:sz w:val="24"/>
          <w:szCs w:val="24"/>
        </w:rPr>
        <w:t xml:space="preserve">Case Study - </w:t>
      </w:r>
      <w:r w:rsidR="00F41288" w:rsidRPr="00683B48">
        <w:rPr>
          <w:rFonts w:cs="Arial"/>
          <w:b/>
          <w:sz w:val="24"/>
          <w:szCs w:val="24"/>
        </w:rPr>
        <w:t xml:space="preserve">Swedish </w:t>
      </w:r>
      <w:r w:rsidR="00641341" w:rsidRPr="00683B48">
        <w:rPr>
          <w:rFonts w:cs="Arial"/>
          <w:b/>
          <w:sz w:val="24"/>
          <w:szCs w:val="24"/>
        </w:rPr>
        <w:t xml:space="preserve">Equality Ombudsman v Mälarsalen AB </w:t>
      </w:r>
      <w:r w:rsidR="0053719A">
        <w:rPr>
          <w:rFonts w:cs="Arial"/>
          <w:sz w:val="24"/>
          <w:szCs w:val="24"/>
        </w:rPr>
        <w:t xml:space="preserve">(Swedish Labour Court, A 72/13) </w:t>
      </w:r>
    </w:p>
    <w:p w14:paraId="3113632F" w14:textId="77777777" w:rsidR="00641341" w:rsidRPr="00683B48" w:rsidRDefault="00641341" w:rsidP="00FD78A5">
      <w:pPr>
        <w:jc w:val="both"/>
        <w:rPr>
          <w:rFonts w:cs="Arial"/>
          <w:sz w:val="24"/>
          <w:szCs w:val="24"/>
        </w:rPr>
      </w:pPr>
      <w:r w:rsidRPr="00683B48">
        <w:rPr>
          <w:rFonts w:cs="Arial"/>
          <w:sz w:val="24"/>
          <w:szCs w:val="24"/>
        </w:rPr>
        <w:t>In order to raise awareness regarding the prohibition o</w:t>
      </w:r>
      <w:r w:rsidR="00F43238" w:rsidRPr="00683B48">
        <w:rPr>
          <w:rFonts w:cs="Arial"/>
          <w:sz w:val="24"/>
          <w:szCs w:val="24"/>
        </w:rPr>
        <w:t>f</w:t>
      </w:r>
      <w:r w:rsidRPr="00683B48">
        <w:rPr>
          <w:rFonts w:cs="Arial"/>
          <w:sz w:val="24"/>
          <w:szCs w:val="24"/>
        </w:rPr>
        <w:t xml:space="preserve"> sexual harassment in the work place, the </w:t>
      </w:r>
      <w:r w:rsidR="00166890" w:rsidRPr="00683B48">
        <w:rPr>
          <w:rFonts w:cs="Arial"/>
          <w:sz w:val="24"/>
          <w:szCs w:val="24"/>
        </w:rPr>
        <w:t xml:space="preserve">Swedish </w:t>
      </w:r>
      <w:r w:rsidRPr="00683B48">
        <w:rPr>
          <w:rFonts w:cs="Arial"/>
          <w:sz w:val="24"/>
          <w:szCs w:val="24"/>
        </w:rPr>
        <w:t xml:space="preserve">Equality Ombudsman decided to bring a case concerning </w:t>
      </w:r>
      <w:r w:rsidR="00166890" w:rsidRPr="00683B48">
        <w:rPr>
          <w:rFonts w:cs="Arial"/>
          <w:sz w:val="24"/>
          <w:szCs w:val="24"/>
        </w:rPr>
        <w:t xml:space="preserve">sexual </w:t>
      </w:r>
      <w:r w:rsidRPr="00683B48">
        <w:rPr>
          <w:rFonts w:cs="Arial"/>
          <w:sz w:val="24"/>
          <w:szCs w:val="24"/>
        </w:rPr>
        <w:t>harassment of two young women applying for work at a well-known conference centre in Stockholm</w:t>
      </w:r>
      <w:r w:rsidR="00EE1573" w:rsidRPr="00683B48">
        <w:rPr>
          <w:rFonts w:cs="Arial"/>
          <w:sz w:val="24"/>
          <w:szCs w:val="24"/>
        </w:rPr>
        <w:t>, Sweden</w:t>
      </w:r>
      <w:r w:rsidRPr="00683B48">
        <w:rPr>
          <w:rFonts w:cs="Arial"/>
          <w:sz w:val="24"/>
          <w:szCs w:val="24"/>
        </w:rPr>
        <w:t xml:space="preserve">. The women in question had been subjected to sexualised jargon and covert suggestions with regards to sexual services by a senior manager at the conference centre. The case attracted considerable media interest and the Ombudsman managed in several instances to raise interest among journalists </w:t>
      </w:r>
      <w:r w:rsidR="00EE1573" w:rsidRPr="00683B48">
        <w:rPr>
          <w:rFonts w:cs="Arial"/>
          <w:sz w:val="24"/>
          <w:szCs w:val="24"/>
        </w:rPr>
        <w:t>in</w:t>
      </w:r>
      <w:r w:rsidRPr="00683B48">
        <w:rPr>
          <w:rFonts w:cs="Arial"/>
          <w:sz w:val="24"/>
          <w:szCs w:val="24"/>
        </w:rPr>
        <w:t xml:space="preserve"> the </w:t>
      </w:r>
      <w:r w:rsidR="00EE1573" w:rsidRPr="00683B48">
        <w:rPr>
          <w:rFonts w:cs="Arial"/>
          <w:sz w:val="24"/>
          <w:szCs w:val="24"/>
        </w:rPr>
        <w:t>general</w:t>
      </w:r>
      <w:r w:rsidRPr="00683B48">
        <w:rPr>
          <w:rFonts w:cs="Arial"/>
          <w:sz w:val="24"/>
          <w:szCs w:val="24"/>
        </w:rPr>
        <w:t xml:space="preserve"> issue</w:t>
      </w:r>
      <w:r w:rsidR="00EE1573" w:rsidRPr="00683B48">
        <w:rPr>
          <w:rFonts w:cs="Arial"/>
          <w:sz w:val="24"/>
          <w:szCs w:val="24"/>
        </w:rPr>
        <w:t xml:space="preserve"> of sexual harassment</w:t>
      </w:r>
      <w:r w:rsidRPr="00683B48">
        <w:rPr>
          <w:rFonts w:cs="Arial"/>
          <w:sz w:val="24"/>
          <w:szCs w:val="24"/>
        </w:rPr>
        <w:t xml:space="preserve">, providing them with data and details on the legislative requirements. Before the main </w:t>
      </w:r>
      <w:r w:rsidR="00E67805">
        <w:rPr>
          <w:rFonts w:cs="Arial"/>
          <w:sz w:val="24"/>
          <w:szCs w:val="24"/>
        </w:rPr>
        <w:t xml:space="preserve">court </w:t>
      </w:r>
      <w:r w:rsidR="00EE1573" w:rsidRPr="00683B48">
        <w:rPr>
          <w:rFonts w:cs="Arial"/>
          <w:sz w:val="24"/>
          <w:szCs w:val="24"/>
        </w:rPr>
        <w:t>hearing,</w:t>
      </w:r>
      <w:r w:rsidRPr="00683B48">
        <w:rPr>
          <w:rFonts w:cs="Arial"/>
          <w:sz w:val="24"/>
          <w:szCs w:val="24"/>
        </w:rPr>
        <w:t xml:space="preserve"> the company admitted </w:t>
      </w:r>
      <w:r w:rsidR="00EE1573" w:rsidRPr="00683B48">
        <w:rPr>
          <w:rFonts w:cs="Arial"/>
          <w:sz w:val="24"/>
          <w:szCs w:val="24"/>
        </w:rPr>
        <w:t xml:space="preserve">to </w:t>
      </w:r>
      <w:r w:rsidRPr="00683B48">
        <w:rPr>
          <w:rFonts w:cs="Arial"/>
          <w:sz w:val="24"/>
          <w:szCs w:val="24"/>
        </w:rPr>
        <w:t xml:space="preserve">the allegations and paid the full </w:t>
      </w:r>
      <w:r w:rsidR="00EE1573" w:rsidRPr="00683B48">
        <w:rPr>
          <w:rFonts w:cs="Arial"/>
          <w:sz w:val="24"/>
          <w:szCs w:val="24"/>
        </w:rPr>
        <w:t xml:space="preserve">claimed </w:t>
      </w:r>
      <w:r w:rsidRPr="00683B48">
        <w:rPr>
          <w:rFonts w:cs="Arial"/>
          <w:sz w:val="24"/>
          <w:szCs w:val="24"/>
        </w:rPr>
        <w:t xml:space="preserve">amount to the women. </w:t>
      </w:r>
    </w:p>
    <w:p w14:paraId="4FD0DE4F" w14:textId="77777777" w:rsidR="00647EA0" w:rsidRPr="00683B48" w:rsidRDefault="00641341" w:rsidP="00FD78A5">
      <w:pPr>
        <w:jc w:val="both"/>
        <w:rPr>
          <w:rFonts w:cs="Arial"/>
          <w:color w:val="1F497D" w:themeColor="text2"/>
          <w:sz w:val="24"/>
          <w:szCs w:val="24"/>
        </w:rPr>
      </w:pPr>
      <w:r w:rsidRPr="00683B48">
        <w:rPr>
          <w:rFonts w:cs="Arial"/>
          <w:sz w:val="24"/>
          <w:szCs w:val="24"/>
        </w:rPr>
        <w:t xml:space="preserve">The case resulted in wide media coverage, notably in HR, industry and trade union journals, which highlighted the problem for employers, and informed employees of their rights. </w:t>
      </w:r>
    </w:p>
    <w:p w14:paraId="1AED6D8B" w14:textId="77777777" w:rsidR="00647EA0" w:rsidRPr="00683B48" w:rsidRDefault="00647EA0" w:rsidP="00FD78A5">
      <w:pPr>
        <w:jc w:val="both"/>
        <w:rPr>
          <w:rFonts w:cs="Arial"/>
          <w:b/>
          <w:sz w:val="24"/>
          <w:szCs w:val="24"/>
          <w:u w:val="single"/>
        </w:rPr>
      </w:pPr>
      <w:r w:rsidRPr="00683B48">
        <w:rPr>
          <w:rFonts w:cs="Arial"/>
          <w:b/>
          <w:sz w:val="24"/>
          <w:szCs w:val="24"/>
          <w:u w:val="single"/>
        </w:rPr>
        <w:t>Civil Process v Criminal Process</w:t>
      </w:r>
    </w:p>
    <w:p w14:paraId="2190361B" w14:textId="77777777" w:rsidR="00647EA0" w:rsidRPr="00683B48" w:rsidRDefault="00647EA0" w:rsidP="00FD78A5">
      <w:pPr>
        <w:jc w:val="both"/>
        <w:rPr>
          <w:rFonts w:cs="Arial"/>
          <w:sz w:val="24"/>
          <w:szCs w:val="24"/>
        </w:rPr>
      </w:pPr>
      <w:r w:rsidRPr="00683B48">
        <w:rPr>
          <w:rFonts w:cs="Arial"/>
          <w:sz w:val="24"/>
          <w:szCs w:val="24"/>
        </w:rPr>
        <w:t xml:space="preserve">In some Equinet member states discrimination is both a civil </w:t>
      </w:r>
      <w:r w:rsidR="00176326" w:rsidRPr="00683B48">
        <w:rPr>
          <w:rFonts w:cs="Arial"/>
          <w:sz w:val="24"/>
          <w:szCs w:val="24"/>
        </w:rPr>
        <w:t xml:space="preserve">and criminal </w:t>
      </w:r>
      <w:r w:rsidRPr="00683B48">
        <w:rPr>
          <w:rFonts w:cs="Arial"/>
          <w:sz w:val="24"/>
          <w:szCs w:val="24"/>
        </w:rPr>
        <w:t>offence. When a case appears to fulfil the criteria for both a civil and a criminal offence, one of the first questions</w:t>
      </w:r>
      <w:r w:rsidR="006041D9" w:rsidRPr="00683B48">
        <w:rPr>
          <w:rFonts w:cs="Arial"/>
          <w:sz w:val="24"/>
          <w:szCs w:val="24"/>
        </w:rPr>
        <w:t xml:space="preserve"> to</w:t>
      </w:r>
      <w:r w:rsidRPr="00683B48">
        <w:rPr>
          <w:rFonts w:cs="Arial"/>
          <w:sz w:val="24"/>
          <w:szCs w:val="24"/>
        </w:rPr>
        <w:t xml:space="preserve"> aris</w:t>
      </w:r>
      <w:r w:rsidR="006041D9" w:rsidRPr="00683B48">
        <w:rPr>
          <w:rFonts w:cs="Arial"/>
          <w:sz w:val="24"/>
          <w:szCs w:val="24"/>
        </w:rPr>
        <w:t>e</w:t>
      </w:r>
      <w:r w:rsidRPr="00683B48">
        <w:rPr>
          <w:rFonts w:cs="Arial"/>
          <w:sz w:val="24"/>
          <w:szCs w:val="24"/>
        </w:rPr>
        <w:t xml:space="preserve"> is which litigation path to choose</w:t>
      </w:r>
      <w:r w:rsidR="00C01CF6" w:rsidRPr="00683B48">
        <w:rPr>
          <w:rFonts w:cs="Arial"/>
          <w:sz w:val="24"/>
          <w:szCs w:val="24"/>
        </w:rPr>
        <w:t>.</w:t>
      </w:r>
      <w:r w:rsidRPr="00683B48">
        <w:rPr>
          <w:rFonts w:cs="Arial"/>
          <w:sz w:val="24"/>
          <w:szCs w:val="24"/>
        </w:rPr>
        <w:t xml:space="preserve"> Can the </w:t>
      </w:r>
      <w:r w:rsidR="00874611" w:rsidRPr="00683B48">
        <w:rPr>
          <w:rFonts w:cs="Arial"/>
          <w:sz w:val="24"/>
          <w:szCs w:val="24"/>
        </w:rPr>
        <w:t>equality body</w:t>
      </w:r>
      <w:r w:rsidRPr="00683B48">
        <w:rPr>
          <w:rFonts w:cs="Arial"/>
          <w:sz w:val="24"/>
          <w:szCs w:val="24"/>
        </w:rPr>
        <w:t xml:space="preserve"> </w:t>
      </w:r>
      <w:r w:rsidR="00C01CF6" w:rsidRPr="00683B48">
        <w:rPr>
          <w:rFonts w:cs="Arial"/>
          <w:sz w:val="24"/>
          <w:szCs w:val="24"/>
        </w:rPr>
        <w:t xml:space="preserve">initiate </w:t>
      </w:r>
      <w:r w:rsidRPr="00683B48">
        <w:rPr>
          <w:rFonts w:cs="Arial"/>
          <w:sz w:val="24"/>
          <w:szCs w:val="24"/>
        </w:rPr>
        <w:t xml:space="preserve">its own investigation or </w:t>
      </w:r>
      <w:r w:rsidR="00C01CF6" w:rsidRPr="00683B48">
        <w:rPr>
          <w:rFonts w:cs="Arial"/>
          <w:sz w:val="24"/>
          <w:szCs w:val="24"/>
        </w:rPr>
        <w:t>would it be preferable</w:t>
      </w:r>
      <w:r w:rsidRPr="00683B48">
        <w:rPr>
          <w:rFonts w:cs="Arial"/>
          <w:sz w:val="24"/>
          <w:szCs w:val="24"/>
        </w:rPr>
        <w:t xml:space="preserve"> to file a criminal complaint </w:t>
      </w:r>
      <w:r w:rsidR="00C01CF6" w:rsidRPr="00683B48">
        <w:rPr>
          <w:rFonts w:cs="Arial"/>
          <w:sz w:val="24"/>
          <w:szCs w:val="24"/>
        </w:rPr>
        <w:t xml:space="preserve">with </w:t>
      </w:r>
      <w:r w:rsidRPr="00683B48">
        <w:rPr>
          <w:rFonts w:cs="Arial"/>
          <w:sz w:val="24"/>
          <w:szCs w:val="24"/>
        </w:rPr>
        <w:t xml:space="preserve">the police? </w:t>
      </w:r>
      <w:r w:rsidR="00C01CF6" w:rsidRPr="00683B48">
        <w:rPr>
          <w:rFonts w:cs="Arial"/>
          <w:sz w:val="24"/>
          <w:szCs w:val="24"/>
        </w:rPr>
        <w:t>A number of</w:t>
      </w:r>
      <w:r w:rsidRPr="00683B48">
        <w:rPr>
          <w:rFonts w:cs="Arial"/>
          <w:sz w:val="24"/>
          <w:szCs w:val="24"/>
        </w:rPr>
        <w:t xml:space="preserve"> factors to consider</w:t>
      </w:r>
      <w:r w:rsidR="00C01CF6" w:rsidRPr="00683B48">
        <w:rPr>
          <w:rFonts w:cs="Arial"/>
          <w:sz w:val="24"/>
          <w:szCs w:val="24"/>
        </w:rPr>
        <w:t xml:space="preserve"> under these circumstances are mentioned below.</w:t>
      </w:r>
      <w:r w:rsidRPr="00683B48">
        <w:rPr>
          <w:rFonts w:cs="Arial"/>
          <w:sz w:val="24"/>
          <w:szCs w:val="24"/>
        </w:rPr>
        <w:t xml:space="preserve"> </w:t>
      </w:r>
    </w:p>
    <w:p w14:paraId="34785DA9" w14:textId="77777777" w:rsidR="00647EA0" w:rsidRPr="00683B48" w:rsidRDefault="00647EA0" w:rsidP="00FD78A5">
      <w:pPr>
        <w:jc w:val="both"/>
        <w:rPr>
          <w:rFonts w:cs="Arial"/>
          <w:sz w:val="24"/>
          <w:szCs w:val="24"/>
        </w:rPr>
      </w:pPr>
      <w:r w:rsidRPr="00683B48">
        <w:rPr>
          <w:rFonts w:cs="Arial"/>
          <w:sz w:val="24"/>
          <w:szCs w:val="24"/>
        </w:rPr>
        <w:lastRenderedPageBreak/>
        <w:t xml:space="preserve">In criminal cases, the burden of proof </w:t>
      </w:r>
      <w:r w:rsidR="007B5CEB" w:rsidRPr="00683B48">
        <w:rPr>
          <w:rFonts w:cs="Arial"/>
          <w:sz w:val="24"/>
          <w:szCs w:val="24"/>
        </w:rPr>
        <w:t xml:space="preserve">lies with the prosecutor and it </w:t>
      </w:r>
      <w:r w:rsidRPr="00683B48">
        <w:rPr>
          <w:rFonts w:cs="Arial"/>
          <w:sz w:val="24"/>
          <w:szCs w:val="24"/>
        </w:rPr>
        <w:t xml:space="preserve">is </w:t>
      </w:r>
      <w:r w:rsidR="007B5CEB" w:rsidRPr="00683B48">
        <w:rPr>
          <w:rFonts w:cs="Arial"/>
          <w:sz w:val="24"/>
          <w:szCs w:val="24"/>
        </w:rPr>
        <w:t xml:space="preserve">necessary to prove </w:t>
      </w:r>
      <w:r w:rsidRPr="00683B48">
        <w:rPr>
          <w:rFonts w:cs="Arial"/>
          <w:sz w:val="24"/>
          <w:szCs w:val="24"/>
        </w:rPr>
        <w:t xml:space="preserve">beyond reasonable doubt </w:t>
      </w:r>
      <w:r w:rsidR="007B5CEB" w:rsidRPr="00683B48">
        <w:rPr>
          <w:rFonts w:cs="Arial"/>
          <w:sz w:val="24"/>
          <w:szCs w:val="24"/>
        </w:rPr>
        <w:t>that a certain action has been committed. T</w:t>
      </w:r>
      <w:r w:rsidRPr="00683B48">
        <w:rPr>
          <w:rFonts w:cs="Arial"/>
          <w:sz w:val="24"/>
          <w:szCs w:val="24"/>
        </w:rPr>
        <w:t xml:space="preserve">he </w:t>
      </w:r>
      <w:r w:rsidR="00874611" w:rsidRPr="00683B48">
        <w:rPr>
          <w:rFonts w:cs="Arial"/>
          <w:sz w:val="24"/>
          <w:szCs w:val="24"/>
        </w:rPr>
        <w:t>equality body</w:t>
      </w:r>
      <w:r w:rsidRPr="00683B48">
        <w:rPr>
          <w:rFonts w:cs="Arial"/>
          <w:sz w:val="24"/>
          <w:szCs w:val="24"/>
        </w:rPr>
        <w:t xml:space="preserve"> should</w:t>
      </w:r>
      <w:r w:rsidR="007B5CEB" w:rsidRPr="00683B48">
        <w:rPr>
          <w:rFonts w:cs="Arial"/>
          <w:sz w:val="24"/>
          <w:szCs w:val="24"/>
        </w:rPr>
        <w:t xml:space="preserve"> therefore</w:t>
      </w:r>
      <w:r w:rsidRPr="00683B48">
        <w:rPr>
          <w:rFonts w:cs="Arial"/>
          <w:sz w:val="24"/>
          <w:szCs w:val="24"/>
        </w:rPr>
        <w:t xml:space="preserve"> consider whether the police </w:t>
      </w:r>
      <w:r w:rsidR="0014673F" w:rsidRPr="00683B48">
        <w:rPr>
          <w:rFonts w:cs="Arial"/>
          <w:sz w:val="24"/>
          <w:szCs w:val="24"/>
        </w:rPr>
        <w:t xml:space="preserve">and prosecutor </w:t>
      </w:r>
      <w:r w:rsidRPr="00683B48">
        <w:rPr>
          <w:rFonts w:cs="Arial"/>
          <w:sz w:val="24"/>
          <w:szCs w:val="24"/>
        </w:rPr>
        <w:t xml:space="preserve">are likely to have a genuine interest in investigating the case thoroughly and </w:t>
      </w:r>
      <w:r w:rsidR="0014673F" w:rsidRPr="00683B48">
        <w:rPr>
          <w:rFonts w:cs="Arial"/>
          <w:sz w:val="24"/>
          <w:szCs w:val="24"/>
        </w:rPr>
        <w:t xml:space="preserve">what </w:t>
      </w:r>
      <w:r w:rsidRPr="00683B48">
        <w:rPr>
          <w:rFonts w:cs="Arial"/>
          <w:sz w:val="24"/>
          <w:szCs w:val="24"/>
        </w:rPr>
        <w:t xml:space="preserve">the chances </w:t>
      </w:r>
      <w:r w:rsidR="0014673F" w:rsidRPr="00683B48">
        <w:rPr>
          <w:rFonts w:cs="Arial"/>
          <w:sz w:val="24"/>
          <w:szCs w:val="24"/>
        </w:rPr>
        <w:t xml:space="preserve">are </w:t>
      </w:r>
      <w:r w:rsidRPr="00683B48">
        <w:rPr>
          <w:rFonts w:cs="Arial"/>
          <w:sz w:val="24"/>
          <w:szCs w:val="24"/>
        </w:rPr>
        <w:t xml:space="preserve">of a conviction. One advantage of </w:t>
      </w:r>
      <w:r w:rsidR="0014673F" w:rsidRPr="00683B48">
        <w:rPr>
          <w:rFonts w:cs="Arial"/>
          <w:sz w:val="24"/>
          <w:szCs w:val="24"/>
        </w:rPr>
        <w:t xml:space="preserve">pursuing </w:t>
      </w:r>
      <w:r w:rsidRPr="00683B48">
        <w:rPr>
          <w:rFonts w:cs="Arial"/>
          <w:sz w:val="24"/>
          <w:szCs w:val="24"/>
        </w:rPr>
        <w:t>criminal litigation is</w:t>
      </w:r>
      <w:r w:rsidR="0014673F" w:rsidRPr="00683B48">
        <w:rPr>
          <w:rFonts w:cs="Arial"/>
          <w:sz w:val="24"/>
          <w:szCs w:val="24"/>
        </w:rPr>
        <w:t xml:space="preserve"> that</w:t>
      </w:r>
      <w:r w:rsidRPr="00683B48">
        <w:rPr>
          <w:rFonts w:cs="Arial"/>
          <w:sz w:val="24"/>
          <w:szCs w:val="24"/>
        </w:rPr>
        <w:t xml:space="preserve"> there is usually no risk of incurring financial costs, even if the </w:t>
      </w:r>
      <w:r w:rsidR="0014673F" w:rsidRPr="00683B48">
        <w:rPr>
          <w:rFonts w:cs="Arial"/>
          <w:sz w:val="24"/>
          <w:szCs w:val="24"/>
        </w:rPr>
        <w:t xml:space="preserve">investigation does not ultimately lead to the </w:t>
      </w:r>
      <w:r w:rsidRPr="00683B48">
        <w:rPr>
          <w:rFonts w:cs="Arial"/>
          <w:sz w:val="24"/>
          <w:szCs w:val="24"/>
        </w:rPr>
        <w:t>prosecutor bring</w:t>
      </w:r>
      <w:r w:rsidR="0014673F" w:rsidRPr="00683B48">
        <w:rPr>
          <w:rFonts w:cs="Arial"/>
          <w:sz w:val="24"/>
          <w:szCs w:val="24"/>
        </w:rPr>
        <w:t>ing</w:t>
      </w:r>
      <w:r w:rsidRPr="00683B48">
        <w:rPr>
          <w:rFonts w:cs="Arial"/>
          <w:sz w:val="24"/>
          <w:szCs w:val="24"/>
        </w:rPr>
        <w:t xml:space="preserve"> charges against the </w:t>
      </w:r>
      <w:r w:rsidR="0014673F" w:rsidRPr="00683B48">
        <w:rPr>
          <w:rFonts w:cs="Arial"/>
          <w:sz w:val="24"/>
          <w:szCs w:val="24"/>
        </w:rPr>
        <w:t>discriminating party</w:t>
      </w:r>
      <w:r w:rsidRPr="00683B48">
        <w:rPr>
          <w:rFonts w:cs="Arial"/>
          <w:sz w:val="24"/>
          <w:szCs w:val="24"/>
        </w:rPr>
        <w:t>.</w:t>
      </w:r>
    </w:p>
    <w:p w14:paraId="08ADEA8C" w14:textId="77777777" w:rsidR="009B7605" w:rsidRPr="00683B48" w:rsidRDefault="00647EA0" w:rsidP="006F3CCB">
      <w:pPr>
        <w:jc w:val="both"/>
        <w:rPr>
          <w:rFonts w:cs="Arial"/>
          <w:b/>
          <w:i/>
          <w:color w:val="1F497D" w:themeColor="text2"/>
          <w:sz w:val="24"/>
          <w:szCs w:val="24"/>
        </w:rPr>
      </w:pPr>
      <w:r w:rsidRPr="00683B48">
        <w:rPr>
          <w:rFonts w:cs="Arial"/>
          <w:sz w:val="24"/>
          <w:szCs w:val="24"/>
        </w:rPr>
        <w:t>By contrast</w:t>
      </w:r>
      <w:r w:rsidR="00061FA2" w:rsidRPr="00683B48">
        <w:rPr>
          <w:rFonts w:cs="Arial"/>
          <w:sz w:val="24"/>
          <w:szCs w:val="24"/>
        </w:rPr>
        <w:t>,</w:t>
      </w:r>
      <w:r w:rsidRPr="00683B48">
        <w:rPr>
          <w:rFonts w:cs="Arial"/>
          <w:sz w:val="24"/>
          <w:szCs w:val="24"/>
        </w:rPr>
        <w:t xml:space="preserve"> </w:t>
      </w:r>
      <w:r w:rsidR="00061FA2" w:rsidRPr="00683B48">
        <w:rPr>
          <w:rFonts w:cs="Arial"/>
          <w:sz w:val="24"/>
          <w:szCs w:val="24"/>
        </w:rPr>
        <w:t>a significant</w:t>
      </w:r>
      <w:r w:rsidRPr="00683B48">
        <w:rPr>
          <w:rFonts w:cs="Arial"/>
          <w:sz w:val="24"/>
          <w:szCs w:val="24"/>
        </w:rPr>
        <w:t xml:space="preserve"> advantage </w:t>
      </w:r>
      <w:r w:rsidR="00061FA2" w:rsidRPr="00683B48">
        <w:rPr>
          <w:rFonts w:cs="Arial"/>
          <w:sz w:val="24"/>
          <w:szCs w:val="24"/>
        </w:rPr>
        <w:t xml:space="preserve">of </w:t>
      </w:r>
      <w:r w:rsidRPr="00683B48">
        <w:rPr>
          <w:rFonts w:cs="Arial"/>
          <w:sz w:val="24"/>
          <w:szCs w:val="24"/>
        </w:rPr>
        <w:t xml:space="preserve">civil litigation is that once a </w:t>
      </w:r>
      <w:r w:rsidRPr="00683B48">
        <w:rPr>
          <w:rFonts w:cs="Arial"/>
          <w:i/>
          <w:sz w:val="24"/>
          <w:szCs w:val="24"/>
        </w:rPr>
        <w:t>prima faci</w:t>
      </w:r>
      <w:r w:rsidR="00061FA2" w:rsidRPr="00683B48">
        <w:rPr>
          <w:rFonts w:cs="Arial"/>
          <w:i/>
          <w:sz w:val="24"/>
          <w:szCs w:val="24"/>
        </w:rPr>
        <w:t>e</w:t>
      </w:r>
      <w:r w:rsidRPr="00683B48">
        <w:rPr>
          <w:rFonts w:cs="Arial"/>
          <w:sz w:val="24"/>
          <w:szCs w:val="24"/>
        </w:rPr>
        <w:t xml:space="preserve"> case of discrimination has been established, the burden of proof shifts to the </w:t>
      </w:r>
      <w:r w:rsidR="00061FA2" w:rsidRPr="00683B48">
        <w:rPr>
          <w:rFonts w:cs="Arial"/>
          <w:sz w:val="24"/>
          <w:szCs w:val="24"/>
        </w:rPr>
        <w:t xml:space="preserve">discriminating party </w:t>
      </w:r>
      <w:r w:rsidRPr="00683B48">
        <w:rPr>
          <w:rFonts w:cs="Arial"/>
          <w:sz w:val="24"/>
          <w:szCs w:val="24"/>
        </w:rPr>
        <w:t xml:space="preserve">to prove </w:t>
      </w:r>
      <w:r w:rsidR="00061FA2" w:rsidRPr="00683B48">
        <w:rPr>
          <w:rFonts w:cs="Arial"/>
          <w:sz w:val="24"/>
          <w:szCs w:val="24"/>
        </w:rPr>
        <w:t>that</w:t>
      </w:r>
      <w:r w:rsidRPr="00683B48">
        <w:rPr>
          <w:rFonts w:cs="Arial"/>
          <w:sz w:val="24"/>
          <w:szCs w:val="24"/>
        </w:rPr>
        <w:t xml:space="preserve"> no </w:t>
      </w:r>
      <w:r w:rsidR="00061FA2" w:rsidRPr="00683B48">
        <w:rPr>
          <w:rFonts w:cs="Arial"/>
          <w:sz w:val="24"/>
          <w:szCs w:val="24"/>
        </w:rPr>
        <w:t>discriminatory act took place</w:t>
      </w:r>
      <w:r w:rsidRPr="00683B48">
        <w:rPr>
          <w:rFonts w:cs="Arial"/>
          <w:sz w:val="24"/>
          <w:szCs w:val="24"/>
        </w:rPr>
        <w:t xml:space="preserve">. However, civil litigation </w:t>
      </w:r>
      <w:r w:rsidR="00E43DB4" w:rsidRPr="00683B48">
        <w:rPr>
          <w:rFonts w:cs="Arial"/>
          <w:sz w:val="24"/>
          <w:szCs w:val="24"/>
        </w:rPr>
        <w:t xml:space="preserve">entails </w:t>
      </w:r>
      <w:r w:rsidRPr="00683B48">
        <w:rPr>
          <w:rFonts w:cs="Arial"/>
          <w:sz w:val="24"/>
          <w:szCs w:val="24"/>
        </w:rPr>
        <w:t xml:space="preserve">a </w:t>
      </w:r>
      <w:r w:rsidR="00E43DB4" w:rsidRPr="00683B48">
        <w:rPr>
          <w:rFonts w:cs="Arial"/>
          <w:sz w:val="24"/>
          <w:szCs w:val="24"/>
        </w:rPr>
        <w:t xml:space="preserve">considerable financial </w:t>
      </w:r>
      <w:r w:rsidRPr="00683B48">
        <w:rPr>
          <w:rFonts w:cs="Arial"/>
          <w:sz w:val="24"/>
          <w:szCs w:val="24"/>
        </w:rPr>
        <w:t>risk for the losing party</w:t>
      </w:r>
      <w:r w:rsidR="00E43DB4" w:rsidRPr="00683B48">
        <w:rPr>
          <w:rFonts w:cs="Arial"/>
          <w:sz w:val="24"/>
          <w:szCs w:val="24"/>
        </w:rPr>
        <w:t>,</w:t>
      </w:r>
      <w:r w:rsidRPr="00683B48">
        <w:rPr>
          <w:rFonts w:cs="Arial"/>
          <w:sz w:val="24"/>
          <w:szCs w:val="24"/>
        </w:rPr>
        <w:t xml:space="preserve"> who can be </w:t>
      </w:r>
      <w:r w:rsidR="00E43DB4" w:rsidRPr="00683B48">
        <w:rPr>
          <w:rFonts w:cs="Arial"/>
          <w:sz w:val="24"/>
          <w:szCs w:val="24"/>
        </w:rPr>
        <w:t xml:space="preserve">ordered </w:t>
      </w:r>
      <w:r w:rsidRPr="00683B48">
        <w:rPr>
          <w:rFonts w:cs="Arial"/>
          <w:sz w:val="24"/>
          <w:szCs w:val="24"/>
        </w:rPr>
        <w:t xml:space="preserve">to pay </w:t>
      </w:r>
      <w:r w:rsidR="00E43DB4" w:rsidRPr="00683B48">
        <w:rPr>
          <w:rFonts w:cs="Arial"/>
          <w:sz w:val="24"/>
          <w:szCs w:val="24"/>
        </w:rPr>
        <w:t xml:space="preserve">both </w:t>
      </w:r>
      <w:r w:rsidRPr="00683B48">
        <w:rPr>
          <w:rFonts w:cs="Arial"/>
          <w:sz w:val="24"/>
          <w:szCs w:val="24"/>
        </w:rPr>
        <w:t xml:space="preserve">their own and the winning </w:t>
      </w:r>
      <w:r w:rsidR="009B5E19" w:rsidRPr="00683B48">
        <w:rPr>
          <w:rFonts w:cs="Arial"/>
          <w:sz w:val="24"/>
          <w:szCs w:val="24"/>
        </w:rPr>
        <w:t xml:space="preserve">party’s </w:t>
      </w:r>
      <w:r w:rsidRPr="00683B48">
        <w:rPr>
          <w:rFonts w:cs="Arial"/>
          <w:sz w:val="24"/>
          <w:szCs w:val="24"/>
        </w:rPr>
        <w:t xml:space="preserve">costs. The </w:t>
      </w:r>
      <w:r w:rsidR="00874611" w:rsidRPr="00683B48">
        <w:rPr>
          <w:rFonts w:cs="Arial"/>
          <w:sz w:val="24"/>
          <w:szCs w:val="24"/>
        </w:rPr>
        <w:t>equality body</w:t>
      </w:r>
      <w:r w:rsidRPr="00683B48">
        <w:rPr>
          <w:rFonts w:cs="Arial"/>
          <w:sz w:val="24"/>
          <w:szCs w:val="24"/>
        </w:rPr>
        <w:t xml:space="preserve"> </w:t>
      </w:r>
      <w:r w:rsidR="009B5E19" w:rsidRPr="00683B48">
        <w:rPr>
          <w:rFonts w:cs="Arial"/>
          <w:sz w:val="24"/>
          <w:szCs w:val="24"/>
        </w:rPr>
        <w:t xml:space="preserve">thus </w:t>
      </w:r>
      <w:r w:rsidRPr="00683B48">
        <w:rPr>
          <w:rFonts w:cs="Arial"/>
          <w:sz w:val="24"/>
          <w:szCs w:val="24"/>
        </w:rPr>
        <w:t xml:space="preserve">needs to consider whether it can </w:t>
      </w:r>
      <w:r w:rsidR="009B5E19" w:rsidRPr="00683B48">
        <w:rPr>
          <w:rFonts w:cs="Arial"/>
          <w:sz w:val="24"/>
          <w:szCs w:val="24"/>
        </w:rPr>
        <w:t xml:space="preserve">carry </w:t>
      </w:r>
      <w:r w:rsidRPr="00683B48">
        <w:rPr>
          <w:rFonts w:cs="Arial"/>
          <w:sz w:val="24"/>
          <w:szCs w:val="24"/>
        </w:rPr>
        <w:t xml:space="preserve">all costs if a case is lost. Costs may be lower if the </w:t>
      </w:r>
      <w:r w:rsidR="00874611" w:rsidRPr="00683B48">
        <w:rPr>
          <w:rFonts w:cs="Arial"/>
          <w:sz w:val="24"/>
          <w:szCs w:val="24"/>
        </w:rPr>
        <w:t>equality body</w:t>
      </w:r>
      <w:r w:rsidRPr="00683B48">
        <w:rPr>
          <w:rFonts w:cs="Arial"/>
          <w:sz w:val="24"/>
          <w:szCs w:val="24"/>
        </w:rPr>
        <w:t xml:space="preserve"> </w:t>
      </w:r>
      <w:r w:rsidR="006F3CCB" w:rsidRPr="00683B48">
        <w:rPr>
          <w:rFonts w:cs="Arial"/>
          <w:sz w:val="24"/>
          <w:szCs w:val="24"/>
        </w:rPr>
        <w:t>itself is able to re</w:t>
      </w:r>
      <w:r w:rsidR="009B5E19" w:rsidRPr="00683B48">
        <w:rPr>
          <w:rFonts w:cs="Arial"/>
          <w:sz w:val="24"/>
          <w:szCs w:val="24"/>
        </w:rPr>
        <w:t xml:space="preserve">present the victim in court either as an intervening party or as </w:t>
      </w:r>
      <w:r w:rsidR="006F3CCB" w:rsidRPr="00683B48">
        <w:rPr>
          <w:rFonts w:cs="Arial"/>
          <w:sz w:val="24"/>
          <w:szCs w:val="24"/>
        </w:rPr>
        <w:t>an ‘</w:t>
      </w:r>
      <w:r w:rsidR="009B5E19" w:rsidRPr="00683B48">
        <w:rPr>
          <w:rFonts w:cs="Arial"/>
          <w:sz w:val="24"/>
          <w:szCs w:val="24"/>
        </w:rPr>
        <w:t>attorney</w:t>
      </w:r>
      <w:r w:rsidR="006F3CCB" w:rsidRPr="00683B48">
        <w:rPr>
          <w:rFonts w:cs="Arial"/>
          <w:sz w:val="24"/>
          <w:szCs w:val="24"/>
        </w:rPr>
        <w:t>’</w:t>
      </w:r>
      <w:r w:rsidR="009B5E19" w:rsidRPr="00683B48">
        <w:rPr>
          <w:rFonts w:cs="Arial"/>
          <w:sz w:val="24"/>
          <w:szCs w:val="24"/>
        </w:rPr>
        <w:t xml:space="preserve"> for the victim. </w:t>
      </w:r>
    </w:p>
    <w:p w14:paraId="130BC1A6" w14:textId="58F38E50" w:rsidR="009B7605" w:rsidRPr="00E80088" w:rsidRDefault="006F3139" w:rsidP="006F3CCB">
      <w:pPr>
        <w:jc w:val="both"/>
        <w:rPr>
          <w:rFonts w:cs="Arial"/>
          <w:sz w:val="24"/>
          <w:szCs w:val="24"/>
        </w:rPr>
      </w:pPr>
      <w:r>
        <w:rPr>
          <w:rFonts w:cs="Arial"/>
          <w:b/>
          <w:sz w:val="24"/>
          <w:szCs w:val="24"/>
        </w:rPr>
        <w:t xml:space="preserve">Case Study - </w:t>
      </w:r>
      <w:r w:rsidR="009B7605" w:rsidRPr="00683B48">
        <w:rPr>
          <w:rFonts w:cs="Arial"/>
          <w:b/>
          <w:sz w:val="24"/>
          <w:szCs w:val="24"/>
        </w:rPr>
        <w:t>Mayor of Sir</w:t>
      </w:r>
      <w:r w:rsidR="00CA5D22" w:rsidRPr="00683B48">
        <w:rPr>
          <w:rFonts w:cs="Arial"/>
          <w:b/>
          <w:sz w:val="24"/>
          <w:szCs w:val="24"/>
        </w:rPr>
        <w:t>č</w:t>
      </w:r>
      <w:r w:rsidR="009B7605" w:rsidRPr="00683B48">
        <w:rPr>
          <w:rFonts w:cs="Arial"/>
          <w:b/>
          <w:sz w:val="24"/>
          <w:szCs w:val="24"/>
        </w:rPr>
        <w:t>a</w:t>
      </w:r>
      <w:r w:rsidR="006F3CCB" w:rsidRPr="00683B48">
        <w:rPr>
          <w:rFonts w:cs="Arial"/>
          <w:b/>
          <w:sz w:val="24"/>
          <w:szCs w:val="24"/>
        </w:rPr>
        <w:t>, Serbia</w:t>
      </w:r>
      <w:r w:rsidR="00E80088">
        <w:rPr>
          <w:rFonts w:cs="Arial"/>
          <w:sz w:val="24"/>
          <w:szCs w:val="24"/>
        </w:rPr>
        <w:t xml:space="preserve"> (Higher Court of Belgrade, </w:t>
      </w:r>
      <w:r w:rsidR="00E80088" w:rsidRPr="00E80088">
        <w:rPr>
          <w:rFonts w:cs="Arial"/>
          <w:bCs/>
          <w:sz w:val="24"/>
          <w:szCs w:val="24"/>
          <w:lang w:val="sr-Latn-RS"/>
        </w:rPr>
        <w:t>8П. Бр 577/14)</w:t>
      </w:r>
    </w:p>
    <w:p w14:paraId="4510A70A" w14:textId="77777777" w:rsidR="009B7605" w:rsidRPr="00683B48" w:rsidRDefault="009B7605" w:rsidP="006F3CCB">
      <w:pPr>
        <w:jc w:val="both"/>
        <w:rPr>
          <w:rFonts w:cs="Arial"/>
          <w:sz w:val="24"/>
          <w:szCs w:val="24"/>
        </w:rPr>
      </w:pPr>
      <w:r w:rsidRPr="00683B48">
        <w:rPr>
          <w:rFonts w:cs="Arial"/>
          <w:sz w:val="24"/>
          <w:szCs w:val="24"/>
        </w:rPr>
        <w:t xml:space="preserve">The </w:t>
      </w:r>
      <w:r w:rsidR="00394CC6" w:rsidRPr="00683B48">
        <w:rPr>
          <w:rFonts w:cs="Arial"/>
          <w:sz w:val="24"/>
          <w:szCs w:val="24"/>
        </w:rPr>
        <w:t>m</w:t>
      </w:r>
      <w:r w:rsidRPr="00683B48">
        <w:rPr>
          <w:rFonts w:cs="Arial"/>
          <w:sz w:val="24"/>
          <w:szCs w:val="24"/>
        </w:rPr>
        <w:t>ayor of Sir</w:t>
      </w:r>
      <w:bookmarkStart w:id="3" w:name="_Hlk498678433"/>
      <w:r w:rsidRPr="00683B48">
        <w:rPr>
          <w:rFonts w:cs="Arial"/>
          <w:sz w:val="24"/>
          <w:szCs w:val="24"/>
        </w:rPr>
        <w:t>č</w:t>
      </w:r>
      <w:bookmarkEnd w:id="3"/>
      <w:r w:rsidRPr="00683B48">
        <w:rPr>
          <w:rFonts w:cs="Arial"/>
          <w:sz w:val="24"/>
          <w:szCs w:val="24"/>
        </w:rPr>
        <w:t xml:space="preserve">a organized a protest against the settlement of internally displaced Roma families and issued a statement including the words ‘We cannot mix with them.’ Following civil action by the </w:t>
      </w:r>
      <w:r w:rsidR="006041D9" w:rsidRPr="00683B48">
        <w:rPr>
          <w:rFonts w:cs="Arial"/>
          <w:sz w:val="24"/>
          <w:szCs w:val="24"/>
        </w:rPr>
        <w:t>Serbian Commissioner for the Protection of Equality</w:t>
      </w:r>
      <w:r w:rsidR="00394CC6" w:rsidRPr="00683B48">
        <w:rPr>
          <w:rFonts w:cs="Arial"/>
          <w:sz w:val="24"/>
          <w:szCs w:val="24"/>
        </w:rPr>
        <w:t>, the mayor</w:t>
      </w:r>
      <w:r w:rsidR="006041D9" w:rsidRPr="00683B48">
        <w:rPr>
          <w:rFonts w:cs="Arial"/>
          <w:sz w:val="24"/>
          <w:szCs w:val="24"/>
        </w:rPr>
        <w:t xml:space="preserve"> </w:t>
      </w:r>
      <w:r w:rsidRPr="00683B48">
        <w:rPr>
          <w:rFonts w:cs="Arial"/>
          <w:sz w:val="24"/>
          <w:szCs w:val="24"/>
        </w:rPr>
        <w:t xml:space="preserve">was forbidden </w:t>
      </w:r>
      <w:r w:rsidR="00115872" w:rsidRPr="00683B48">
        <w:rPr>
          <w:rFonts w:cs="Arial"/>
          <w:sz w:val="24"/>
          <w:szCs w:val="24"/>
        </w:rPr>
        <w:t>from making future statements and</w:t>
      </w:r>
      <w:r w:rsidRPr="00683B48">
        <w:rPr>
          <w:rFonts w:cs="Arial"/>
          <w:sz w:val="24"/>
          <w:szCs w:val="24"/>
        </w:rPr>
        <w:t xml:space="preserve"> propound</w:t>
      </w:r>
      <w:r w:rsidR="00115872" w:rsidRPr="00683B48">
        <w:rPr>
          <w:rFonts w:cs="Arial"/>
          <w:sz w:val="24"/>
          <w:szCs w:val="24"/>
        </w:rPr>
        <w:t>ing</w:t>
      </w:r>
      <w:r w:rsidRPr="00683B48">
        <w:rPr>
          <w:rFonts w:cs="Arial"/>
          <w:sz w:val="24"/>
          <w:szCs w:val="24"/>
        </w:rPr>
        <w:t xml:space="preserve"> views which are discriminatory to the Roma minority. In addition, he was ordered to publicly apologize to the Roma national minority</w:t>
      </w:r>
      <w:r w:rsidR="00477D5D" w:rsidRPr="00683B48">
        <w:rPr>
          <w:rFonts w:cs="Arial"/>
          <w:sz w:val="24"/>
          <w:szCs w:val="24"/>
        </w:rPr>
        <w:t>.</w:t>
      </w:r>
      <w:r w:rsidRPr="00683B48">
        <w:rPr>
          <w:rFonts w:cs="Arial"/>
          <w:sz w:val="24"/>
          <w:szCs w:val="24"/>
        </w:rPr>
        <w:t xml:space="preserve"> </w:t>
      </w:r>
      <w:r w:rsidR="00477D5D" w:rsidRPr="00683B48">
        <w:rPr>
          <w:rFonts w:cs="Arial"/>
          <w:sz w:val="24"/>
          <w:szCs w:val="24"/>
        </w:rPr>
        <w:t>H</w:t>
      </w:r>
      <w:r w:rsidRPr="00683B48">
        <w:rPr>
          <w:rFonts w:cs="Arial"/>
          <w:sz w:val="24"/>
          <w:szCs w:val="24"/>
        </w:rPr>
        <w:t xml:space="preserve">is apology and </w:t>
      </w:r>
      <w:r w:rsidR="00477D5D" w:rsidRPr="00683B48">
        <w:rPr>
          <w:rFonts w:cs="Arial"/>
          <w:sz w:val="24"/>
          <w:szCs w:val="24"/>
        </w:rPr>
        <w:t xml:space="preserve">the </w:t>
      </w:r>
      <w:r w:rsidRPr="00683B48">
        <w:rPr>
          <w:rFonts w:cs="Arial"/>
          <w:sz w:val="24"/>
          <w:szCs w:val="24"/>
        </w:rPr>
        <w:t xml:space="preserve">court’s ruling </w:t>
      </w:r>
      <w:r w:rsidR="00477D5D" w:rsidRPr="00683B48">
        <w:rPr>
          <w:rFonts w:cs="Arial"/>
          <w:sz w:val="24"/>
          <w:szCs w:val="24"/>
        </w:rPr>
        <w:t xml:space="preserve">were </w:t>
      </w:r>
      <w:r w:rsidRPr="00683B48">
        <w:rPr>
          <w:rFonts w:cs="Arial"/>
          <w:sz w:val="24"/>
          <w:szCs w:val="24"/>
        </w:rPr>
        <w:t xml:space="preserve">published in a daily newspaper with national circulation at his own expense. </w:t>
      </w:r>
    </w:p>
    <w:p w14:paraId="2AE50B24" w14:textId="77777777" w:rsidR="009B7605" w:rsidRPr="00683B48" w:rsidRDefault="009B7605" w:rsidP="00FE29D2">
      <w:pPr>
        <w:spacing w:line="280" w:lineRule="exact"/>
        <w:jc w:val="both"/>
        <w:rPr>
          <w:rFonts w:cs="Arial"/>
          <w:b/>
          <w:i/>
          <w:color w:val="1F497D" w:themeColor="text2"/>
          <w:sz w:val="24"/>
          <w:szCs w:val="24"/>
        </w:rPr>
      </w:pPr>
      <w:r w:rsidRPr="00683B48">
        <w:rPr>
          <w:rFonts w:cs="Arial"/>
          <w:sz w:val="24"/>
          <w:szCs w:val="24"/>
        </w:rPr>
        <w:t xml:space="preserve">The Serbian Commissioner for the Protection of Equality also filed criminal charges against the mayor for </w:t>
      </w:r>
      <w:r w:rsidRPr="00683B48">
        <w:rPr>
          <w:rStyle w:val="shorttext"/>
          <w:rFonts w:cs="Arial"/>
          <w:i/>
          <w:sz w:val="24"/>
          <w:szCs w:val="24"/>
        </w:rPr>
        <w:t>inciting racial hatred</w:t>
      </w:r>
      <w:r w:rsidRPr="00683B48">
        <w:rPr>
          <w:rStyle w:val="shorttext"/>
          <w:rFonts w:cs="Arial"/>
          <w:sz w:val="24"/>
          <w:szCs w:val="24"/>
        </w:rPr>
        <w:t xml:space="preserve">. </w:t>
      </w:r>
      <w:r w:rsidR="00641341" w:rsidRPr="00683B48">
        <w:rPr>
          <w:rStyle w:val="shorttext"/>
          <w:rFonts w:cs="Arial"/>
          <w:sz w:val="24"/>
          <w:szCs w:val="24"/>
        </w:rPr>
        <w:t xml:space="preserve">The mayor </w:t>
      </w:r>
      <w:r w:rsidRPr="00683B48">
        <w:rPr>
          <w:rStyle w:val="shorttext"/>
          <w:rFonts w:cs="Arial"/>
          <w:sz w:val="24"/>
          <w:szCs w:val="24"/>
        </w:rPr>
        <w:t>was found guilty and sentenced to six months</w:t>
      </w:r>
      <w:r w:rsidR="00477D5D" w:rsidRPr="00683B48">
        <w:rPr>
          <w:rStyle w:val="shorttext"/>
          <w:rFonts w:cs="Arial"/>
          <w:sz w:val="24"/>
          <w:szCs w:val="24"/>
        </w:rPr>
        <w:t>’</w:t>
      </w:r>
      <w:r w:rsidRPr="00683B48">
        <w:rPr>
          <w:rStyle w:val="shorttext"/>
          <w:rFonts w:cs="Arial"/>
          <w:sz w:val="24"/>
          <w:szCs w:val="24"/>
        </w:rPr>
        <w:t xml:space="preserve"> house arrest.   </w:t>
      </w:r>
    </w:p>
    <w:p w14:paraId="2FE93C1F" w14:textId="47D99E9E" w:rsidR="00647EA0" w:rsidRPr="00732ACF" w:rsidRDefault="006F3139" w:rsidP="00FD78A5">
      <w:pPr>
        <w:jc w:val="both"/>
        <w:rPr>
          <w:rFonts w:cs="Arial"/>
          <w:sz w:val="24"/>
          <w:szCs w:val="24"/>
        </w:rPr>
      </w:pPr>
      <w:r>
        <w:rPr>
          <w:rFonts w:cs="Arial"/>
          <w:b/>
          <w:sz w:val="24"/>
          <w:szCs w:val="24"/>
        </w:rPr>
        <w:t>Case Study</w:t>
      </w:r>
      <w:r w:rsidR="00612212" w:rsidRPr="00683B48">
        <w:rPr>
          <w:rFonts w:cs="Arial"/>
          <w:b/>
          <w:sz w:val="24"/>
          <w:szCs w:val="24"/>
        </w:rPr>
        <w:t xml:space="preserve"> –</w:t>
      </w:r>
      <w:r w:rsidR="00647EA0" w:rsidRPr="00683B48">
        <w:rPr>
          <w:rFonts w:cs="Arial"/>
          <w:b/>
          <w:sz w:val="24"/>
          <w:szCs w:val="24"/>
        </w:rPr>
        <w:t xml:space="preserve"> Finnish </w:t>
      </w:r>
      <w:r w:rsidR="008A4495" w:rsidRPr="00683B48">
        <w:rPr>
          <w:rFonts w:cs="Arial"/>
          <w:b/>
          <w:sz w:val="24"/>
          <w:szCs w:val="24"/>
        </w:rPr>
        <w:t>Non-Discrimination</w:t>
      </w:r>
      <w:r w:rsidR="00612212" w:rsidRPr="00683B48">
        <w:rPr>
          <w:rFonts w:cs="Arial"/>
          <w:b/>
          <w:sz w:val="24"/>
          <w:szCs w:val="24"/>
        </w:rPr>
        <w:t xml:space="preserve"> Ombudsman </w:t>
      </w:r>
      <w:r w:rsidR="000E04F4" w:rsidRPr="00683B48">
        <w:rPr>
          <w:rFonts w:cs="Arial"/>
          <w:b/>
          <w:sz w:val="24"/>
          <w:szCs w:val="24"/>
        </w:rPr>
        <w:t>Presenting</w:t>
      </w:r>
      <w:r w:rsidR="00647EA0" w:rsidRPr="00683B48">
        <w:rPr>
          <w:rFonts w:cs="Arial"/>
          <w:b/>
          <w:sz w:val="24"/>
          <w:szCs w:val="24"/>
        </w:rPr>
        <w:t xml:space="preserve"> a </w:t>
      </w:r>
      <w:r w:rsidR="00612212" w:rsidRPr="00683B48">
        <w:rPr>
          <w:rFonts w:cs="Arial"/>
          <w:b/>
          <w:sz w:val="24"/>
          <w:szCs w:val="24"/>
        </w:rPr>
        <w:t>S</w:t>
      </w:r>
      <w:r w:rsidR="00647EA0" w:rsidRPr="00683B48">
        <w:rPr>
          <w:rFonts w:cs="Arial"/>
          <w:b/>
          <w:sz w:val="24"/>
          <w:szCs w:val="24"/>
        </w:rPr>
        <w:t xml:space="preserve">tatement in a </w:t>
      </w:r>
      <w:r w:rsidR="000E04F4" w:rsidRPr="00683B48">
        <w:rPr>
          <w:rFonts w:cs="Arial"/>
          <w:b/>
          <w:sz w:val="24"/>
          <w:szCs w:val="24"/>
        </w:rPr>
        <w:t>C</w:t>
      </w:r>
      <w:r w:rsidR="00647EA0" w:rsidRPr="00683B48">
        <w:rPr>
          <w:rFonts w:cs="Arial"/>
          <w:b/>
          <w:sz w:val="24"/>
          <w:szCs w:val="24"/>
        </w:rPr>
        <w:t xml:space="preserve">riminal </w:t>
      </w:r>
      <w:r w:rsidR="000E04F4" w:rsidRPr="00683B48">
        <w:rPr>
          <w:rFonts w:cs="Arial"/>
          <w:b/>
          <w:sz w:val="24"/>
          <w:szCs w:val="24"/>
        </w:rPr>
        <w:t>D</w:t>
      </w:r>
      <w:r w:rsidR="00647EA0" w:rsidRPr="00683B48">
        <w:rPr>
          <w:rFonts w:cs="Arial"/>
          <w:b/>
          <w:sz w:val="24"/>
          <w:szCs w:val="24"/>
        </w:rPr>
        <w:t xml:space="preserve">iscrimination </w:t>
      </w:r>
      <w:r w:rsidR="000E04F4" w:rsidRPr="00683B48">
        <w:rPr>
          <w:rFonts w:cs="Arial"/>
          <w:b/>
          <w:sz w:val="24"/>
          <w:szCs w:val="24"/>
        </w:rPr>
        <w:t>C</w:t>
      </w:r>
      <w:r w:rsidR="00647EA0" w:rsidRPr="00683B48">
        <w:rPr>
          <w:rFonts w:cs="Arial"/>
          <w:b/>
          <w:sz w:val="24"/>
          <w:szCs w:val="24"/>
        </w:rPr>
        <w:t xml:space="preserve">ase </w:t>
      </w:r>
      <w:r w:rsidR="00732ACF" w:rsidRPr="00732ACF">
        <w:rPr>
          <w:rFonts w:cs="Arial"/>
          <w:sz w:val="24"/>
          <w:szCs w:val="24"/>
        </w:rPr>
        <w:t>(</w:t>
      </w:r>
      <w:r w:rsidR="00732ACF" w:rsidRPr="00AF32C1">
        <w:rPr>
          <w:rFonts w:cs="Arial"/>
          <w:bCs/>
          <w:sz w:val="24"/>
          <w:szCs w:val="24"/>
        </w:rPr>
        <w:t>Helsinki District Court 01.02.2016 (R 15/8331))</w:t>
      </w:r>
    </w:p>
    <w:p w14:paraId="21B43526" w14:textId="65B3325B" w:rsidR="00647EA0" w:rsidRPr="00683B48" w:rsidRDefault="00647EA0" w:rsidP="00FD78A5">
      <w:pPr>
        <w:jc w:val="both"/>
        <w:rPr>
          <w:rFonts w:cs="Arial"/>
          <w:sz w:val="24"/>
          <w:szCs w:val="24"/>
        </w:rPr>
      </w:pPr>
      <w:r w:rsidRPr="00683B48">
        <w:rPr>
          <w:rFonts w:cs="Arial"/>
          <w:sz w:val="24"/>
          <w:szCs w:val="24"/>
        </w:rPr>
        <w:t xml:space="preserve">A </w:t>
      </w:r>
      <w:r w:rsidR="00612212" w:rsidRPr="00683B48">
        <w:rPr>
          <w:rFonts w:cs="Arial"/>
          <w:sz w:val="24"/>
          <w:szCs w:val="24"/>
        </w:rPr>
        <w:t xml:space="preserve">hearing impaired </w:t>
      </w:r>
      <w:r w:rsidRPr="00683B48">
        <w:rPr>
          <w:rFonts w:cs="Arial"/>
          <w:sz w:val="24"/>
          <w:szCs w:val="24"/>
        </w:rPr>
        <w:t xml:space="preserve">student was denied </w:t>
      </w:r>
      <w:r w:rsidR="00677A0D" w:rsidRPr="00683B48">
        <w:rPr>
          <w:rFonts w:cs="Arial"/>
          <w:sz w:val="24"/>
          <w:szCs w:val="24"/>
        </w:rPr>
        <w:t xml:space="preserve">admission </w:t>
      </w:r>
      <w:r w:rsidRPr="00683B48">
        <w:rPr>
          <w:rFonts w:cs="Arial"/>
          <w:sz w:val="24"/>
          <w:szCs w:val="24"/>
        </w:rPr>
        <w:t>to a</w:t>
      </w:r>
      <w:r w:rsidR="00371327">
        <w:rPr>
          <w:rFonts w:cs="Arial"/>
          <w:sz w:val="24"/>
          <w:szCs w:val="24"/>
        </w:rPr>
        <w:t>n</w:t>
      </w:r>
      <w:r w:rsidRPr="00683B48">
        <w:rPr>
          <w:rFonts w:cs="Arial"/>
          <w:sz w:val="24"/>
          <w:szCs w:val="24"/>
        </w:rPr>
        <w:t xml:space="preserve"> education program</w:t>
      </w:r>
      <w:r w:rsidR="00371327" w:rsidRPr="00371327">
        <w:rPr>
          <w:rFonts w:cs="Arial"/>
          <w:sz w:val="24"/>
          <w:szCs w:val="24"/>
        </w:rPr>
        <w:t xml:space="preserve"> </w:t>
      </w:r>
      <w:r w:rsidR="00371327">
        <w:rPr>
          <w:rFonts w:cs="Arial"/>
          <w:sz w:val="24"/>
          <w:szCs w:val="24"/>
        </w:rPr>
        <w:t xml:space="preserve">in </w:t>
      </w:r>
      <w:r w:rsidR="00371327" w:rsidRPr="00683B48">
        <w:rPr>
          <w:rFonts w:cs="Arial"/>
          <w:sz w:val="24"/>
          <w:szCs w:val="24"/>
        </w:rPr>
        <w:t xml:space="preserve">design </w:t>
      </w:r>
      <w:r w:rsidR="00677A0D" w:rsidRPr="00683B48">
        <w:rPr>
          <w:rFonts w:cs="Arial"/>
          <w:sz w:val="24"/>
          <w:szCs w:val="24"/>
        </w:rPr>
        <w:t>. This occurred</w:t>
      </w:r>
      <w:r w:rsidRPr="00683B48">
        <w:rPr>
          <w:rFonts w:cs="Arial"/>
          <w:sz w:val="24"/>
          <w:szCs w:val="24"/>
        </w:rPr>
        <w:t xml:space="preserve"> after </w:t>
      </w:r>
      <w:r w:rsidR="00677A0D" w:rsidRPr="00683B48">
        <w:rPr>
          <w:rFonts w:cs="Arial"/>
          <w:sz w:val="24"/>
          <w:szCs w:val="24"/>
        </w:rPr>
        <w:t xml:space="preserve">the student’s </w:t>
      </w:r>
      <w:r w:rsidRPr="00683B48">
        <w:rPr>
          <w:rFonts w:cs="Arial"/>
          <w:sz w:val="24"/>
          <w:szCs w:val="24"/>
        </w:rPr>
        <w:t xml:space="preserve">request for a sign language interpreter to be present in the classroom was refused by the </w:t>
      </w:r>
      <w:r w:rsidR="00677A0D" w:rsidRPr="00683B48">
        <w:rPr>
          <w:rFonts w:cs="Arial"/>
          <w:sz w:val="24"/>
          <w:szCs w:val="24"/>
        </w:rPr>
        <w:t>d</w:t>
      </w:r>
      <w:r w:rsidRPr="00683B48">
        <w:rPr>
          <w:rFonts w:cs="Arial"/>
          <w:sz w:val="24"/>
          <w:szCs w:val="24"/>
        </w:rPr>
        <w:t xml:space="preserve">irector </w:t>
      </w:r>
      <w:r w:rsidR="00677A0D" w:rsidRPr="00683B48">
        <w:rPr>
          <w:rFonts w:cs="Arial"/>
          <w:sz w:val="24"/>
          <w:szCs w:val="24"/>
        </w:rPr>
        <w:t xml:space="preserve">of the program </w:t>
      </w:r>
      <w:r w:rsidRPr="00683B48">
        <w:rPr>
          <w:rFonts w:cs="Arial"/>
          <w:sz w:val="24"/>
          <w:szCs w:val="24"/>
        </w:rPr>
        <w:t>and owner of the company</w:t>
      </w:r>
      <w:r w:rsidR="00677A0D" w:rsidRPr="00683B48">
        <w:rPr>
          <w:rFonts w:cs="Arial"/>
          <w:sz w:val="24"/>
          <w:szCs w:val="24"/>
        </w:rPr>
        <w:t xml:space="preserve"> offering the education program</w:t>
      </w:r>
      <w:r w:rsidRPr="00683B48">
        <w:rPr>
          <w:rFonts w:cs="Arial"/>
          <w:sz w:val="24"/>
          <w:szCs w:val="24"/>
        </w:rPr>
        <w:t xml:space="preserve">. The Ombudsman </w:t>
      </w:r>
      <w:r w:rsidR="00677A0D" w:rsidRPr="00683B48">
        <w:rPr>
          <w:rFonts w:cs="Arial"/>
          <w:sz w:val="24"/>
          <w:szCs w:val="24"/>
        </w:rPr>
        <w:t xml:space="preserve">presented </w:t>
      </w:r>
      <w:r w:rsidR="006041D9" w:rsidRPr="00683B48">
        <w:rPr>
          <w:rFonts w:cs="Arial"/>
          <w:sz w:val="24"/>
          <w:szCs w:val="24"/>
        </w:rPr>
        <w:t xml:space="preserve">written and oral submissions </w:t>
      </w:r>
      <w:r w:rsidRPr="00683B48">
        <w:rPr>
          <w:rFonts w:cs="Arial"/>
          <w:sz w:val="24"/>
          <w:szCs w:val="24"/>
        </w:rPr>
        <w:t xml:space="preserve">in Helsinki Municipal Court. The Ombudsman argued that </w:t>
      </w:r>
      <w:r w:rsidR="00677A0D" w:rsidRPr="00683B48">
        <w:rPr>
          <w:rFonts w:cs="Arial"/>
          <w:sz w:val="24"/>
          <w:szCs w:val="24"/>
        </w:rPr>
        <w:t xml:space="preserve">while </w:t>
      </w:r>
      <w:r w:rsidRPr="00683B48">
        <w:rPr>
          <w:rFonts w:cs="Arial"/>
          <w:sz w:val="24"/>
          <w:szCs w:val="24"/>
        </w:rPr>
        <w:t xml:space="preserve">the accommodation requested had been reasonable and easy for the company to implement, the company had not even tried </w:t>
      </w:r>
      <w:r w:rsidR="00E67805">
        <w:rPr>
          <w:rFonts w:cs="Arial"/>
          <w:sz w:val="24"/>
          <w:szCs w:val="24"/>
        </w:rPr>
        <w:t xml:space="preserve">to </w:t>
      </w:r>
      <w:r w:rsidRPr="00683B48">
        <w:rPr>
          <w:rFonts w:cs="Arial"/>
          <w:sz w:val="24"/>
          <w:szCs w:val="24"/>
        </w:rPr>
        <w:t>find out what would be needed to comply with the request before den</w:t>
      </w:r>
      <w:r w:rsidR="00677A0D" w:rsidRPr="00683B48">
        <w:rPr>
          <w:rFonts w:cs="Arial"/>
          <w:sz w:val="24"/>
          <w:szCs w:val="24"/>
        </w:rPr>
        <w:t>ying</w:t>
      </w:r>
      <w:r w:rsidRPr="00683B48">
        <w:rPr>
          <w:rFonts w:cs="Arial"/>
          <w:sz w:val="24"/>
          <w:szCs w:val="24"/>
        </w:rPr>
        <w:t xml:space="preserve"> the student</w:t>
      </w:r>
      <w:r w:rsidR="00677A0D" w:rsidRPr="00683B48">
        <w:rPr>
          <w:rFonts w:cs="Arial"/>
          <w:sz w:val="24"/>
          <w:szCs w:val="24"/>
        </w:rPr>
        <w:t xml:space="preserve"> admission</w:t>
      </w:r>
      <w:r w:rsidRPr="00683B48">
        <w:rPr>
          <w:rFonts w:cs="Arial"/>
          <w:sz w:val="24"/>
          <w:szCs w:val="24"/>
        </w:rPr>
        <w:t xml:space="preserve">. </w:t>
      </w:r>
    </w:p>
    <w:p w14:paraId="1967BC03" w14:textId="77777777" w:rsidR="00647EA0" w:rsidRPr="00683B48" w:rsidRDefault="00647EA0" w:rsidP="00FD78A5">
      <w:pPr>
        <w:jc w:val="both"/>
        <w:rPr>
          <w:rFonts w:cs="Arial"/>
          <w:sz w:val="24"/>
          <w:szCs w:val="24"/>
        </w:rPr>
      </w:pPr>
      <w:r w:rsidRPr="00683B48">
        <w:rPr>
          <w:rFonts w:cs="Arial"/>
          <w:sz w:val="24"/>
          <w:szCs w:val="24"/>
        </w:rPr>
        <w:t xml:space="preserve">The court fined the director and ordered </w:t>
      </w:r>
      <w:r w:rsidR="00677A0D" w:rsidRPr="00683B48">
        <w:rPr>
          <w:rFonts w:cs="Arial"/>
          <w:sz w:val="24"/>
          <w:szCs w:val="24"/>
        </w:rPr>
        <w:t xml:space="preserve">the </w:t>
      </w:r>
      <w:r w:rsidRPr="00683B48">
        <w:rPr>
          <w:rFonts w:cs="Arial"/>
          <w:sz w:val="24"/>
          <w:szCs w:val="24"/>
        </w:rPr>
        <w:t xml:space="preserve">company to pay </w:t>
      </w:r>
      <w:r w:rsidR="00677A0D" w:rsidRPr="00683B48">
        <w:rPr>
          <w:rFonts w:cs="Arial"/>
          <w:sz w:val="24"/>
          <w:szCs w:val="24"/>
        </w:rPr>
        <w:t xml:space="preserve">compensation to the victim in the amount of </w:t>
      </w:r>
      <w:r w:rsidRPr="00683B48">
        <w:rPr>
          <w:rFonts w:cs="Arial"/>
          <w:sz w:val="24"/>
          <w:szCs w:val="24"/>
        </w:rPr>
        <w:t>EUR 8</w:t>
      </w:r>
      <w:r w:rsidR="00677A0D" w:rsidRPr="00683B48">
        <w:rPr>
          <w:rFonts w:cs="Arial"/>
          <w:sz w:val="24"/>
          <w:szCs w:val="24"/>
        </w:rPr>
        <w:t>,</w:t>
      </w:r>
      <w:r w:rsidRPr="00683B48">
        <w:rPr>
          <w:rFonts w:cs="Arial"/>
          <w:sz w:val="24"/>
          <w:szCs w:val="24"/>
        </w:rPr>
        <w:t xml:space="preserve">000. </w:t>
      </w:r>
    </w:p>
    <w:p w14:paraId="3BA48453" w14:textId="77777777" w:rsidR="00647EA0" w:rsidRPr="00683B48" w:rsidRDefault="00647EA0" w:rsidP="00FD78A5">
      <w:pPr>
        <w:jc w:val="both"/>
        <w:rPr>
          <w:rFonts w:cs="Arial"/>
          <w:sz w:val="24"/>
          <w:szCs w:val="24"/>
        </w:rPr>
      </w:pPr>
      <w:r w:rsidRPr="00683B48">
        <w:rPr>
          <w:rFonts w:cs="Arial"/>
          <w:sz w:val="24"/>
          <w:szCs w:val="24"/>
        </w:rPr>
        <w:lastRenderedPageBreak/>
        <w:t>After the verdict</w:t>
      </w:r>
      <w:r w:rsidR="0098044D" w:rsidRPr="00683B48">
        <w:rPr>
          <w:rFonts w:cs="Arial"/>
          <w:sz w:val="24"/>
          <w:szCs w:val="24"/>
        </w:rPr>
        <w:t>,</w:t>
      </w:r>
      <w:r w:rsidRPr="00683B48">
        <w:rPr>
          <w:rFonts w:cs="Arial"/>
          <w:sz w:val="24"/>
          <w:szCs w:val="24"/>
        </w:rPr>
        <w:t xml:space="preserve"> the Ombudsman issued a </w:t>
      </w:r>
      <w:r w:rsidR="0098044D" w:rsidRPr="00683B48">
        <w:rPr>
          <w:rFonts w:cs="Arial"/>
          <w:sz w:val="24"/>
          <w:szCs w:val="24"/>
        </w:rPr>
        <w:t xml:space="preserve">public </w:t>
      </w:r>
      <w:r w:rsidRPr="00683B48">
        <w:rPr>
          <w:rFonts w:cs="Arial"/>
          <w:sz w:val="24"/>
          <w:szCs w:val="24"/>
        </w:rPr>
        <w:t xml:space="preserve">statement that the compensation serves as a deterrent in accordance with requirements in EU-law and </w:t>
      </w:r>
      <w:r w:rsidR="0098044D" w:rsidRPr="00683B48">
        <w:rPr>
          <w:rFonts w:cs="Arial"/>
          <w:sz w:val="24"/>
          <w:szCs w:val="24"/>
        </w:rPr>
        <w:t xml:space="preserve">will </w:t>
      </w:r>
      <w:r w:rsidRPr="00683B48">
        <w:rPr>
          <w:rFonts w:cs="Arial"/>
          <w:sz w:val="24"/>
          <w:szCs w:val="24"/>
        </w:rPr>
        <w:t>hopefully effectively prevent future discriminat</w:t>
      </w:r>
      <w:r w:rsidR="0098044D" w:rsidRPr="00683B48">
        <w:rPr>
          <w:rFonts w:cs="Arial"/>
          <w:sz w:val="24"/>
          <w:szCs w:val="24"/>
        </w:rPr>
        <w:t>ory acts</w:t>
      </w:r>
      <w:r w:rsidRPr="00683B48">
        <w:rPr>
          <w:rFonts w:cs="Arial"/>
          <w:sz w:val="24"/>
          <w:szCs w:val="24"/>
        </w:rPr>
        <w:t>.</w:t>
      </w:r>
    </w:p>
    <w:p w14:paraId="317537B3" w14:textId="77777777" w:rsidR="00647EA0" w:rsidRPr="00683B48" w:rsidRDefault="00647EA0" w:rsidP="00FD78A5">
      <w:pPr>
        <w:jc w:val="both"/>
        <w:rPr>
          <w:rFonts w:cs="Arial"/>
          <w:b/>
          <w:sz w:val="24"/>
          <w:szCs w:val="24"/>
          <w:u w:val="single"/>
        </w:rPr>
      </w:pPr>
      <w:r w:rsidRPr="00683B48">
        <w:rPr>
          <w:rFonts w:cs="Arial"/>
          <w:b/>
          <w:sz w:val="24"/>
          <w:szCs w:val="24"/>
          <w:u w:val="single"/>
        </w:rPr>
        <w:t xml:space="preserve">Litigating through </w:t>
      </w:r>
      <w:r w:rsidR="000E04F4" w:rsidRPr="00683B48">
        <w:rPr>
          <w:rFonts w:cs="Arial"/>
          <w:b/>
          <w:sz w:val="24"/>
          <w:szCs w:val="24"/>
          <w:u w:val="single"/>
        </w:rPr>
        <w:t>Q</w:t>
      </w:r>
      <w:r w:rsidRPr="00683B48">
        <w:rPr>
          <w:rFonts w:cs="Arial"/>
          <w:b/>
          <w:sz w:val="24"/>
          <w:szCs w:val="24"/>
          <w:u w:val="single"/>
        </w:rPr>
        <w:t>uasi-</w:t>
      </w:r>
      <w:r w:rsidR="000E04F4" w:rsidRPr="00683B48">
        <w:rPr>
          <w:rFonts w:cs="Arial"/>
          <w:b/>
          <w:sz w:val="24"/>
          <w:szCs w:val="24"/>
          <w:u w:val="single"/>
        </w:rPr>
        <w:t>J</w:t>
      </w:r>
      <w:r w:rsidRPr="00683B48">
        <w:rPr>
          <w:rFonts w:cs="Arial"/>
          <w:b/>
          <w:sz w:val="24"/>
          <w:szCs w:val="24"/>
          <w:u w:val="single"/>
        </w:rPr>
        <w:t xml:space="preserve">udicial </w:t>
      </w:r>
      <w:r w:rsidR="000E04F4" w:rsidRPr="00683B48">
        <w:rPr>
          <w:rFonts w:cs="Arial"/>
          <w:b/>
          <w:sz w:val="24"/>
          <w:szCs w:val="24"/>
          <w:u w:val="single"/>
        </w:rPr>
        <w:t>B</w:t>
      </w:r>
      <w:r w:rsidRPr="00683B48">
        <w:rPr>
          <w:rFonts w:cs="Arial"/>
          <w:b/>
          <w:sz w:val="24"/>
          <w:szCs w:val="24"/>
          <w:u w:val="single"/>
        </w:rPr>
        <w:t>odies</w:t>
      </w:r>
    </w:p>
    <w:p w14:paraId="78E695CE" w14:textId="77777777" w:rsidR="00647EA0" w:rsidRPr="00683B48" w:rsidRDefault="00647EA0" w:rsidP="00FD78A5">
      <w:pPr>
        <w:jc w:val="both"/>
        <w:rPr>
          <w:rFonts w:cs="Arial"/>
          <w:sz w:val="24"/>
          <w:szCs w:val="24"/>
        </w:rPr>
      </w:pPr>
      <w:r w:rsidRPr="00683B48">
        <w:rPr>
          <w:rFonts w:cs="Arial"/>
          <w:sz w:val="24"/>
          <w:szCs w:val="24"/>
        </w:rPr>
        <w:t xml:space="preserve">In many European countries protection from discrimination includes a “light” version of litigation through quasi-judicial bodies. The benefits of choosing this method are that it is usually both faster and cheaper than normal civil law </w:t>
      </w:r>
      <w:r w:rsidR="0033597F" w:rsidRPr="00683B48">
        <w:rPr>
          <w:rFonts w:cs="Arial"/>
          <w:sz w:val="24"/>
          <w:szCs w:val="24"/>
        </w:rPr>
        <w:t>proceedings</w:t>
      </w:r>
      <w:r w:rsidRPr="00683B48">
        <w:rPr>
          <w:rFonts w:cs="Arial"/>
          <w:sz w:val="24"/>
          <w:szCs w:val="24"/>
        </w:rPr>
        <w:t xml:space="preserve">. There is usually no need for the victim to pay for a lawyer </w:t>
      </w:r>
      <w:r w:rsidR="0033597F" w:rsidRPr="00683B48">
        <w:rPr>
          <w:rFonts w:cs="Arial"/>
          <w:sz w:val="24"/>
          <w:szCs w:val="24"/>
        </w:rPr>
        <w:t xml:space="preserve">as </w:t>
      </w:r>
      <w:r w:rsidRPr="00683B48">
        <w:rPr>
          <w:rFonts w:cs="Arial"/>
          <w:sz w:val="24"/>
          <w:szCs w:val="24"/>
        </w:rPr>
        <w:t xml:space="preserve">such cases are investigated </w:t>
      </w:r>
      <w:r w:rsidRPr="00683B48">
        <w:rPr>
          <w:rFonts w:cs="Arial"/>
          <w:i/>
          <w:sz w:val="24"/>
          <w:szCs w:val="24"/>
        </w:rPr>
        <w:t xml:space="preserve">ex officio </w:t>
      </w:r>
      <w:r w:rsidRPr="00683B48">
        <w:rPr>
          <w:rFonts w:cs="Arial"/>
          <w:sz w:val="24"/>
          <w:szCs w:val="24"/>
        </w:rPr>
        <w:t>by the quasi-judicial body</w:t>
      </w:r>
      <w:r w:rsidR="0033597F" w:rsidRPr="00683B48">
        <w:rPr>
          <w:rFonts w:cs="Arial"/>
          <w:sz w:val="24"/>
          <w:szCs w:val="24"/>
        </w:rPr>
        <w:t>,</w:t>
      </w:r>
      <w:r w:rsidRPr="00683B48">
        <w:rPr>
          <w:rFonts w:cs="Arial"/>
          <w:sz w:val="24"/>
          <w:szCs w:val="24"/>
        </w:rPr>
        <w:t xml:space="preserve"> and the offender cannot claim </w:t>
      </w:r>
      <w:r w:rsidR="0033597F" w:rsidRPr="00683B48">
        <w:rPr>
          <w:rFonts w:cs="Arial"/>
          <w:sz w:val="24"/>
          <w:szCs w:val="24"/>
        </w:rPr>
        <w:t xml:space="preserve">repayment of </w:t>
      </w:r>
      <w:r w:rsidRPr="00683B48">
        <w:rPr>
          <w:rFonts w:cs="Arial"/>
          <w:sz w:val="24"/>
          <w:szCs w:val="24"/>
        </w:rPr>
        <w:t>litigation costs from the victim. Important strategic questions to consider before choosing this method are:</w:t>
      </w:r>
    </w:p>
    <w:p w14:paraId="410E007D" w14:textId="77777777" w:rsidR="00647EA0" w:rsidRPr="00683B48" w:rsidRDefault="00647EA0" w:rsidP="00FD78A5">
      <w:pPr>
        <w:numPr>
          <w:ilvl w:val="0"/>
          <w:numId w:val="10"/>
        </w:numPr>
        <w:spacing w:line="240" w:lineRule="auto"/>
        <w:contextualSpacing/>
        <w:jc w:val="both"/>
        <w:rPr>
          <w:rFonts w:eastAsia="Calibri" w:cs="Arial"/>
          <w:sz w:val="24"/>
          <w:szCs w:val="24"/>
        </w:rPr>
      </w:pPr>
      <w:r w:rsidRPr="00683B48">
        <w:rPr>
          <w:rFonts w:eastAsia="Calibri" w:cs="Arial"/>
          <w:sz w:val="24"/>
          <w:szCs w:val="24"/>
        </w:rPr>
        <w:t xml:space="preserve">How effective </w:t>
      </w:r>
      <w:r w:rsidR="0033597F" w:rsidRPr="00683B48">
        <w:rPr>
          <w:rFonts w:eastAsia="Calibri" w:cs="Arial"/>
          <w:sz w:val="24"/>
          <w:szCs w:val="24"/>
        </w:rPr>
        <w:t xml:space="preserve">is </w:t>
      </w:r>
      <w:r w:rsidRPr="00683B48">
        <w:rPr>
          <w:rFonts w:eastAsia="Calibri" w:cs="Arial"/>
          <w:sz w:val="24"/>
          <w:szCs w:val="24"/>
        </w:rPr>
        <w:t xml:space="preserve">a decision made by a quasi-judicial body in practice? </w:t>
      </w:r>
    </w:p>
    <w:p w14:paraId="5135909A" w14:textId="77777777" w:rsidR="00647EA0" w:rsidRPr="00683B48" w:rsidRDefault="00647EA0" w:rsidP="00FD78A5">
      <w:pPr>
        <w:numPr>
          <w:ilvl w:val="0"/>
          <w:numId w:val="10"/>
        </w:numPr>
        <w:spacing w:line="240" w:lineRule="auto"/>
        <w:contextualSpacing/>
        <w:jc w:val="both"/>
        <w:rPr>
          <w:rFonts w:eastAsia="Calibri" w:cs="Arial"/>
          <w:sz w:val="24"/>
          <w:szCs w:val="24"/>
        </w:rPr>
      </w:pPr>
      <w:r w:rsidRPr="00683B48">
        <w:rPr>
          <w:rFonts w:eastAsia="Calibri" w:cs="Arial"/>
          <w:sz w:val="24"/>
          <w:szCs w:val="24"/>
        </w:rPr>
        <w:t xml:space="preserve">Is the decision legally binding and authoritative? </w:t>
      </w:r>
    </w:p>
    <w:p w14:paraId="0EF951F2" w14:textId="77777777" w:rsidR="00647EA0" w:rsidRPr="00683B48" w:rsidRDefault="00647EA0" w:rsidP="00FD78A5">
      <w:pPr>
        <w:numPr>
          <w:ilvl w:val="0"/>
          <w:numId w:val="10"/>
        </w:numPr>
        <w:spacing w:line="240" w:lineRule="auto"/>
        <w:contextualSpacing/>
        <w:jc w:val="both"/>
        <w:rPr>
          <w:rFonts w:eastAsia="Calibri" w:cs="Arial"/>
          <w:sz w:val="24"/>
          <w:szCs w:val="24"/>
        </w:rPr>
      </w:pPr>
      <w:r w:rsidRPr="00683B48">
        <w:rPr>
          <w:rFonts w:eastAsia="Calibri" w:cs="Arial"/>
          <w:sz w:val="24"/>
          <w:szCs w:val="24"/>
        </w:rPr>
        <w:t xml:space="preserve">Can the quasi-judicial body award compensation? </w:t>
      </w:r>
    </w:p>
    <w:p w14:paraId="0DC956E8" w14:textId="77777777" w:rsidR="00647EA0" w:rsidRPr="00683B48" w:rsidRDefault="00647EA0" w:rsidP="00FD78A5">
      <w:pPr>
        <w:numPr>
          <w:ilvl w:val="0"/>
          <w:numId w:val="10"/>
        </w:numPr>
        <w:spacing w:line="240" w:lineRule="auto"/>
        <w:contextualSpacing/>
        <w:jc w:val="both"/>
        <w:rPr>
          <w:rFonts w:eastAsia="Calibri" w:cs="Arial"/>
          <w:sz w:val="24"/>
          <w:szCs w:val="24"/>
        </w:rPr>
      </w:pPr>
      <w:r w:rsidRPr="00683B48">
        <w:rPr>
          <w:rFonts w:eastAsia="Calibri" w:cs="Arial"/>
          <w:sz w:val="24"/>
          <w:szCs w:val="24"/>
        </w:rPr>
        <w:t xml:space="preserve">Is there a risk that the </w:t>
      </w:r>
      <w:r w:rsidR="0033597F" w:rsidRPr="00683B48">
        <w:rPr>
          <w:rFonts w:eastAsia="Calibri" w:cs="Arial"/>
          <w:sz w:val="24"/>
          <w:szCs w:val="24"/>
        </w:rPr>
        <w:t xml:space="preserve">litigation process may </w:t>
      </w:r>
      <w:r w:rsidRPr="00683B48">
        <w:rPr>
          <w:rFonts w:eastAsia="Calibri" w:cs="Arial"/>
          <w:sz w:val="24"/>
          <w:szCs w:val="24"/>
        </w:rPr>
        <w:t>in fact be further prolonged through a</w:t>
      </w:r>
      <w:r w:rsidR="0033597F" w:rsidRPr="00683B48">
        <w:rPr>
          <w:rFonts w:eastAsia="Calibri" w:cs="Arial"/>
          <w:sz w:val="24"/>
          <w:szCs w:val="24"/>
        </w:rPr>
        <w:t xml:space="preserve"> subsequent</w:t>
      </w:r>
      <w:r w:rsidRPr="00683B48">
        <w:rPr>
          <w:rFonts w:eastAsia="Calibri" w:cs="Arial"/>
          <w:sz w:val="24"/>
          <w:szCs w:val="24"/>
        </w:rPr>
        <w:t xml:space="preserve"> appeal?</w:t>
      </w:r>
    </w:p>
    <w:p w14:paraId="0017B948" w14:textId="77777777" w:rsidR="00647EA0" w:rsidRPr="00683B48" w:rsidRDefault="0017426A" w:rsidP="008A4495">
      <w:pPr>
        <w:numPr>
          <w:ilvl w:val="0"/>
          <w:numId w:val="10"/>
        </w:numPr>
        <w:spacing w:line="240" w:lineRule="auto"/>
        <w:contextualSpacing/>
        <w:jc w:val="both"/>
        <w:rPr>
          <w:rFonts w:cs="Arial"/>
          <w:b/>
          <w:sz w:val="24"/>
          <w:szCs w:val="24"/>
          <w:lang w:val="fi-FI"/>
        </w:rPr>
      </w:pPr>
      <w:r w:rsidRPr="00683B48">
        <w:rPr>
          <w:rFonts w:eastAsia="Calibri" w:cs="Arial"/>
          <w:sz w:val="24"/>
          <w:szCs w:val="24"/>
        </w:rPr>
        <w:t xml:space="preserve">Can the outcome assist in achieving </w:t>
      </w:r>
      <w:r w:rsidR="0033597F" w:rsidRPr="00683B48">
        <w:rPr>
          <w:rFonts w:eastAsia="Calibri" w:cs="Arial"/>
          <w:sz w:val="24"/>
          <w:szCs w:val="24"/>
        </w:rPr>
        <w:t xml:space="preserve">a </w:t>
      </w:r>
      <w:r w:rsidRPr="00683B48">
        <w:rPr>
          <w:rFonts w:eastAsia="Calibri" w:cs="Arial"/>
          <w:sz w:val="24"/>
          <w:szCs w:val="24"/>
        </w:rPr>
        <w:t xml:space="preserve">strategic legal </w:t>
      </w:r>
      <w:r w:rsidR="0033597F" w:rsidRPr="00683B48">
        <w:rPr>
          <w:rFonts w:eastAsia="Calibri" w:cs="Arial"/>
          <w:sz w:val="24"/>
          <w:szCs w:val="24"/>
        </w:rPr>
        <w:t>objective</w:t>
      </w:r>
      <w:r w:rsidRPr="00683B48">
        <w:rPr>
          <w:rFonts w:eastAsia="Calibri" w:cs="Arial"/>
          <w:sz w:val="24"/>
          <w:szCs w:val="24"/>
        </w:rPr>
        <w:t>?</w:t>
      </w:r>
    </w:p>
    <w:p w14:paraId="292BBF12" w14:textId="77777777" w:rsidR="00501ABB" w:rsidRPr="00683B48" w:rsidRDefault="00501ABB" w:rsidP="00FD78A5">
      <w:pPr>
        <w:jc w:val="both"/>
        <w:rPr>
          <w:rFonts w:cs="Arial"/>
          <w:b/>
          <w:sz w:val="24"/>
          <w:szCs w:val="24"/>
          <w:lang w:val="fi-FI"/>
        </w:rPr>
      </w:pPr>
    </w:p>
    <w:p w14:paraId="0E4DED0F" w14:textId="17721074" w:rsidR="00647EA0" w:rsidRPr="00683B48" w:rsidRDefault="006F3139" w:rsidP="00FD78A5">
      <w:pPr>
        <w:jc w:val="both"/>
        <w:rPr>
          <w:rFonts w:cs="Arial"/>
          <w:b/>
          <w:sz w:val="24"/>
          <w:szCs w:val="24"/>
          <w:lang w:val="fi-FI"/>
        </w:rPr>
      </w:pPr>
      <w:r>
        <w:rPr>
          <w:rFonts w:cs="Arial"/>
          <w:b/>
          <w:sz w:val="24"/>
          <w:szCs w:val="24"/>
          <w:lang w:val="fi-FI"/>
        </w:rPr>
        <w:t>Case Study</w:t>
      </w:r>
      <w:r w:rsidR="007A68A0" w:rsidRPr="00683B48">
        <w:rPr>
          <w:rFonts w:cs="Arial"/>
          <w:b/>
          <w:sz w:val="24"/>
          <w:szCs w:val="24"/>
          <w:lang w:val="fi-FI"/>
        </w:rPr>
        <w:t xml:space="preserve"> </w:t>
      </w:r>
      <w:r w:rsidR="008A4495" w:rsidRPr="00683B48">
        <w:rPr>
          <w:rFonts w:cs="Arial"/>
          <w:b/>
          <w:sz w:val="24"/>
          <w:szCs w:val="24"/>
          <w:lang w:val="fi-FI"/>
        </w:rPr>
        <w:t xml:space="preserve">- </w:t>
      </w:r>
      <w:r w:rsidR="00647EA0" w:rsidRPr="00683B48">
        <w:rPr>
          <w:rFonts w:cs="Arial"/>
          <w:b/>
          <w:sz w:val="24"/>
          <w:szCs w:val="24"/>
          <w:lang w:val="fi-FI"/>
        </w:rPr>
        <w:t>Fi</w:t>
      </w:r>
      <w:r w:rsidR="00501ABB" w:rsidRPr="00683B48">
        <w:rPr>
          <w:rFonts w:cs="Arial"/>
          <w:b/>
          <w:sz w:val="24"/>
          <w:szCs w:val="24"/>
          <w:lang w:val="fi-FI"/>
        </w:rPr>
        <w:t>n</w:t>
      </w:r>
      <w:r w:rsidR="00647EA0" w:rsidRPr="00683B48">
        <w:rPr>
          <w:rFonts w:cs="Arial"/>
          <w:b/>
          <w:sz w:val="24"/>
          <w:szCs w:val="24"/>
          <w:lang w:val="fi-FI"/>
        </w:rPr>
        <w:t xml:space="preserve">nish </w:t>
      </w:r>
      <w:r w:rsidR="008A4495" w:rsidRPr="00683B48">
        <w:rPr>
          <w:rFonts w:cs="Arial"/>
          <w:b/>
          <w:sz w:val="24"/>
          <w:szCs w:val="24"/>
          <w:lang w:val="fi-FI"/>
        </w:rPr>
        <w:t xml:space="preserve">Non-Discrimination </w:t>
      </w:r>
      <w:r w:rsidR="00647EA0" w:rsidRPr="00683B48">
        <w:rPr>
          <w:rFonts w:cs="Arial"/>
          <w:b/>
          <w:sz w:val="24"/>
          <w:szCs w:val="24"/>
          <w:lang w:val="fi-FI"/>
        </w:rPr>
        <w:t xml:space="preserve">Ombudsman </w:t>
      </w:r>
      <w:r w:rsidR="00501ABB" w:rsidRPr="00683B48">
        <w:rPr>
          <w:rFonts w:cs="Arial"/>
          <w:b/>
          <w:sz w:val="24"/>
          <w:szCs w:val="24"/>
          <w:lang w:val="fi-FI"/>
        </w:rPr>
        <w:t>R</w:t>
      </w:r>
      <w:r w:rsidR="00647EA0" w:rsidRPr="00683B48">
        <w:rPr>
          <w:rFonts w:cs="Arial"/>
          <w:b/>
          <w:sz w:val="24"/>
          <w:szCs w:val="24"/>
          <w:lang w:val="fi-FI"/>
        </w:rPr>
        <w:t xml:space="preserve">eferring </w:t>
      </w:r>
      <w:r w:rsidR="00501ABB" w:rsidRPr="00683B48">
        <w:rPr>
          <w:rFonts w:cs="Arial"/>
          <w:b/>
          <w:sz w:val="24"/>
          <w:szCs w:val="24"/>
          <w:lang w:val="fi-FI"/>
        </w:rPr>
        <w:t>a C</w:t>
      </w:r>
      <w:r w:rsidR="00647EA0" w:rsidRPr="00683B48">
        <w:rPr>
          <w:rFonts w:cs="Arial"/>
          <w:b/>
          <w:sz w:val="24"/>
          <w:szCs w:val="24"/>
          <w:lang w:val="fi-FI"/>
        </w:rPr>
        <w:t>ase to</w:t>
      </w:r>
      <w:r w:rsidR="00501ABB" w:rsidRPr="00683B48">
        <w:rPr>
          <w:rFonts w:cs="Arial"/>
          <w:b/>
          <w:sz w:val="24"/>
          <w:szCs w:val="24"/>
          <w:lang w:val="fi-FI"/>
        </w:rPr>
        <w:t xml:space="preserve"> a</w:t>
      </w:r>
      <w:r w:rsidR="00647EA0" w:rsidRPr="00683B48">
        <w:rPr>
          <w:rFonts w:cs="Arial"/>
          <w:b/>
          <w:sz w:val="24"/>
          <w:szCs w:val="24"/>
          <w:lang w:val="fi-FI"/>
        </w:rPr>
        <w:t xml:space="preserve"> </w:t>
      </w:r>
      <w:r w:rsidR="00501ABB" w:rsidRPr="00683B48">
        <w:rPr>
          <w:rFonts w:cs="Arial"/>
          <w:b/>
          <w:sz w:val="24"/>
          <w:szCs w:val="24"/>
          <w:lang w:val="fi-FI"/>
        </w:rPr>
        <w:t>Q</w:t>
      </w:r>
      <w:r w:rsidR="00647EA0" w:rsidRPr="00683B48">
        <w:rPr>
          <w:rFonts w:cs="Arial"/>
          <w:b/>
          <w:sz w:val="24"/>
          <w:szCs w:val="24"/>
          <w:lang w:val="fi-FI"/>
        </w:rPr>
        <w:t>uasi-</w:t>
      </w:r>
      <w:r w:rsidR="00501ABB" w:rsidRPr="00683B48">
        <w:rPr>
          <w:rFonts w:cs="Arial"/>
          <w:b/>
          <w:sz w:val="24"/>
          <w:szCs w:val="24"/>
          <w:lang w:val="fi-FI"/>
        </w:rPr>
        <w:t>J</w:t>
      </w:r>
      <w:r w:rsidR="00647EA0" w:rsidRPr="00683B48">
        <w:rPr>
          <w:rFonts w:cs="Arial"/>
          <w:b/>
          <w:sz w:val="24"/>
          <w:szCs w:val="24"/>
          <w:lang w:val="fi-FI"/>
        </w:rPr>
        <w:t xml:space="preserve">udicial </w:t>
      </w:r>
      <w:r w:rsidR="00501ABB" w:rsidRPr="00683B48">
        <w:rPr>
          <w:rFonts w:cs="Arial"/>
          <w:b/>
          <w:sz w:val="24"/>
          <w:szCs w:val="24"/>
          <w:lang w:val="fi-FI"/>
        </w:rPr>
        <w:t>B</w:t>
      </w:r>
      <w:r w:rsidR="008A4495" w:rsidRPr="00683B48">
        <w:rPr>
          <w:rFonts w:cs="Arial"/>
          <w:b/>
          <w:sz w:val="24"/>
          <w:szCs w:val="24"/>
          <w:lang w:val="fi-FI"/>
        </w:rPr>
        <w:t xml:space="preserve">ody </w:t>
      </w:r>
      <w:r w:rsidR="008A4495" w:rsidRPr="00683B48">
        <w:rPr>
          <w:rFonts w:cs="Arial"/>
          <w:b/>
          <w:sz w:val="24"/>
          <w:szCs w:val="24"/>
          <w:lang w:val="en-US"/>
        </w:rPr>
        <w:t>claiming that the open display of the Nazi-flag is harassment</w:t>
      </w:r>
      <w:r w:rsidR="00E67805">
        <w:rPr>
          <w:rFonts w:cs="Arial"/>
          <w:b/>
          <w:sz w:val="24"/>
          <w:szCs w:val="24"/>
          <w:lang w:val="en-US"/>
        </w:rPr>
        <w:t xml:space="preserve"> </w:t>
      </w:r>
      <w:r w:rsidR="00E67805" w:rsidRPr="00E67805">
        <w:rPr>
          <w:rFonts w:cs="Arial"/>
          <w:i/>
          <w:sz w:val="24"/>
          <w:szCs w:val="24"/>
          <w:lang w:val="en-US"/>
        </w:rPr>
        <w:t>(case number VVT-Dno-2016-712)</w:t>
      </w:r>
    </w:p>
    <w:p w14:paraId="5E8C1F8E" w14:textId="77777777" w:rsidR="00647EA0" w:rsidRPr="00683B48" w:rsidRDefault="00647EA0" w:rsidP="00FD78A5">
      <w:pPr>
        <w:jc w:val="both"/>
        <w:rPr>
          <w:rFonts w:cs="Arial"/>
          <w:sz w:val="24"/>
          <w:szCs w:val="24"/>
          <w:lang w:val="fi-FI"/>
        </w:rPr>
      </w:pPr>
      <w:r w:rsidRPr="00683B48">
        <w:rPr>
          <w:rFonts w:cs="Arial"/>
          <w:sz w:val="24"/>
          <w:szCs w:val="24"/>
          <w:lang w:val="fi-FI"/>
        </w:rPr>
        <w:t>The Finnish Non-Discrimination Ombudsman referred a case to the National Non-Discrimination and Equality Tribunal requesting that the Tribunal prohibit a student from displaying a Nazi flag in the window of his student apartment. The Nazi</w:t>
      </w:r>
      <w:r w:rsidR="00DE281B" w:rsidRPr="00683B48">
        <w:rPr>
          <w:rFonts w:cs="Arial"/>
          <w:sz w:val="24"/>
          <w:szCs w:val="24"/>
          <w:lang w:val="fi-FI"/>
        </w:rPr>
        <w:t xml:space="preserve"> </w:t>
      </w:r>
      <w:r w:rsidRPr="00683B48">
        <w:rPr>
          <w:rFonts w:cs="Arial"/>
          <w:sz w:val="24"/>
          <w:szCs w:val="24"/>
          <w:lang w:val="fi-FI"/>
        </w:rPr>
        <w:t>flag had been clearly visible in the student</w:t>
      </w:r>
      <w:r w:rsidR="00DE281B" w:rsidRPr="00683B48">
        <w:rPr>
          <w:rFonts w:cs="Arial"/>
          <w:sz w:val="24"/>
          <w:szCs w:val="24"/>
          <w:lang w:val="fi-FI"/>
        </w:rPr>
        <w:t xml:space="preserve"> </w:t>
      </w:r>
      <w:r w:rsidRPr="00683B48">
        <w:rPr>
          <w:rFonts w:cs="Arial"/>
          <w:sz w:val="24"/>
          <w:szCs w:val="24"/>
          <w:lang w:val="fi-FI"/>
        </w:rPr>
        <w:t>apartment window for more than 8 months. The landlord had asked the student to remove the flag several times, but the student had refused.</w:t>
      </w:r>
    </w:p>
    <w:p w14:paraId="40A372E3" w14:textId="77777777" w:rsidR="00647EA0" w:rsidRPr="00683B48" w:rsidRDefault="00647EA0" w:rsidP="00FD78A5">
      <w:pPr>
        <w:jc w:val="both"/>
        <w:rPr>
          <w:rFonts w:cs="Arial"/>
          <w:sz w:val="24"/>
          <w:szCs w:val="24"/>
          <w:lang w:val="fi-FI"/>
        </w:rPr>
      </w:pPr>
      <w:r w:rsidRPr="00683B48">
        <w:rPr>
          <w:rFonts w:cs="Arial"/>
          <w:sz w:val="24"/>
          <w:szCs w:val="24"/>
          <w:lang w:val="fi-FI"/>
        </w:rPr>
        <w:t xml:space="preserve">The Ombudsman argued that </w:t>
      </w:r>
      <w:r w:rsidR="00DE281B" w:rsidRPr="00683B48">
        <w:rPr>
          <w:rFonts w:cs="Arial"/>
          <w:sz w:val="24"/>
          <w:szCs w:val="24"/>
          <w:lang w:val="fi-FI"/>
        </w:rPr>
        <w:t xml:space="preserve">the </w:t>
      </w:r>
      <w:r w:rsidRPr="00683B48">
        <w:rPr>
          <w:rFonts w:cs="Arial"/>
          <w:sz w:val="24"/>
          <w:szCs w:val="24"/>
          <w:lang w:val="fi-FI"/>
        </w:rPr>
        <w:t>public display of the Nazi</w:t>
      </w:r>
      <w:r w:rsidR="009A3190" w:rsidRPr="00683B48">
        <w:rPr>
          <w:rFonts w:cs="Arial"/>
          <w:sz w:val="24"/>
          <w:szCs w:val="24"/>
          <w:lang w:val="fi-FI"/>
        </w:rPr>
        <w:t xml:space="preserve"> </w:t>
      </w:r>
      <w:r w:rsidRPr="00683B48">
        <w:rPr>
          <w:rFonts w:cs="Arial"/>
          <w:sz w:val="24"/>
          <w:szCs w:val="24"/>
          <w:lang w:val="fi-FI"/>
        </w:rPr>
        <w:t>flag constituted unlawful har</w:t>
      </w:r>
      <w:r w:rsidR="009A3190" w:rsidRPr="00683B48">
        <w:rPr>
          <w:rFonts w:cs="Arial"/>
          <w:sz w:val="24"/>
          <w:szCs w:val="24"/>
          <w:lang w:val="fi-FI"/>
        </w:rPr>
        <w:t>a</w:t>
      </w:r>
      <w:r w:rsidRPr="00683B48">
        <w:rPr>
          <w:rFonts w:cs="Arial"/>
          <w:sz w:val="24"/>
          <w:szCs w:val="24"/>
          <w:lang w:val="fi-FI"/>
        </w:rPr>
        <w:t>ssment under the Non-Discrimination Act (1325/2014) because it created a degrading or humiliating</w:t>
      </w:r>
      <w:r w:rsidR="009A3190" w:rsidRPr="00683B48">
        <w:rPr>
          <w:rFonts w:cs="Arial"/>
          <w:sz w:val="24"/>
          <w:szCs w:val="24"/>
          <w:lang w:val="fi-FI"/>
        </w:rPr>
        <w:t>,</w:t>
      </w:r>
      <w:r w:rsidRPr="00683B48">
        <w:rPr>
          <w:rFonts w:cs="Arial"/>
          <w:sz w:val="24"/>
          <w:szCs w:val="24"/>
          <w:lang w:val="fi-FI"/>
        </w:rPr>
        <w:t xml:space="preserve"> intimidating, hostile or offensive environment. Among others, Jewish persons confirmed they felt threatened and intimidated by the flag.</w:t>
      </w:r>
      <w:r w:rsidR="00C81397" w:rsidRPr="00683B48">
        <w:rPr>
          <w:rFonts w:cs="Arial"/>
          <w:sz w:val="24"/>
          <w:szCs w:val="24"/>
          <w:lang w:val="fi-FI"/>
        </w:rPr>
        <w:t xml:space="preserve"> </w:t>
      </w:r>
      <w:r w:rsidR="00E67805" w:rsidRPr="00E67805">
        <w:rPr>
          <w:rFonts w:cs="Arial"/>
          <w:sz w:val="24"/>
          <w:szCs w:val="24"/>
          <w:lang w:val="fi-FI"/>
        </w:rPr>
        <w:t xml:space="preserve">The Ombudsman further argued that </w:t>
      </w:r>
      <w:r w:rsidR="00E67805">
        <w:rPr>
          <w:rFonts w:cs="Arial"/>
          <w:sz w:val="24"/>
          <w:szCs w:val="24"/>
          <w:lang w:val="fi-FI"/>
        </w:rPr>
        <w:t>d</w:t>
      </w:r>
      <w:r w:rsidRPr="00683B48">
        <w:rPr>
          <w:rFonts w:cs="Arial"/>
          <w:sz w:val="24"/>
          <w:szCs w:val="24"/>
          <w:lang w:val="fi-FI"/>
        </w:rPr>
        <w:t>emanding the removal of the Nazi</w:t>
      </w:r>
      <w:r w:rsidR="009A3190" w:rsidRPr="00683B48">
        <w:rPr>
          <w:rFonts w:cs="Arial"/>
          <w:sz w:val="24"/>
          <w:szCs w:val="24"/>
          <w:lang w:val="fi-FI"/>
        </w:rPr>
        <w:t xml:space="preserve"> </w:t>
      </w:r>
      <w:r w:rsidRPr="00683B48">
        <w:rPr>
          <w:rFonts w:cs="Arial"/>
          <w:sz w:val="24"/>
          <w:szCs w:val="24"/>
          <w:lang w:val="fi-FI"/>
        </w:rPr>
        <w:t xml:space="preserve">flag does not violate freedom of expression </w:t>
      </w:r>
      <w:r w:rsidR="009A3190" w:rsidRPr="00683B48">
        <w:rPr>
          <w:rFonts w:cs="Arial"/>
          <w:sz w:val="24"/>
          <w:szCs w:val="24"/>
          <w:lang w:val="fi-FI"/>
        </w:rPr>
        <w:t>as such</w:t>
      </w:r>
      <w:r w:rsidRPr="00683B48">
        <w:rPr>
          <w:rFonts w:cs="Arial"/>
          <w:sz w:val="24"/>
          <w:szCs w:val="24"/>
          <w:lang w:val="fi-FI"/>
        </w:rPr>
        <w:t xml:space="preserve"> freedom does not protect hate speech or other expressions which deeply offend the dignity of other persons.</w:t>
      </w:r>
    </w:p>
    <w:p w14:paraId="597B424F" w14:textId="77777777" w:rsidR="00647EA0" w:rsidRPr="00683B48" w:rsidRDefault="00647EA0" w:rsidP="00FD78A5">
      <w:pPr>
        <w:jc w:val="both"/>
        <w:rPr>
          <w:rFonts w:cs="Arial"/>
          <w:b/>
          <w:sz w:val="24"/>
          <w:szCs w:val="24"/>
          <w:u w:val="single"/>
        </w:rPr>
      </w:pPr>
      <w:r w:rsidRPr="00683B48">
        <w:rPr>
          <w:rFonts w:cs="Arial"/>
          <w:sz w:val="24"/>
          <w:szCs w:val="24"/>
          <w:lang w:val="fi-FI"/>
        </w:rPr>
        <w:t>This case is strategic in a time when hate speech and racism ha</w:t>
      </w:r>
      <w:r w:rsidR="009A3190" w:rsidRPr="00683B48">
        <w:rPr>
          <w:rFonts w:cs="Arial"/>
          <w:sz w:val="24"/>
          <w:szCs w:val="24"/>
          <w:lang w:val="fi-FI"/>
        </w:rPr>
        <w:t>ve</w:t>
      </w:r>
      <w:r w:rsidRPr="00683B48">
        <w:rPr>
          <w:rFonts w:cs="Arial"/>
          <w:sz w:val="24"/>
          <w:szCs w:val="24"/>
          <w:lang w:val="fi-FI"/>
        </w:rPr>
        <w:t xml:space="preserve"> increased</w:t>
      </w:r>
      <w:r w:rsidR="009A3190" w:rsidRPr="00683B48">
        <w:rPr>
          <w:rFonts w:cs="Arial"/>
          <w:sz w:val="24"/>
          <w:szCs w:val="24"/>
          <w:lang w:val="fi-FI"/>
        </w:rPr>
        <w:t xml:space="preserve"> in society</w:t>
      </w:r>
      <w:r w:rsidR="00E67805">
        <w:rPr>
          <w:rFonts w:cs="Arial"/>
          <w:sz w:val="24"/>
          <w:szCs w:val="24"/>
          <w:lang w:val="fi-FI"/>
        </w:rPr>
        <w:t xml:space="preserve"> throughout Europe</w:t>
      </w:r>
      <w:r w:rsidRPr="00683B48">
        <w:rPr>
          <w:rFonts w:cs="Arial"/>
          <w:sz w:val="24"/>
          <w:szCs w:val="24"/>
          <w:lang w:val="fi-FI"/>
        </w:rPr>
        <w:t>.</w:t>
      </w:r>
    </w:p>
    <w:p w14:paraId="09B45AA8" w14:textId="77777777" w:rsidR="00A2543E" w:rsidRDefault="00A2543E" w:rsidP="00FD78A5">
      <w:pPr>
        <w:jc w:val="both"/>
        <w:rPr>
          <w:rFonts w:cs="Arial"/>
          <w:b/>
          <w:i/>
          <w:sz w:val="24"/>
          <w:szCs w:val="24"/>
          <w:u w:val="single"/>
        </w:rPr>
      </w:pPr>
    </w:p>
    <w:p w14:paraId="670690B5" w14:textId="77777777" w:rsidR="00A2543E" w:rsidRDefault="00A2543E" w:rsidP="00FD78A5">
      <w:pPr>
        <w:jc w:val="both"/>
        <w:rPr>
          <w:rFonts w:cs="Arial"/>
          <w:b/>
          <w:i/>
          <w:sz w:val="24"/>
          <w:szCs w:val="24"/>
          <w:u w:val="single"/>
        </w:rPr>
      </w:pPr>
    </w:p>
    <w:p w14:paraId="68ABB45A" w14:textId="77777777" w:rsidR="00647EA0" w:rsidRPr="00683B48" w:rsidRDefault="00647EA0" w:rsidP="00FD78A5">
      <w:pPr>
        <w:jc w:val="both"/>
        <w:rPr>
          <w:rFonts w:cs="Arial"/>
          <w:b/>
          <w:sz w:val="24"/>
          <w:szCs w:val="24"/>
          <w:u w:val="single"/>
        </w:rPr>
      </w:pPr>
      <w:r w:rsidRPr="00683B48">
        <w:rPr>
          <w:rFonts w:cs="Arial"/>
          <w:b/>
          <w:i/>
          <w:sz w:val="24"/>
          <w:szCs w:val="24"/>
          <w:u w:val="single"/>
        </w:rPr>
        <w:lastRenderedPageBreak/>
        <w:t xml:space="preserve">Amicus curiae, </w:t>
      </w:r>
      <w:r w:rsidRPr="00683B48">
        <w:rPr>
          <w:rFonts w:cs="Arial"/>
          <w:b/>
          <w:sz w:val="24"/>
          <w:szCs w:val="24"/>
          <w:u w:val="single"/>
        </w:rPr>
        <w:t xml:space="preserve">Intervention and other </w:t>
      </w:r>
      <w:r w:rsidR="00834A22" w:rsidRPr="00683B48">
        <w:rPr>
          <w:rFonts w:cs="Arial"/>
          <w:b/>
          <w:sz w:val="24"/>
          <w:szCs w:val="24"/>
          <w:u w:val="single"/>
        </w:rPr>
        <w:t>S</w:t>
      </w:r>
      <w:r w:rsidRPr="00683B48">
        <w:rPr>
          <w:rFonts w:cs="Arial"/>
          <w:b/>
          <w:sz w:val="24"/>
          <w:szCs w:val="24"/>
          <w:u w:val="single"/>
        </w:rPr>
        <w:t xml:space="preserve">tatements </w:t>
      </w:r>
      <w:r w:rsidR="00834A22" w:rsidRPr="00683B48">
        <w:rPr>
          <w:rFonts w:cs="Arial"/>
          <w:b/>
          <w:sz w:val="24"/>
          <w:szCs w:val="24"/>
          <w:u w:val="single"/>
        </w:rPr>
        <w:t>G</w:t>
      </w:r>
      <w:r w:rsidRPr="00683B48">
        <w:rPr>
          <w:rFonts w:cs="Arial"/>
          <w:b/>
          <w:sz w:val="24"/>
          <w:szCs w:val="24"/>
          <w:u w:val="single"/>
        </w:rPr>
        <w:t xml:space="preserve">iven to </w:t>
      </w:r>
      <w:r w:rsidR="00834A22" w:rsidRPr="00683B48">
        <w:rPr>
          <w:rFonts w:cs="Arial"/>
          <w:b/>
          <w:sz w:val="24"/>
          <w:szCs w:val="24"/>
          <w:u w:val="single"/>
        </w:rPr>
        <w:t>C</w:t>
      </w:r>
      <w:r w:rsidRPr="00683B48">
        <w:rPr>
          <w:rFonts w:cs="Arial"/>
          <w:b/>
          <w:sz w:val="24"/>
          <w:szCs w:val="24"/>
          <w:u w:val="single"/>
        </w:rPr>
        <w:t>ourts</w:t>
      </w:r>
      <w:r w:rsidR="00834A22" w:rsidRPr="00683B48">
        <w:rPr>
          <w:rFonts w:cs="Arial"/>
          <w:b/>
          <w:sz w:val="24"/>
          <w:szCs w:val="24"/>
          <w:u w:val="single"/>
        </w:rPr>
        <w:t xml:space="preserve"> </w:t>
      </w:r>
      <w:r w:rsidRPr="00683B48">
        <w:rPr>
          <w:rFonts w:cs="Arial"/>
          <w:b/>
          <w:sz w:val="24"/>
          <w:szCs w:val="24"/>
          <w:u w:val="single"/>
        </w:rPr>
        <w:t>of</w:t>
      </w:r>
      <w:r w:rsidR="00834A22" w:rsidRPr="00683B48">
        <w:rPr>
          <w:rFonts w:cs="Arial"/>
          <w:b/>
          <w:sz w:val="24"/>
          <w:szCs w:val="24"/>
          <w:u w:val="single"/>
        </w:rPr>
        <w:t xml:space="preserve"> L</w:t>
      </w:r>
      <w:r w:rsidRPr="00683B48">
        <w:rPr>
          <w:rFonts w:cs="Arial"/>
          <w:b/>
          <w:sz w:val="24"/>
          <w:szCs w:val="24"/>
          <w:u w:val="single"/>
        </w:rPr>
        <w:t>aw</w:t>
      </w:r>
    </w:p>
    <w:p w14:paraId="1E32D0DE" w14:textId="77777777" w:rsidR="00647EA0" w:rsidRPr="00683B48" w:rsidRDefault="00647EA0" w:rsidP="00FD78A5">
      <w:pPr>
        <w:jc w:val="both"/>
        <w:rPr>
          <w:rFonts w:cs="Arial"/>
          <w:sz w:val="24"/>
          <w:szCs w:val="24"/>
        </w:rPr>
      </w:pPr>
      <w:r w:rsidRPr="00683B48">
        <w:rPr>
          <w:rFonts w:cs="Arial"/>
          <w:sz w:val="24"/>
          <w:szCs w:val="24"/>
        </w:rPr>
        <w:t xml:space="preserve">Some </w:t>
      </w:r>
      <w:r w:rsidR="00874611" w:rsidRPr="00683B48">
        <w:rPr>
          <w:rFonts w:cs="Arial"/>
          <w:sz w:val="24"/>
          <w:szCs w:val="24"/>
        </w:rPr>
        <w:t>equality bodies</w:t>
      </w:r>
      <w:r w:rsidRPr="00683B48">
        <w:rPr>
          <w:rFonts w:cs="Arial"/>
          <w:sz w:val="24"/>
          <w:szCs w:val="24"/>
        </w:rPr>
        <w:t xml:space="preserve"> have discretionary power to submit</w:t>
      </w:r>
      <w:r w:rsidR="00343C46" w:rsidRPr="00683B48">
        <w:rPr>
          <w:rFonts w:cs="Arial"/>
          <w:sz w:val="24"/>
          <w:szCs w:val="24"/>
        </w:rPr>
        <w:t xml:space="preserve"> variations of</w:t>
      </w:r>
      <w:r w:rsidRPr="00683B48">
        <w:rPr>
          <w:rFonts w:cs="Arial"/>
          <w:sz w:val="24"/>
          <w:szCs w:val="24"/>
        </w:rPr>
        <w:t xml:space="preserve"> </w:t>
      </w:r>
      <w:r w:rsidRPr="00683B48">
        <w:rPr>
          <w:rFonts w:cs="Arial"/>
          <w:i/>
          <w:sz w:val="24"/>
          <w:szCs w:val="24"/>
        </w:rPr>
        <w:t xml:space="preserve">amicus curiae </w:t>
      </w:r>
      <w:r w:rsidRPr="00683B48">
        <w:rPr>
          <w:rFonts w:cs="Arial"/>
          <w:sz w:val="24"/>
          <w:szCs w:val="24"/>
        </w:rPr>
        <w:t>written statements to courts or ‘intervene’ in discrimination and</w:t>
      </w:r>
      <w:r w:rsidR="00425A33" w:rsidRPr="00683B48">
        <w:rPr>
          <w:rFonts w:cs="Arial"/>
          <w:sz w:val="24"/>
          <w:szCs w:val="24"/>
        </w:rPr>
        <w:t>/</w:t>
      </w:r>
      <w:r w:rsidRPr="00683B48">
        <w:rPr>
          <w:rFonts w:cs="Arial"/>
          <w:sz w:val="24"/>
          <w:szCs w:val="24"/>
        </w:rPr>
        <w:t>or human rights cases on their own</w:t>
      </w:r>
      <w:r w:rsidR="00874611" w:rsidRPr="00683B48">
        <w:rPr>
          <w:rFonts w:cs="Arial"/>
          <w:sz w:val="24"/>
          <w:szCs w:val="24"/>
        </w:rPr>
        <w:t xml:space="preserve"> initiative. </w:t>
      </w:r>
      <w:r w:rsidRPr="00683B48">
        <w:rPr>
          <w:rFonts w:cs="Arial"/>
          <w:sz w:val="24"/>
          <w:szCs w:val="24"/>
        </w:rPr>
        <w:t xml:space="preserve">Other </w:t>
      </w:r>
      <w:r w:rsidR="00874611" w:rsidRPr="00683B48">
        <w:rPr>
          <w:rFonts w:cs="Arial"/>
          <w:sz w:val="24"/>
          <w:szCs w:val="24"/>
        </w:rPr>
        <w:t>equality bodies</w:t>
      </w:r>
      <w:r w:rsidRPr="00683B48">
        <w:rPr>
          <w:rFonts w:cs="Arial"/>
          <w:sz w:val="24"/>
          <w:szCs w:val="24"/>
        </w:rPr>
        <w:t xml:space="preserve"> may have a more general mandate in this regard</w:t>
      </w:r>
      <w:r w:rsidR="00343C46" w:rsidRPr="00683B48">
        <w:rPr>
          <w:rFonts w:cs="Arial"/>
          <w:sz w:val="24"/>
          <w:szCs w:val="24"/>
        </w:rPr>
        <w:t>,</w:t>
      </w:r>
      <w:r w:rsidRPr="00683B48">
        <w:rPr>
          <w:rFonts w:cs="Arial"/>
          <w:sz w:val="24"/>
          <w:szCs w:val="24"/>
        </w:rPr>
        <w:t xml:space="preserve"> where courts and even prosecutors when handling cases concerning discrimination are obliged to </w:t>
      </w:r>
      <w:r w:rsidR="00343C46" w:rsidRPr="00683B48">
        <w:rPr>
          <w:rFonts w:cs="Arial"/>
          <w:sz w:val="24"/>
          <w:szCs w:val="24"/>
        </w:rPr>
        <w:t xml:space="preserve">provide </w:t>
      </w:r>
      <w:r w:rsidRPr="00683B48">
        <w:rPr>
          <w:rFonts w:cs="Arial"/>
          <w:sz w:val="24"/>
          <w:szCs w:val="24"/>
        </w:rPr>
        <w:t xml:space="preserve">the </w:t>
      </w:r>
      <w:r w:rsidR="00874611" w:rsidRPr="00683B48">
        <w:rPr>
          <w:rFonts w:cs="Arial"/>
          <w:sz w:val="24"/>
          <w:szCs w:val="24"/>
        </w:rPr>
        <w:t>equality body</w:t>
      </w:r>
      <w:r w:rsidRPr="00683B48">
        <w:rPr>
          <w:rFonts w:cs="Arial"/>
          <w:sz w:val="24"/>
          <w:szCs w:val="24"/>
        </w:rPr>
        <w:t xml:space="preserve"> </w:t>
      </w:r>
      <w:r w:rsidR="00343C46" w:rsidRPr="00683B48">
        <w:rPr>
          <w:rFonts w:cs="Arial"/>
          <w:sz w:val="24"/>
          <w:szCs w:val="24"/>
        </w:rPr>
        <w:t xml:space="preserve">the opportunity </w:t>
      </w:r>
      <w:r w:rsidRPr="00683B48">
        <w:rPr>
          <w:rFonts w:cs="Arial"/>
          <w:sz w:val="24"/>
          <w:szCs w:val="24"/>
        </w:rPr>
        <w:t xml:space="preserve">to give a written statement and/or to make oral submissions during court proceedings. </w:t>
      </w:r>
    </w:p>
    <w:p w14:paraId="1E8384E8" w14:textId="77777777" w:rsidR="00647EA0" w:rsidRPr="00683B48" w:rsidRDefault="00647EA0" w:rsidP="00FD78A5">
      <w:pPr>
        <w:jc w:val="both"/>
        <w:rPr>
          <w:rFonts w:cs="Arial"/>
          <w:sz w:val="24"/>
          <w:szCs w:val="24"/>
        </w:rPr>
      </w:pPr>
      <w:r w:rsidRPr="00683B48">
        <w:rPr>
          <w:rFonts w:cs="Arial"/>
          <w:sz w:val="24"/>
          <w:szCs w:val="24"/>
        </w:rPr>
        <w:t>Both</w:t>
      </w:r>
      <w:r w:rsidR="00EC2468" w:rsidRPr="00683B48">
        <w:rPr>
          <w:rFonts w:cs="Arial"/>
          <w:sz w:val="24"/>
          <w:szCs w:val="24"/>
        </w:rPr>
        <w:t xml:space="preserve"> of these possibilities</w:t>
      </w:r>
      <w:r w:rsidRPr="00683B48">
        <w:rPr>
          <w:rFonts w:cs="Arial"/>
          <w:sz w:val="24"/>
          <w:szCs w:val="24"/>
        </w:rPr>
        <w:t xml:space="preserve"> can be </w:t>
      </w:r>
      <w:r w:rsidR="00C92901" w:rsidRPr="00683B48">
        <w:rPr>
          <w:rFonts w:cs="Arial"/>
          <w:sz w:val="24"/>
          <w:szCs w:val="24"/>
        </w:rPr>
        <w:t>effective</w:t>
      </w:r>
      <w:r w:rsidRPr="00683B48">
        <w:rPr>
          <w:rFonts w:cs="Arial"/>
          <w:sz w:val="24"/>
          <w:szCs w:val="24"/>
        </w:rPr>
        <w:t xml:space="preserve"> methods for equality bodies to contribute to the dynamic evolvement of</w:t>
      </w:r>
      <w:r w:rsidR="00220123" w:rsidRPr="00683B48">
        <w:rPr>
          <w:rFonts w:cs="Arial"/>
          <w:sz w:val="24"/>
          <w:szCs w:val="24"/>
        </w:rPr>
        <w:t xml:space="preserve"> </w:t>
      </w:r>
      <w:r w:rsidRPr="00683B48">
        <w:rPr>
          <w:rFonts w:cs="Arial"/>
          <w:sz w:val="24"/>
          <w:szCs w:val="24"/>
        </w:rPr>
        <w:t xml:space="preserve">case law, including the interpretation of central EU directives and other international legal instruments. </w:t>
      </w:r>
    </w:p>
    <w:p w14:paraId="368E6ADC" w14:textId="108392E7" w:rsidR="00600DF1" w:rsidRPr="00683B48" w:rsidRDefault="006F3139" w:rsidP="00600DF1">
      <w:pPr>
        <w:spacing w:before="100" w:beforeAutospacing="1"/>
        <w:jc w:val="both"/>
        <w:rPr>
          <w:rFonts w:cs="Arial"/>
          <w:b/>
          <w:sz w:val="24"/>
          <w:szCs w:val="24"/>
          <w:lang w:val="en-US"/>
        </w:rPr>
      </w:pPr>
      <w:r>
        <w:rPr>
          <w:rFonts w:cs="Arial"/>
          <w:b/>
          <w:sz w:val="24"/>
          <w:szCs w:val="24"/>
          <w:lang w:val="en-US"/>
        </w:rPr>
        <w:t>Case Study</w:t>
      </w:r>
      <w:r w:rsidR="00600DF1" w:rsidRPr="00683B48">
        <w:rPr>
          <w:rFonts w:cs="Arial"/>
          <w:b/>
          <w:sz w:val="24"/>
          <w:szCs w:val="24"/>
          <w:lang w:val="en-US"/>
        </w:rPr>
        <w:t xml:space="preserve"> – Polish Commissioner for Human Rights Intervening in a case</w:t>
      </w:r>
    </w:p>
    <w:p w14:paraId="10A644B4" w14:textId="77777777" w:rsidR="00600DF1" w:rsidRPr="00600DF1" w:rsidRDefault="00600DF1" w:rsidP="00600DF1">
      <w:pPr>
        <w:spacing w:before="100" w:beforeAutospacing="1"/>
        <w:jc w:val="both"/>
        <w:rPr>
          <w:rFonts w:cs="Arial"/>
          <w:b/>
          <w:i/>
          <w:sz w:val="24"/>
          <w:szCs w:val="24"/>
          <w:lang w:val="en-US"/>
        </w:rPr>
      </w:pPr>
      <w:r w:rsidRPr="00AB38AC">
        <w:rPr>
          <w:rFonts w:cs="Arial"/>
          <w:b/>
          <w:sz w:val="24"/>
          <w:szCs w:val="24"/>
          <w:lang w:val="en-US"/>
        </w:rPr>
        <w:t>Gonzalez v Ministry of Interior Affairs</w:t>
      </w:r>
      <w:r w:rsidRPr="00600DF1">
        <w:rPr>
          <w:rFonts w:cs="Arial"/>
          <w:b/>
          <w:i/>
          <w:sz w:val="24"/>
          <w:szCs w:val="24"/>
          <w:lang w:val="en-US"/>
        </w:rPr>
        <w:t xml:space="preserve"> </w:t>
      </w:r>
      <w:r w:rsidRPr="00AB38AC">
        <w:rPr>
          <w:rFonts w:cs="Arial"/>
          <w:i/>
          <w:sz w:val="24"/>
          <w:szCs w:val="24"/>
          <w:lang w:val="en-US"/>
        </w:rPr>
        <w:t>(Polish Supreme Administrative Court: II OSK 2982/14)</w:t>
      </w:r>
    </w:p>
    <w:p w14:paraId="55A66B81" w14:textId="77777777" w:rsidR="00600DF1" w:rsidRDefault="00600DF1" w:rsidP="00600DF1">
      <w:pPr>
        <w:spacing w:before="100" w:beforeAutospacing="1"/>
        <w:jc w:val="both"/>
        <w:rPr>
          <w:rFonts w:cs="Arial"/>
          <w:sz w:val="24"/>
          <w:szCs w:val="24"/>
          <w:lang w:val="en-US"/>
        </w:rPr>
      </w:pPr>
      <w:r w:rsidRPr="00683B48">
        <w:rPr>
          <w:rFonts w:cs="Arial"/>
          <w:sz w:val="24"/>
          <w:szCs w:val="24"/>
          <w:lang w:val="en-US"/>
        </w:rPr>
        <w:t xml:space="preserve">In Poland, foreigners need consent to buy property, and must prove they have a link or connection with the country. According to the authorities such links exist where a foreigner is married to a Pole. A foreign homosexual man was unable to obtain consent to buy an apartment because he was not married to his long term Polish partner, with whom he had lived for many years. Nor could he marry him because marriage between homosexuals is not permitted under Polish law. The Polish Commissioner for Human Rights joined the case before the Supreme Administrative Court, after the referral of this case by the Polish Helsinki Foundation for Human Rights. The Court agreed with the Commissioner’s argument that the prerequisites for the consent (to buy property) should be understood broadly and encompass informal partnerships. This strategic case resulted in a major advance in establishing certain rights for LGBT couples in the jurisprudence. </w:t>
      </w:r>
    </w:p>
    <w:p w14:paraId="6C7723F4" w14:textId="070F0C0B" w:rsidR="00814585" w:rsidRPr="00814585" w:rsidRDefault="006F3139" w:rsidP="00814585">
      <w:pPr>
        <w:pStyle w:val="CommentText"/>
        <w:rPr>
          <w:rFonts w:cs="Arial"/>
          <w:b/>
          <w:sz w:val="24"/>
          <w:szCs w:val="24"/>
          <w:lang w:val="en-US"/>
        </w:rPr>
      </w:pPr>
      <w:r>
        <w:rPr>
          <w:rFonts w:cs="Arial"/>
          <w:b/>
          <w:sz w:val="24"/>
          <w:szCs w:val="24"/>
          <w:lang w:val="en-US"/>
        </w:rPr>
        <w:t>Case Study</w:t>
      </w:r>
      <w:r w:rsidR="00814585" w:rsidRPr="00814585">
        <w:rPr>
          <w:rFonts w:cs="Arial"/>
          <w:b/>
          <w:sz w:val="24"/>
          <w:szCs w:val="24"/>
          <w:lang w:val="en-US"/>
        </w:rPr>
        <w:t xml:space="preserve"> – Croatian Ombudsman Intervening in a case</w:t>
      </w:r>
    </w:p>
    <w:p w14:paraId="31AB3DA7" w14:textId="3DAB4738" w:rsidR="00814585" w:rsidRPr="00E67805" w:rsidRDefault="00814585" w:rsidP="00AB38AC">
      <w:pPr>
        <w:pStyle w:val="CommentText"/>
        <w:jc w:val="both"/>
        <w:rPr>
          <w:i/>
          <w:sz w:val="24"/>
          <w:szCs w:val="24"/>
        </w:rPr>
      </w:pPr>
      <w:r w:rsidRPr="00814585">
        <w:rPr>
          <w:b/>
          <w:sz w:val="24"/>
          <w:szCs w:val="24"/>
        </w:rPr>
        <w:t xml:space="preserve">NGOs </w:t>
      </w:r>
      <w:r w:rsidR="005E7C22">
        <w:rPr>
          <w:b/>
          <w:sz w:val="24"/>
          <w:szCs w:val="24"/>
        </w:rPr>
        <w:t>v</w:t>
      </w:r>
      <w:r w:rsidR="005E7C22" w:rsidRPr="00814585">
        <w:rPr>
          <w:b/>
          <w:sz w:val="24"/>
          <w:szCs w:val="24"/>
        </w:rPr>
        <w:t xml:space="preserve"> </w:t>
      </w:r>
      <w:r w:rsidRPr="00814585">
        <w:rPr>
          <w:b/>
          <w:sz w:val="24"/>
          <w:szCs w:val="24"/>
        </w:rPr>
        <w:t xml:space="preserve">V.M., president of the national soccer </w:t>
      </w:r>
      <w:r>
        <w:rPr>
          <w:b/>
          <w:sz w:val="24"/>
          <w:szCs w:val="24"/>
        </w:rPr>
        <w:t>federation</w:t>
      </w:r>
      <w:r w:rsidRPr="00814585">
        <w:rPr>
          <w:b/>
          <w:sz w:val="24"/>
          <w:szCs w:val="24"/>
        </w:rPr>
        <w:t xml:space="preserve"> </w:t>
      </w:r>
      <w:r w:rsidR="00E67805">
        <w:rPr>
          <w:i/>
          <w:sz w:val="24"/>
          <w:szCs w:val="24"/>
        </w:rPr>
        <w:t>(</w:t>
      </w:r>
      <w:r w:rsidR="00AB38AC">
        <w:rPr>
          <w:i/>
          <w:sz w:val="24"/>
          <w:szCs w:val="24"/>
        </w:rPr>
        <w:t xml:space="preserve">Supreme Court of the Republic of Croatia: </w:t>
      </w:r>
      <w:r w:rsidR="00E67805" w:rsidRPr="00E67805">
        <w:rPr>
          <w:i/>
          <w:sz w:val="24"/>
          <w:szCs w:val="24"/>
        </w:rPr>
        <w:t>Gž.25/11 of 28 February</w:t>
      </w:r>
      <w:r w:rsidR="00AB38AC">
        <w:rPr>
          <w:i/>
          <w:sz w:val="24"/>
          <w:szCs w:val="24"/>
        </w:rPr>
        <w:t xml:space="preserve"> </w:t>
      </w:r>
      <w:r w:rsidR="00E67805" w:rsidRPr="00E67805">
        <w:rPr>
          <w:i/>
          <w:sz w:val="24"/>
          <w:szCs w:val="24"/>
        </w:rPr>
        <w:t>2012</w:t>
      </w:r>
      <w:r w:rsidR="00E67805">
        <w:rPr>
          <w:i/>
          <w:sz w:val="24"/>
          <w:szCs w:val="24"/>
        </w:rPr>
        <w:t>)</w:t>
      </w:r>
    </w:p>
    <w:p w14:paraId="11690CCF" w14:textId="376F658C" w:rsidR="00814585" w:rsidRPr="00683B48" w:rsidRDefault="00814585" w:rsidP="00A2543E">
      <w:pPr>
        <w:spacing w:before="100" w:beforeAutospacing="1"/>
        <w:jc w:val="both"/>
        <w:rPr>
          <w:rFonts w:cs="Arial"/>
          <w:sz w:val="24"/>
          <w:szCs w:val="24"/>
          <w:highlight w:val="yellow"/>
          <w:lang w:val="en-US"/>
        </w:rPr>
      </w:pPr>
      <w:r w:rsidRPr="00814585">
        <w:rPr>
          <w:rFonts w:cs="Times New Roman"/>
          <w:sz w:val="24"/>
          <w:szCs w:val="24"/>
        </w:rPr>
        <w:t xml:space="preserve">Four NGOs that </w:t>
      </w:r>
      <w:r w:rsidR="002B070C">
        <w:rPr>
          <w:rFonts w:cs="Times New Roman"/>
          <w:sz w:val="24"/>
          <w:szCs w:val="24"/>
        </w:rPr>
        <w:t>are</w:t>
      </w:r>
      <w:r w:rsidRPr="00814585">
        <w:rPr>
          <w:rFonts w:cs="Times New Roman"/>
          <w:sz w:val="24"/>
          <w:szCs w:val="24"/>
        </w:rPr>
        <w:t xml:space="preserve"> actively involved in the protection of LGBT  rights initiated </w:t>
      </w:r>
      <w:r>
        <w:rPr>
          <w:rFonts w:cs="Times New Roman"/>
          <w:sz w:val="24"/>
          <w:szCs w:val="24"/>
        </w:rPr>
        <w:t>a</w:t>
      </w:r>
      <w:r w:rsidRPr="00814585">
        <w:rPr>
          <w:rFonts w:cs="Times New Roman"/>
          <w:sz w:val="24"/>
          <w:szCs w:val="24"/>
        </w:rPr>
        <w:t xml:space="preserve"> collective anti-discrimination claim against </w:t>
      </w:r>
      <w:r w:rsidR="002B070C">
        <w:rPr>
          <w:rFonts w:cs="Times New Roman"/>
          <w:sz w:val="24"/>
          <w:szCs w:val="24"/>
        </w:rPr>
        <w:t>the president of the</w:t>
      </w:r>
      <w:r w:rsidRPr="00814585">
        <w:rPr>
          <w:rFonts w:cs="Times New Roman"/>
          <w:sz w:val="24"/>
          <w:szCs w:val="24"/>
        </w:rPr>
        <w:t xml:space="preserve"> Croatian soccer </w:t>
      </w:r>
      <w:r w:rsidR="002B070C">
        <w:rPr>
          <w:rFonts w:cs="Times New Roman"/>
          <w:sz w:val="24"/>
          <w:szCs w:val="24"/>
        </w:rPr>
        <w:t xml:space="preserve">federation </w:t>
      </w:r>
      <w:r w:rsidRPr="00814585">
        <w:rPr>
          <w:rFonts w:cs="Times New Roman"/>
          <w:sz w:val="24"/>
          <w:szCs w:val="24"/>
        </w:rPr>
        <w:t>for stating that homosexual</w:t>
      </w:r>
      <w:r>
        <w:rPr>
          <w:rFonts w:cs="Times New Roman"/>
          <w:sz w:val="24"/>
          <w:szCs w:val="24"/>
        </w:rPr>
        <w:t>s</w:t>
      </w:r>
      <w:r w:rsidRPr="00814585">
        <w:rPr>
          <w:rFonts w:cs="Times New Roman"/>
          <w:sz w:val="24"/>
          <w:szCs w:val="24"/>
        </w:rPr>
        <w:t xml:space="preserve"> could not play for the national soccer </w:t>
      </w:r>
      <w:r>
        <w:rPr>
          <w:rFonts w:cs="Times New Roman"/>
          <w:sz w:val="24"/>
          <w:szCs w:val="24"/>
        </w:rPr>
        <w:t>team</w:t>
      </w:r>
      <w:r w:rsidRPr="00814585">
        <w:rPr>
          <w:rFonts w:cs="Times New Roman"/>
          <w:sz w:val="24"/>
          <w:szCs w:val="24"/>
        </w:rPr>
        <w:t xml:space="preserve"> as long as he is the president of the </w:t>
      </w:r>
      <w:r>
        <w:rPr>
          <w:rFonts w:cs="Times New Roman"/>
          <w:sz w:val="24"/>
          <w:szCs w:val="24"/>
        </w:rPr>
        <w:t>federation</w:t>
      </w:r>
      <w:r w:rsidRPr="00814585">
        <w:rPr>
          <w:rFonts w:cs="Times New Roman"/>
          <w:sz w:val="24"/>
          <w:szCs w:val="24"/>
        </w:rPr>
        <w:t xml:space="preserve">. This media statement was given in </w:t>
      </w:r>
      <w:r>
        <w:rPr>
          <w:rFonts w:cs="Times New Roman"/>
          <w:sz w:val="24"/>
          <w:szCs w:val="24"/>
        </w:rPr>
        <w:t>a</w:t>
      </w:r>
      <w:r w:rsidRPr="00814585">
        <w:rPr>
          <w:rFonts w:cs="Times New Roman"/>
          <w:sz w:val="24"/>
          <w:szCs w:val="24"/>
        </w:rPr>
        <w:t xml:space="preserve"> period when similar statements against </w:t>
      </w:r>
      <w:r>
        <w:rPr>
          <w:rFonts w:cs="Times New Roman"/>
          <w:sz w:val="24"/>
          <w:szCs w:val="24"/>
        </w:rPr>
        <w:t xml:space="preserve">the </w:t>
      </w:r>
      <w:r w:rsidRPr="00814585">
        <w:rPr>
          <w:rFonts w:cs="Times New Roman"/>
          <w:sz w:val="24"/>
          <w:szCs w:val="24"/>
        </w:rPr>
        <w:t xml:space="preserve">LGBT community were launched via media and several attacks occurred against members of </w:t>
      </w:r>
      <w:r w:rsidR="002B070C">
        <w:rPr>
          <w:rFonts w:cs="Times New Roman"/>
          <w:sz w:val="24"/>
          <w:szCs w:val="24"/>
        </w:rPr>
        <w:t>the</w:t>
      </w:r>
      <w:r w:rsidRPr="00814585">
        <w:rPr>
          <w:rFonts w:cs="Times New Roman"/>
          <w:sz w:val="24"/>
          <w:szCs w:val="24"/>
        </w:rPr>
        <w:t xml:space="preserve"> community. As a result of the seriousness of such violation of</w:t>
      </w:r>
      <w:r w:rsidR="002B070C">
        <w:rPr>
          <w:rFonts w:cs="Times New Roman"/>
          <w:sz w:val="24"/>
          <w:szCs w:val="24"/>
        </w:rPr>
        <w:t xml:space="preserve"> the</w:t>
      </w:r>
      <w:r w:rsidRPr="00814585">
        <w:rPr>
          <w:rFonts w:cs="Times New Roman"/>
          <w:sz w:val="24"/>
          <w:szCs w:val="24"/>
        </w:rPr>
        <w:t xml:space="preserve"> LGBT community’</w:t>
      </w:r>
      <w:r w:rsidR="002B070C">
        <w:rPr>
          <w:rFonts w:cs="Times New Roman"/>
          <w:sz w:val="24"/>
          <w:szCs w:val="24"/>
        </w:rPr>
        <w:t>s</w:t>
      </w:r>
      <w:r w:rsidRPr="00814585">
        <w:rPr>
          <w:rFonts w:cs="Times New Roman"/>
          <w:sz w:val="24"/>
          <w:szCs w:val="24"/>
        </w:rPr>
        <w:t xml:space="preserve"> rights and</w:t>
      </w:r>
      <w:r w:rsidR="002B070C">
        <w:rPr>
          <w:rFonts w:cs="Times New Roman"/>
          <w:sz w:val="24"/>
          <w:szCs w:val="24"/>
        </w:rPr>
        <w:t xml:space="preserve"> the</w:t>
      </w:r>
      <w:r w:rsidRPr="00814585">
        <w:rPr>
          <w:rFonts w:cs="Times New Roman"/>
          <w:sz w:val="24"/>
          <w:szCs w:val="24"/>
        </w:rPr>
        <w:t xml:space="preserve"> successful cooperation with the NGO</w:t>
      </w:r>
      <w:r w:rsidR="00E67805">
        <w:rPr>
          <w:rFonts w:cs="Times New Roman"/>
          <w:sz w:val="24"/>
          <w:szCs w:val="24"/>
        </w:rPr>
        <w:t>s</w:t>
      </w:r>
      <w:r w:rsidRPr="00814585">
        <w:rPr>
          <w:rFonts w:cs="Times New Roman"/>
          <w:sz w:val="24"/>
          <w:szCs w:val="24"/>
        </w:rPr>
        <w:t xml:space="preserve"> initiating the court proceeding, </w:t>
      </w:r>
      <w:r>
        <w:rPr>
          <w:rFonts w:cs="Times New Roman"/>
          <w:sz w:val="24"/>
          <w:szCs w:val="24"/>
        </w:rPr>
        <w:t xml:space="preserve">the </w:t>
      </w:r>
      <w:r w:rsidRPr="00814585">
        <w:rPr>
          <w:rFonts w:cs="Times New Roman"/>
          <w:sz w:val="24"/>
          <w:szCs w:val="24"/>
        </w:rPr>
        <w:t>Croatian Ombudsman intervened in the proceeding supporting the plaintiffs’ legal arguments.</w:t>
      </w:r>
      <w:r w:rsidR="00E67805">
        <w:rPr>
          <w:rFonts w:cs="Times New Roman"/>
          <w:sz w:val="24"/>
          <w:szCs w:val="24"/>
        </w:rPr>
        <w:t xml:space="preserve"> </w:t>
      </w:r>
      <w:r w:rsidR="00AB38AC">
        <w:rPr>
          <w:rFonts w:cs="Times New Roman"/>
          <w:sz w:val="24"/>
          <w:szCs w:val="24"/>
        </w:rPr>
        <w:t xml:space="preserve">The Supreme Court in its final judgment </w:t>
      </w:r>
      <w:r w:rsidR="00AB38AC" w:rsidRPr="00AB38AC">
        <w:rPr>
          <w:rFonts w:cs="Times New Roman"/>
          <w:sz w:val="24"/>
          <w:szCs w:val="24"/>
        </w:rPr>
        <w:t xml:space="preserve">ruled that by his </w:t>
      </w:r>
      <w:r w:rsidR="00AB38AC" w:rsidRPr="00AB38AC">
        <w:rPr>
          <w:rFonts w:cs="Times New Roman"/>
          <w:sz w:val="24"/>
          <w:szCs w:val="24"/>
        </w:rPr>
        <w:lastRenderedPageBreak/>
        <w:t>statements V.M. discriminated against homosexuals,</w:t>
      </w:r>
      <w:r w:rsidR="00AB38AC">
        <w:rPr>
          <w:rFonts w:cs="Times New Roman"/>
          <w:sz w:val="24"/>
          <w:szCs w:val="24"/>
        </w:rPr>
        <w:t xml:space="preserve"> </w:t>
      </w:r>
      <w:r w:rsidR="00AB38AC" w:rsidRPr="00AB38AC">
        <w:rPr>
          <w:rFonts w:cs="Times New Roman"/>
          <w:sz w:val="24"/>
          <w:szCs w:val="24"/>
        </w:rPr>
        <w:t>forbad</w:t>
      </w:r>
      <w:r w:rsidR="00AB38AC">
        <w:rPr>
          <w:rFonts w:cs="Times New Roman"/>
          <w:sz w:val="24"/>
          <w:szCs w:val="24"/>
        </w:rPr>
        <w:t>e</w:t>
      </w:r>
      <w:r w:rsidR="00AB38AC" w:rsidRPr="00AB38AC">
        <w:rPr>
          <w:rFonts w:cs="Times New Roman"/>
          <w:sz w:val="24"/>
          <w:szCs w:val="24"/>
        </w:rPr>
        <w:t xml:space="preserve"> him to make any statement to the media which could discriminate homosexual</w:t>
      </w:r>
      <w:r w:rsidR="00AB38AC">
        <w:rPr>
          <w:rFonts w:cs="Times New Roman"/>
          <w:sz w:val="24"/>
          <w:szCs w:val="24"/>
        </w:rPr>
        <w:t xml:space="preserve"> </w:t>
      </w:r>
      <w:r w:rsidR="00AB38AC" w:rsidRPr="00AB38AC">
        <w:rPr>
          <w:rFonts w:cs="Times New Roman"/>
          <w:sz w:val="24"/>
          <w:szCs w:val="24"/>
        </w:rPr>
        <w:t>people in the same way and ordered him to publicly apologize.</w:t>
      </w:r>
    </w:p>
    <w:p w14:paraId="061D0C36" w14:textId="4444D22E" w:rsidR="00647EA0" w:rsidRPr="00683B48" w:rsidRDefault="00A82F43" w:rsidP="00FD78A5">
      <w:pPr>
        <w:jc w:val="both"/>
        <w:rPr>
          <w:rFonts w:cs="Arial"/>
          <w:b/>
          <w:sz w:val="24"/>
          <w:szCs w:val="24"/>
        </w:rPr>
      </w:pPr>
      <w:r>
        <w:rPr>
          <w:rFonts w:cs="Arial"/>
          <w:b/>
          <w:sz w:val="24"/>
          <w:szCs w:val="24"/>
          <w:u w:val="single"/>
        </w:rPr>
        <w:t xml:space="preserve">Provision of </w:t>
      </w:r>
      <w:r w:rsidR="000B357C">
        <w:rPr>
          <w:rFonts w:cs="Arial"/>
          <w:b/>
          <w:sz w:val="24"/>
          <w:szCs w:val="24"/>
          <w:u w:val="single"/>
        </w:rPr>
        <w:t>Legal A</w:t>
      </w:r>
      <w:bookmarkStart w:id="4" w:name="_GoBack"/>
      <w:bookmarkEnd w:id="4"/>
      <w:r w:rsidR="00647EA0" w:rsidRPr="00683B48">
        <w:rPr>
          <w:rFonts w:cs="Arial"/>
          <w:b/>
          <w:sz w:val="24"/>
          <w:szCs w:val="24"/>
          <w:u w:val="single"/>
        </w:rPr>
        <w:t>ssistance</w:t>
      </w:r>
    </w:p>
    <w:p w14:paraId="236A3123" w14:textId="77777777" w:rsidR="00647EA0" w:rsidRPr="00683B48" w:rsidRDefault="00647EA0" w:rsidP="00FD78A5">
      <w:pPr>
        <w:jc w:val="both"/>
        <w:rPr>
          <w:rFonts w:cs="Arial"/>
          <w:sz w:val="24"/>
          <w:szCs w:val="24"/>
        </w:rPr>
      </w:pPr>
      <w:r w:rsidRPr="00683B48">
        <w:rPr>
          <w:rFonts w:cs="Arial"/>
          <w:sz w:val="24"/>
          <w:szCs w:val="24"/>
        </w:rPr>
        <w:t xml:space="preserve">Some </w:t>
      </w:r>
      <w:r w:rsidR="00874611" w:rsidRPr="00683B48">
        <w:rPr>
          <w:rFonts w:cs="Arial"/>
          <w:sz w:val="24"/>
          <w:szCs w:val="24"/>
        </w:rPr>
        <w:t>equality bodies</w:t>
      </w:r>
      <w:r w:rsidRPr="00683B48">
        <w:rPr>
          <w:rFonts w:cs="Arial"/>
          <w:sz w:val="24"/>
          <w:szCs w:val="24"/>
        </w:rPr>
        <w:t xml:space="preserve"> have powers to provide legal assistance to victims of discrimination. This assistance can be </w:t>
      </w:r>
      <w:r w:rsidR="00220123" w:rsidRPr="00683B48">
        <w:rPr>
          <w:rFonts w:cs="Arial"/>
          <w:sz w:val="24"/>
          <w:szCs w:val="24"/>
        </w:rPr>
        <w:t xml:space="preserve">providing </w:t>
      </w:r>
      <w:r w:rsidRPr="00683B48">
        <w:rPr>
          <w:rFonts w:cs="Arial"/>
          <w:sz w:val="24"/>
          <w:szCs w:val="24"/>
        </w:rPr>
        <w:t>informal legal help to resolve disputes and avoid court action</w:t>
      </w:r>
      <w:r w:rsidR="00220123" w:rsidRPr="00683B48">
        <w:rPr>
          <w:rFonts w:cs="Arial"/>
          <w:sz w:val="24"/>
          <w:szCs w:val="24"/>
        </w:rPr>
        <w:t xml:space="preserve"> f</w:t>
      </w:r>
      <w:r w:rsidRPr="00683B48">
        <w:rPr>
          <w:rFonts w:cs="Arial"/>
          <w:sz w:val="24"/>
          <w:szCs w:val="24"/>
        </w:rPr>
        <w:t>or example</w:t>
      </w:r>
      <w:r w:rsidR="00220123" w:rsidRPr="00683B48">
        <w:rPr>
          <w:rFonts w:cs="Arial"/>
          <w:sz w:val="24"/>
          <w:szCs w:val="24"/>
        </w:rPr>
        <w:t xml:space="preserve"> by </w:t>
      </w:r>
      <w:r w:rsidRPr="00683B48">
        <w:rPr>
          <w:rFonts w:cs="Arial"/>
          <w:sz w:val="24"/>
          <w:szCs w:val="24"/>
        </w:rPr>
        <w:t>drafting letters of complaint or helping negotiate a way forward</w:t>
      </w:r>
      <w:r w:rsidR="00220123" w:rsidRPr="00683B48">
        <w:rPr>
          <w:rFonts w:cs="Arial"/>
          <w:sz w:val="24"/>
          <w:szCs w:val="24"/>
        </w:rPr>
        <w:t>. Assistance</w:t>
      </w:r>
      <w:r w:rsidRPr="00683B48">
        <w:rPr>
          <w:rFonts w:cs="Arial"/>
          <w:sz w:val="24"/>
          <w:szCs w:val="24"/>
        </w:rPr>
        <w:t xml:space="preserve"> can</w:t>
      </w:r>
      <w:r w:rsidR="00220123" w:rsidRPr="00683B48">
        <w:rPr>
          <w:rFonts w:cs="Arial"/>
          <w:sz w:val="24"/>
          <w:szCs w:val="24"/>
        </w:rPr>
        <w:t xml:space="preserve"> also</w:t>
      </w:r>
      <w:r w:rsidRPr="00683B48">
        <w:rPr>
          <w:rFonts w:cs="Arial"/>
          <w:sz w:val="24"/>
          <w:szCs w:val="24"/>
        </w:rPr>
        <w:t xml:space="preserve"> be</w:t>
      </w:r>
      <w:r w:rsidR="00220123" w:rsidRPr="00683B48">
        <w:rPr>
          <w:rFonts w:cs="Arial"/>
          <w:sz w:val="24"/>
          <w:szCs w:val="24"/>
        </w:rPr>
        <w:t xml:space="preserve"> of a more</w:t>
      </w:r>
      <w:r w:rsidRPr="00683B48">
        <w:rPr>
          <w:rFonts w:cs="Arial"/>
          <w:sz w:val="24"/>
          <w:szCs w:val="24"/>
        </w:rPr>
        <w:t xml:space="preserve"> formal </w:t>
      </w:r>
      <w:r w:rsidR="00220123" w:rsidRPr="00683B48">
        <w:rPr>
          <w:rFonts w:cs="Arial"/>
          <w:sz w:val="24"/>
          <w:szCs w:val="24"/>
        </w:rPr>
        <w:t>nature,</w:t>
      </w:r>
      <w:r w:rsidRPr="00683B48">
        <w:rPr>
          <w:rFonts w:cs="Arial"/>
          <w:sz w:val="24"/>
          <w:szCs w:val="24"/>
        </w:rPr>
        <w:t xml:space="preserve"> such as</w:t>
      </w:r>
      <w:r w:rsidR="00220123" w:rsidRPr="00683B48">
        <w:rPr>
          <w:rFonts w:cs="Arial"/>
          <w:sz w:val="24"/>
          <w:szCs w:val="24"/>
        </w:rPr>
        <w:t xml:space="preserve"> providing</w:t>
      </w:r>
      <w:r w:rsidRPr="00683B48">
        <w:rPr>
          <w:rFonts w:cs="Arial"/>
          <w:sz w:val="24"/>
          <w:szCs w:val="24"/>
        </w:rPr>
        <w:t xml:space="preserve"> funding</w:t>
      </w:r>
      <w:r w:rsidR="00220123" w:rsidRPr="00683B48">
        <w:rPr>
          <w:rFonts w:cs="Arial"/>
          <w:sz w:val="24"/>
          <w:szCs w:val="24"/>
        </w:rPr>
        <w:t xml:space="preserve"> for</w:t>
      </w:r>
      <w:r w:rsidRPr="00683B48">
        <w:rPr>
          <w:rFonts w:cs="Arial"/>
          <w:sz w:val="24"/>
          <w:szCs w:val="24"/>
        </w:rPr>
        <w:t xml:space="preserve"> lawyers</w:t>
      </w:r>
      <w:r w:rsidRPr="00683B48">
        <w:rPr>
          <w:rFonts w:cs="Arial"/>
          <w:sz w:val="24"/>
          <w:szCs w:val="24"/>
          <w:lang w:val="fi-FI"/>
        </w:rPr>
        <w:t xml:space="preserve"> </w:t>
      </w:r>
      <w:r w:rsidRPr="00683B48">
        <w:rPr>
          <w:rFonts w:cs="Arial"/>
          <w:sz w:val="24"/>
          <w:szCs w:val="24"/>
        </w:rPr>
        <w:t xml:space="preserve">or using the </w:t>
      </w:r>
      <w:r w:rsidR="00874611" w:rsidRPr="00683B48">
        <w:rPr>
          <w:rFonts w:cs="Arial"/>
          <w:sz w:val="24"/>
          <w:szCs w:val="24"/>
        </w:rPr>
        <w:t>equality body’s</w:t>
      </w:r>
      <w:r w:rsidRPr="00683B48">
        <w:rPr>
          <w:rFonts w:cs="Arial"/>
          <w:sz w:val="24"/>
          <w:szCs w:val="24"/>
        </w:rPr>
        <w:t xml:space="preserve"> in-house lawyers to represent the victim in legal proceedings. </w:t>
      </w:r>
    </w:p>
    <w:p w14:paraId="3BEBC410" w14:textId="6D490269" w:rsidR="00647EA0" w:rsidRPr="00683B48" w:rsidRDefault="006F3139" w:rsidP="00FD78A5">
      <w:pPr>
        <w:jc w:val="both"/>
        <w:rPr>
          <w:rFonts w:cs="Arial"/>
          <w:b/>
          <w:sz w:val="24"/>
          <w:szCs w:val="24"/>
        </w:rPr>
      </w:pPr>
      <w:r>
        <w:rPr>
          <w:rFonts w:cs="Arial"/>
          <w:b/>
          <w:sz w:val="24"/>
          <w:szCs w:val="24"/>
        </w:rPr>
        <w:t>Case Study</w:t>
      </w:r>
      <w:r w:rsidR="007A68A0" w:rsidRPr="00683B48">
        <w:rPr>
          <w:rFonts w:cs="Arial"/>
          <w:b/>
          <w:sz w:val="24"/>
          <w:szCs w:val="24"/>
        </w:rPr>
        <w:t xml:space="preserve"> </w:t>
      </w:r>
      <w:r w:rsidR="00647EA0" w:rsidRPr="00683B48">
        <w:rPr>
          <w:rFonts w:cs="Arial"/>
          <w:b/>
          <w:sz w:val="24"/>
          <w:szCs w:val="24"/>
        </w:rPr>
        <w:t xml:space="preserve">– </w:t>
      </w:r>
      <w:r w:rsidR="00C92901" w:rsidRPr="00683B48">
        <w:rPr>
          <w:rFonts w:cs="Arial"/>
          <w:b/>
          <w:sz w:val="24"/>
          <w:szCs w:val="24"/>
        </w:rPr>
        <w:t>Equality and Human Rights Commission</w:t>
      </w:r>
      <w:r w:rsidR="00647EA0" w:rsidRPr="00683B48">
        <w:rPr>
          <w:rFonts w:cs="Arial"/>
          <w:b/>
          <w:sz w:val="24"/>
          <w:szCs w:val="24"/>
        </w:rPr>
        <w:t xml:space="preserve"> </w:t>
      </w:r>
      <w:r w:rsidR="00220123" w:rsidRPr="00683B48">
        <w:rPr>
          <w:rFonts w:cs="Arial"/>
          <w:b/>
          <w:sz w:val="24"/>
          <w:szCs w:val="24"/>
        </w:rPr>
        <w:t>Provides Funding for L</w:t>
      </w:r>
      <w:r w:rsidR="00647EA0" w:rsidRPr="00683B48">
        <w:rPr>
          <w:rFonts w:cs="Arial"/>
          <w:b/>
          <w:sz w:val="24"/>
          <w:szCs w:val="24"/>
        </w:rPr>
        <w:t xml:space="preserve">awyers </w:t>
      </w:r>
      <w:r w:rsidR="00220123" w:rsidRPr="00683B48">
        <w:rPr>
          <w:rFonts w:cs="Arial"/>
          <w:b/>
          <w:sz w:val="24"/>
          <w:szCs w:val="24"/>
        </w:rPr>
        <w:t>R</w:t>
      </w:r>
      <w:r w:rsidR="00647EA0" w:rsidRPr="00683B48">
        <w:rPr>
          <w:rFonts w:cs="Arial"/>
          <w:b/>
          <w:sz w:val="24"/>
          <w:szCs w:val="24"/>
        </w:rPr>
        <w:t>epresent</w:t>
      </w:r>
      <w:r w:rsidR="00220123" w:rsidRPr="00683B48">
        <w:rPr>
          <w:rFonts w:cs="Arial"/>
          <w:b/>
          <w:sz w:val="24"/>
          <w:szCs w:val="24"/>
        </w:rPr>
        <w:t>ing</w:t>
      </w:r>
      <w:r w:rsidR="00647EA0" w:rsidRPr="00683B48">
        <w:rPr>
          <w:rFonts w:cs="Arial"/>
          <w:b/>
          <w:sz w:val="24"/>
          <w:szCs w:val="24"/>
        </w:rPr>
        <w:t xml:space="preserve"> the </w:t>
      </w:r>
      <w:r w:rsidR="00220123" w:rsidRPr="00683B48">
        <w:rPr>
          <w:rFonts w:cs="Arial"/>
          <w:b/>
          <w:sz w:val="24"/>
          <w:szCs w:val="24"/>
        </w:rPr>
        <w:t>V</w:t>
      </w:r>
      <w:r w:rsidR="00647EA0" w:rsidRPr="00683B48">
        <w:rPr>
          <w:rFonts w:cs="Arial"/>
          <w:b/>
          <w:sz w:val="24"/>
          <w:szCs w:val="24"/>
        </w:rPr>
        <w:t xml:space="preserve">ictim </w:t>
      </w:r>
    </w:p>
    <w:p w14:paraId="5ECD6411" w14:textId="77777777" w:rsidR="00647EA0" w:rsidRPr="00683B48" w:rsidRDefault="00F9649B" w:rsidP="00FD78A5">
      <w:pPr>
        <w:jc w:val="both"/>
        <w:rPr>
          <w:rFonts w:cs="Arial"/>
          <w:b/>
          <w:sz w:val="24"/>
          <w:szCs w:val="24"/>
        </w:rPr>
      </w:pPr>
      <w:r>
        <w:rPr>
          <w:rFonts w:cs="Arial"/>
          <w:b/>
          <w:sz w:val="24"/>
          <w:szCs w:val="24"/>
        </w:rPr>
        <w:t xml:space="preserve">Pimlico Plumbers v Smith </w:t>
      </w:r>
      <w:r w:rsidRPr="00F9649B">
        <w:rPr>
          <w:rFonts w:cs="Arial"/>
          <w:i/>
          <w:sz w:val="24"/>
          <w:szCs w:val="24"/>
        </w:rPr>
        <w:t>(</w:t>
      </w:r>
      <w:r w:rsidR="00647EA0" w:rsidRPr="00F9649B">
        <w:rPr>
          <w:rFonts w:cs="Arial"/>
          <w:i/>
          <w:sz w:val="24"/>
          <w:szCs w:val="24"/>
        </w:rPr>
        <w:t>UK Cou</w:t>
      </w:r>
      <w:r w:rsidRPr="00F9649B">
        <w:rPr>
          <w:rFonts w:cs="Arial"/>
          <w:i/>
          <w:sz w:val="24"/>
          <w:szCs w:val="24"/>
        </w:rPr>
        <w:t>rt of Appeal: 2017 EWCA Civ 51)</w:t>
      </w:r>
    </w:p>
    <w:p w14:paraId="0884BA3E" w14:textId="77777777" w:rsidR="00647EA0" w:rsidRPr="00683B48" w:rsidRDefault="00647EA0" w:rsidP="00FD78A5">
      <w:pPr>
        <w:jc w:val="both"/>
        <w:rPr>
          <w:rFonts w:cs="Arial"/>
          <w:sz w:val="24"/>
          <w:szCs w:val="24"/>
        </w:rPr>
      </w:pPr>
      <w:r w:rsidRPr="00683B48">
        <w:rPr>
          <w:rFonts w:cs="Arial"/>
          <w:sz w:val="24"/>
          <w:szCs w:val="24"/>
        </w:rPr>
        <w:t>Mr. Smith was an ‘independent contractor’</w:t>
      </w:r>
      <w:r w:rsidR="00220123" w:rsidRPr="00683B48">
        <w:rPr>
          <w:rFonts w:cs="Arial"/>
          <w:sz w:val="24"/>
          <w:szCs w:val="24"/>
        </w:rPr>
        <w:t xml:space="preserve"> who</w:t>
      </w:r>
      <w:r w:rsidRPr="00683B48">
        <w:rPr>
          <w:rFonts w:cs="Arial"/>
          <w:sz w:val="24"/>
          <w:szCs w:val="24"/>
        </w:rPr>
        <w:t xml:space="preserve"> </w:t>
      </w:r>
      <w:r w:rsidR="00220123" w:rsidRPr="00683B48">
        <w:rPr>
          <w:rFonts w:cs="Arial"/>
          <w:sz w:val="24"/>
          <w:szCs w:val="24"/>
        </w:rPr>
        <w:t xml:space="preserve">worked </w:t>
      </w:r>
      <w:r w:rsidRPr="00683B48">
        <w:rPr>
          <w:rFonts w:cs="Arial"/>
          <w:sz w:val="24"/>
          <w:szCs w:val="24"/>
        </w:rPr>
        <w:t xml:space="preserve">exclusively for </w:t>
      </w:r>
      <w:r w:rsidR="00220123" w:rsidRPr="00683B48">
        <w:rPr>
          <w:rFonts w:cs="Arial"/>
          <w:sz w:val="24"/>
          <w:szCs w:val="24"/>
        </w:rPr>
        <w:t xml:space="preserve">one </w:t>
      </w:r>
      <w:r w:rsidRPr="00683B48">
        <w:rPr>
          <w:rFonts w:cs="Arial"/>
          <w:sz w:val="24"/>
          <w:szCs w:val="24"/>
        </w:rPr>
        <w:t>company</w:t>
      </w:r>
      <w:r w:rsidR="00220123" w:rsidRPr="00683B48">
        <w:rPr>
          <w:rFonts w:cs="Arial"/>
          <w:sz w:val="24"/>
          <w:szCs w:val="24"/>
        </w:rPr>
        <w:t>, Pimlico Plumbers.</w:t>
      </w:r>
      <w:r w:rsidRPr="00683B48">
        <w:rPr>
          <w:rFonts w:cs="Arial"/>
          <w:sz w:val="24"/>
          <w:szCs w:val="24"/>
        </w:rPr>
        <w:t xml:space="preserve"> </w:t>
      </w:r>
      <w:r w:rsidR="00220123" w:rsidRPr="00683B48">
        <w:rPr>
          <w:rFonts w:cs="Arial"/>
          <w:sz w:val="24"/>
          <w:szCs w:val="24"/>
        </w:rPr>
        <w:t>When Mr. Smith suffered a heart attack, he found that</w:t>
      </w:r>
      <w:r w:rsidRPr="00683B48">
        <w:rPr>
          <w:rFonts w:cs="Arial"/>
          <w:sz w:val="24"/>
          <w:szCs w:val="24"/>
        </w:rPr>
        <w:t xml:space="preserve"> he could not claim disability pay </w:t>
      </w:r>
      <w:r w:rsidR="00220123" w:rsidRPr="00683B48">
        <w:rPr>
          <w:rFonts w:cs="Arial"/>
          <w:sz w:val="24"/>
          <w:szCs w:val="24"/>
        </w:rPr>
        <w:t>as</w:t>
      </w:r>
      <w:r w:rsidRPr="00683B48">
        <w:rPr>
          <w:rFonts w:cs="Arial"/>
          <w:sz w:val="24"/>
          <w:szCs w:val="24"/>
        </w:rPr>
        <w:t xml:space="preserve"> Pimlico </w:t>
      </w:r>
      <w:r w:rsidR="00C92901" w:rsidRPr="00683B48">
        <w:rPr>
          <w:rFonts w:cs="Arial"/>
          <w:sz w:val="24"/>
          <w:szCs w:val="24"/>
        </w:rPr>
        <w:t xml:space="preserve">Plumbers </w:t>
      </w:r>
      <w:r w:rsidR="00220123" w:rsidRPr="00683B48">
        <w:rPr>
          <w:rFonts w:cs="Arial"/>
          <w:sz w:val="24"/>
          <w:szCs w:val="24"/>
        </w:rPr>
        <w:t xml:space="preserve">claimed that </w:t>
      </w:r>
      <w:r w:rsidRPr="00683B48">
        <w:rPr>
          <w:rFonts w:cs="Arial"/>
          <w:sz w:val="24"/>
          <w:szCs w:val="24"/>
        </w:rPr>
        <w:t xml:space="preserve">he was self-employed. The </w:t>
      </w:r>
      <w:r w:rsidR="00220123" w:rsidRPr="00683B48">
        <w:rPr>
          <w:rFonts w:cs="Arial"/>
          <w:sz w:val="24"/>
          <w:szCs w:val="24"/>
        </w:rPr>
        <w:t xml:space="preserve">equality body provided </w:t>
      </w:r>
      <w:r w:rsidRPr="00683B48">
        <w:rPr>
          <w:rFonts w:cs="Arial"/>
          <w:sz w:val="24"/>
          <w:szCs w:val="24"/>
        </w:rPr>
        <w:t>Mr</w:t>
      </w:r>
      <w:r w:rsidR="00220123" w:rsidRPr="00683B48">
        <w:rPr>
          <w:rFonts w:cs="Arial"/>
          <w:sz w:val="24"/>
          <w:szCs w:val="24"/>
        </w:rPr>
        <w:t>.</w:t>
      </w:r>
      <w:r w:rsidRPr="00683B48">
        <w:rPr>
          <w:rFonts w:cs="Arial"/>
          <w:sz w:val="24"/>
          <w:szCs w:val="24"/>
        </w:rPr>
        <w:t xml:space="preserve"> Smith</w:t>
      </w:r>
      <w:r w:rsidR="00220123" w:rsidRPr="00683B48">
        <w:rPr>
          <w:rFonts w:cs="Arial"/>
          <w:sz w:val="24"/>
          <w:szCs w:val="24"/>
        </w:rPr>
        <w:t xml:space="preserve"> with funding for legal counsel</w:t>
      </w:r>
      <w:r w:rsidRPr="00683B48">
        <w:rPr>
          <w:rFonts w:cs="Arial"/>
          <w:sz w:val="24"/>
          <w:szCs w:val="24"/>
        </w:rPr>
        <w:t xml:space="preserve"> in his case against Pimlico Plumbers. </w:t>
      </w:r>
    </w:p>
    <w:p w14:paraId="66E99CBC" w14:textId="77777777" w:rsidR="00647EA0" w:rsidRPr="00683B48" w:rsidRDefault="00647EA0" w:rsidP="00FD78A5">
      <w:pPr>
        <w:jc w:val="both"/>
        <w:rPr>
          <w:rFonts w:cs="Arial"/>
          <w:b/>
          <w:sz w:val="24"/>
          <w:szCs w:val="24"/>
          <w:u w:val="single"/>
        </w:rPr>
      </w:pPr>
      <w:r w:rsidRPr="00683B48">
        <w:rPr>
          <w:rFonts w:cs="Arial"/>
          <w:sz w:val="24"/>
          <w:szCs w:val="24"/>
        </w:rPr>
        <w:t>The Court of Appeal found that Mr</w:t>
      </w:r>
      <w:r w:rsidR="00220123" w:rsidRPr="00683B48">
        <w:rPr>
          <w:rFonts w:cs="Arial"/>
          <w:sz w:val="24"/>
          <w:szCs w:val="24"/>
        </w:rPr>
        <w:t>.</w:t>
      </w:r>
      <w:r w:rsidRPr="00683B48">
        <w:rPr>
          <w:rFonts w:cs="Arial"/>
          <w:sz w:val="24"/>
          <w:szCs w:val="24"/>
        </w:rPr>
        <w:t xml:space="preserve"> Smith was a</w:t>
      </w:r>
      <w:r w:rsidR="00220123" w:rsidRPr="00683B48">
        <w:rPr>
          <w:rFonts w:cs="Arial"/>
          <w:sz w:val="24"/>
          <w:szCs w:val="24"/>
        </w:rPr>
        <w:t>n employee</w:t>
      </w:r>
      <w:r w:rsidRPr="00683B48">
        <w:rPr>
          <w:rFonts w:cs="Arial"/>
          <w:sz w:val="24"/>
          <w:szCs w:val="24"/>
        </w:rPr>
        <w:t xml:space="preserve"> and so </w:t>
      </w:r>
      <w:r w:rsidR="00220123" w:rsidRPr="00683B48">
        <w:rPr>
          <w:rFonts w:cs="Arial"/>
          <w:sz w:val="24"/>
          <w:szCs w:val="24"/>
        </w:rPr>
        <w:t>was entitled to present</w:t>
      </w:r>
      <w:r w:rsidRPr="00683B48">
        <w:rPr>
          <w:rFonts w:cs="Arial"/>
          <w:sz w:val="24"/>
          <w:szCs w:val="24"/>
        </w:rPr>
        <w:t xml:space="preserve"> a</w:t>
      </w:r>
      <w:r w:rsidR="00220123" w:rsidRPr="00683B48">
        <w:rPr>
          <w:rFonts w:cs="Arial"/>
          <w:sz w:val="24"/>
          <w:szCs w:val="24"/>
        </w:rPr>
        <w:t xml:space="preserve"> discrimination</w:t>
      </w:r>
      <w:r w:rsidRPr="00683B48">
        <w:rPr>
          <w:rFonts w:cs="Arial"/>
          <w:sz w:val="24"/>
          <w:szCs w:val="24"/>
        </w:rPr>
        <w:t xml:space="preserve"> claim. This </w:t>
      </w:r>
      <w:r w:rsidR="00220123" w:rsidRPr="00683B48">
        <w:rPr>
          <w:rFonts w:cs="Arial"/>
          <w:sz w:val="24"/>
          <w:szCs w:val="24"/>
        </w:rPr>
        <w:t xml:space="preserve">ruling is of </w:t>
      </w:r>
      <w:r w:rsidR="0046472F" w:rsidRPr="00683B48">
        <w:rPr>
          <w:rFonts w:cs="Arial"/>
          <w:sz w:val="24"/>
          <w:szCs w:val="24"/>
        </w:rPr>
        <w:t xml:space="preserve">general </w:t>
      </w:r>
      <w:r w:rsidR="00220123" w:rsidRPr="00683B48">
        <w:rPr>
          <w:rFonts w:cs="Arial"/>
          <w:sz w:val="24"/>
          <w:szCs w:val="24"/>
        </w:rPr>
        <w:t xml:space="preserve">assistance to employees </w:t>
      </w:r>
      <w:r w:rsidRPr="00683B48">
        <w:rPr>
          <w:rFonts w:cs="Arial"/>
          <w:sz w:val="24"/>
          <w:szCs w:val="24"/>
        </w:rPr>
        <w:t xml:space="preserve">who are incorrectly </w:t>
      </w:r>
      <w:r w:rsidR="00220123" w:rsidRPr="00683B48">
        <w:rPr>
          <w:rFonts w:cs="Arial"/>
          <w:sz w:val="24"/>
          <w:szCs w:val="24"/>
        </w:rPr>
        <w:t xml:space="preserve">categorized </w:t>
      </w:r>
      <w:r w:rsidRPr="00683B48">
        <w:rPr>
          <w:rFonts w:cs="Arial"/>
          <w:sz w:val="24"/>
          <w:szCs w:val="24"/>
        </w:rPr>
        <w:t xml:space="preserve">as </w:t>
      </w:r>
      <w:r w:rsidR="00220123" w:rsidRPr="00683B48">
        <w:rPr>
          <w:rFonts w:cs="Arial"/>
          <w:sz w:val="24"/>
          <w:szCs w:val="24"/>
        </w:rPr>
        <w:t xml:space="preserve">self-employed </w:t>
      </w:r>
      <w:r w:rsidRPr="00683B48">
        <w:rPr>
          <w:rFonts w:cs="Arial"/>
          <w:sz w:val="24"/>
          <w:szCs w:val="24"/>
        </w:rPr>
        <w:t xml:space="preserve">contractors by the companies they work for. </w:t>
      </w:r>
      <w:r w:rsidR="0046472F" w:rsidRPr="00683B48">
        <w:rPr>
          <w:rFonts w:cs="Arial"/>
          <w:sz w:val="24"/>
          <w:szCs w:val="24"/>
        </w:rPr>
        <w:t>The outcome</w:t>
      </w:r>
      <w:r w:rsidRPr="00683B48">
        <w:rPr>
          <w:rFonts w:cs="Arial"/>
          <w:sz w:val="24"/>
          <w:szCs w:val="24"/>
        </w:rPr>
        <w:t xml:space="preserve"> will help to </w:t>
      </w:r>
      <w:r w:rsidR="0046472F" w:rsidRPr="00683B48">
        <w:rPr>
          <w:rFonts w:cs="Arial"/>
          <w:sz w:val="24"/>
          <w:szCs w:val="24"/>
        </w:rPr>
        <w:t>en</w:t>
      </w:r>
      <w:r w:rsidRPr="00683B48">
        <w:rPr>
          <w:rFonts w:cs="Arial"/>
          <w:sz w:val="24"/>
          <w:szCs w:val="24"/>
        </w:rPr>
        <w:t xml:space="preserve">sure that </w:t>
      </w:r>
      <w:r w:rsidR="0046472F" w:rsidRPr="00683B48">
        <w:rPr>
          <w:rFonts w:cs="Arial"/>
          <w:sz w:val="24"/>
          <w:szCs w:val="24"/>
        </w:rPr>
        <w:t xml:space="preserve">employers </w:t>
      </w:r>
      <w:r w:rsidRPr="00683B48">
        <w:rPr>
          <w:rFonts w:cs="Arial"/>
          <w:sz w:val="24"/>
          <w:szCs w:val="24"/>
        </w:rPr>
        <w:t xml:space="preserve">are no longer able to avoid their duty to provide </w:t>
      </w:r>
      <w:r w:rsidR="0046472F" w:rsidRPr="00683B48">
        <w:rPr>
          <w:rFonts w:cs="Arial"/>
          <w:sz w:val="24"/>
          <w:szCs w:val="24"/>
        </w:rPr>
        <w:t>employees</w:t>
      </w:r>
      <w:r w:rsidRPr="00683B48">
        <w:rPr>
          <w:rFonts w:cs="Arial"/>
          <w:sz w:val="24"/>
          <w:szCs w:val="24"/>
        </w:rPr>
        <w:t xml:space="preserve"> with support, such as reasonable adjustments</w:t>
      </w:r>
      <w:r w:rsidR="00F9649B">
        <w:rPr>
          <w:rFonts w:cs="Arial"/>
          <w:sz w:val="24"/>
          <w:szCs w:val="24"/>
        </w:rPr>
        <w:t xml:space="preserve"> for persons with disabilities</w:t>
      </w:r>
      <w:r w:rsidRPr="00683B48">
        <w:rPr>
          <w:rFonts w:cs="Arial"/>
          <w:sz w:val="24"/>
          <w:szCs w:val="24"/>
        </w:rPr>
        <w:t>.</w:t>
      </w:r>
    </w:p>
    <w:p w14:paraId="2B2ECBB0" w14:textId="77777777" w:rsidR="00220123" w:rsidRPr="00683B48" w:rsidRDefault="00220123" w:rsidP="00FD78A5">
      <w:pPr>
        <w:jc w:val="both"/>
        <w:rPr>
          <w:rFonts w:cs="Arial"/>
          <w:b/>
          <w:sz w:val="24"/>
          <w:szCs w:val="24"/>
          <w:u w:val="single"/>
        </w:rPr>
      </w:pPr>
      <w:r w:rsidRPr="00683B48">
        <w:rPr>
          <w:rFonts w:cs="Arial"/>
          <w:b/>
          <w:sz w:val="24"/>
          <w:szCs w:val="24"/>
          <w:u w:val="single"/>
        </w:rPr>
        <w:t>Motions for Judicial Review and Other Judicial Initiatives</w:t>
      </w:r>
      <w:r w:rsidRPr="00683B48" w:rsidDel="00220123">
        <w:rPr>
          <w:rFonts w:cs="Arial"/>
          <w:b/>
          <w:sz w:val="24"/>
          <w:szCs w:val="24"/>
          <w:u w:val="single"/>
        </w:rPr>
        <w:t xml:space="preserve"> </w:t>
      </w:r>
      <w:r w:rsidRPr="00683B48">
        <w:rPr>
          <w:rFonts w:cs="Arial"/>
          <w:b/>
          <w:sz w:val="24"/>
          <w:szCs w:val="24"/>
          <w:u w:val="single"/>
        </w:rPr>
        <w:t>Made by the Equality Body</w:t>
      </w:r>
    </w:p>
    <w:p w14:paraId="3D48EE49" w14:textId="77777777" w:rsidR="00647EA0" w:rsidRPr="00683B48" w:rsidRDefault="00647EA0" w:rsidP="00FD78A5">
      <w:pPr>
        <w:jc w:val="both"/>
        <w:rPr>
          <w:rFonts w:cs="Arial"/>
          <w:sz w:val="24"/>
          <w:szCs w:val="24"/>
        </w:rPr>
      </w:pPr>
      <w:r w:rsidRPr="00683B48">
        <w:rPr>
          <w:rFonts w:cs="Arial"/>
          <w:sz w:val="24"/>
          <w:szCs w:val="24"/>
        </w:rPr>
        <w:t xml:space="preserve">Some </w:t>
      </w:r>
      <w:r w:rsidR="00874611" w:rsidRPr="00683B48">
        <w:rPr>
          <w:rFonts w:cs="Arial"/>
          <w:sz w:val="24"/>
          <w:szCs w:val="24"/>
        </w:rPr>
        <w:t>equality bod</w:t>
      </w:r>
      <w:r w:rsidR="009E3364" w:rsidRPr="00683B48">
        <w:rPr>
          <w:rFonts w:cs="Arial"/>
          <w:sz w:val="24"/>
          <w:szCs w:val="24"/>
        </w:rPr>
        <w:t>ie</w:t>
      </w:r>
      <w:r w:rsidR="00874611" w:rsidRPr="00683B48">
        <w:rPr>
          <w:rFonts w:cs="Arial"/>
          <w:sz w:val="24"/>
          <w:szCs w:val="24"/>
        </w:rPr>
        <w:t xml:space="preserve">s </w:t>
      </w:r>
      <w:r w:rsidRPr="00683B48">
        <w:rPr>
          <w:rFonts w:cs="Arial"/>
          <w:sz w:val="24"/>
          <w:szCs w:val="24"/>
        </w:rPr>
        <w:t xml:space="preserve">can bring judicial review claims or </w:t>
      </w:r>
      <w:r w:rsidR="009E3364" w:rsidRPr="00683B48">
        <w:rPr>
          <w:rFonts w:cs="Arial"/>
          <w:sz w:val="24"/>
          <w:szCs w:val="24"/>
        </w:rPr>
        <w:t xml:space="preserve">initiate </w:t>
      </w:r>
      <w:r w:rsidRPr="00683B48">
        <w:rPr>
          <w:rFonts w:cs="Arial"/>
          <w:sz w:val="24"/>
          <w:szCs w:val="24"/>
        </w:rPr>
        <w:t xml:space="preserve">other proceedings in their own name, </w:t>
      </w:r>
      <w:r w:rsidR="009E3364" w:rsidRPr="00683B48">
        <w:rPr>
          <w:rFonts w:cs="Arial"/>
          <w:sz w:val="24"/>
          <w:szCs w:val="24"/>
        </w:rPr>
        <w:t>entailing that they do not</w:t>
      </w:r>
      <w:r w:rsidRPr="00683B48">
        <w:rPr>
          <w:rFonts w:cs="Arial"/>
          <w:sz w:val="24"/>
          <w:szCs w:val="24"/>
        </w:rPr>
        <w:t xml:space="preserve"> need </w:t>
      </w:r>
      <w:r w:rsidR="009E3364" w:rsidRPr="00683B48">
        <w:rPr>
          <w:rFonts w:cs="Arial"/>
          <w:sz w:val="24"/>
          <w:szCs w:val="24"/>
        </w:rPr>
        <w:t xml:space="preserve">to represent an </w:t>
      </w:r>
      <w:r w:rsidRPr="00683B48">
        <w:rPr>
          <w:rFonts w:cs="Arial"/>
          <w:sz w:val="24"/>
          <w:szCs w:val="24"/>
        </w:rPr>
        <w:t>individual victim</w:t>
      </w:r>
      <w:r w:rsidR="009E3364" w:rsidRPr="00683B48">
        <w:rPr>
          <w:rFonts w:cs="Arial"/>
          <w:sz w:val="24"/>
          <w:szCs w:val="24"/>
        </w:rPr>
        <w:t xml:space="preserve"> to pursue legal action. Considering the costs and fact-related difficulties often involved in </w:t>
      </w:r>
      <w:r w:rsidR="00DE44C2" w:rsidRPr="00683B48">
        <w:rPr>
          <w:rFonts w:cs="Arial"/>
          <w:sz w:val="24"/>
          <w:szCs w:val="24"/>
        </w:rPr>
        <w:t xml:space="preserve">other </w:t>
      </w:r>
      <w:r w:rsidR="009E3364" w:rsidRPr="00683B48">
        <w:rPr>
          <w:rFonts w:cs="Arial"/>
          <w:sz w:val="24"/>
          <w:szCs w:val="24"/>
        </w:rPr>
        <w:t xml:space="preserve">civil proceedings, it is advisable to investigate whether these types of action are available to the equality body </w:t>
      </w:r>
      <w:r w:rsidR="007B7E7D" w:rsidRPr="00683B48">
        <w:rPr>
          <w:rFonts w:cs="Arial"/>
          <w:sz w:val="24"/>
          <w:szCs w:val="24"/>
        </w:rPr>
        <w:t>and</w:t>
      </w:r>
      <w:r w:rsidR="009E3364" w:rsidRPr="00683B48">
        <w:rPr>
          <w:rFonts w:cs="Arial"/>
          <w:sz w:val="24"/>
          <w:szCs w:val="24"/>
        </w:rPr>
        <w:t xml:space="preserve"> can fulfil the desired strategic </w:t>
      </w:r>
      <w:r w:rsidR="007B7E7D" w:rsidRPr="00683B48">
        <w:rPr>
          <w:rFonts w:cs="Arial"/>
          <w:sz w:val="24"/>
          <w:szCs w:val="24"/>
        </w:rPr>
        <w:t>objective.</w:t>
      </w:r>
    </w:p>
    <w:p w14:paraId="31EA4E12" w14:textId="751C793D" w:rsidR="00647EA0" w:rsidRPr="00683B48" w:rsidRDefault="006F3139" w:rsidP="00FD78A5">
      <w:pPr>
        <w:jc w:val="both"/>
        <w:rPr>
          <w:rFonts w:cs="Arial"/>
          <w:b/>
          <w:sz w:val="24"/>
          <w:szCs w:val="24"/>
        </w:rPr>
      </w:pPr>
      <w:r>
        <w:rPr>
          <w:rFonts w:cs="Arial"/>
          <w:b/>
          <w:sz w:val="24"/>
          <w:szCs w:val="24"/>
        </w:rPr>
        <w:t>Case Study</w:t>
      </w:r>
      <w:r w:rsidR="009E3364" w:rsidRPr="00683B48">
        <w:rPr>
          <w:rFonts w:cs="Arial"/>
          <w:b/>
          <w:sz w:val="24"/>
          <w:szCs w:val="24"/>
        </w:rPr>
        <w:t xml:space="preserve"> – </w:t>
      </w:r>
      <w:r w:rsidR="00DE44C2" w:rsidRPr="00683B48">
        <w:rPr>
          <w:rFonts w:cs="Arial"/>
          <w:b/>
          <w:sz w:val="24"/>
          <w:szCs w:val="24"/>
        </w:rPr>
        <w:t>Equality and Human Rights Commission</w:t>
      </w:r>
      <w:r w:rsidR="00874611" w:rsidRPr="00683B48">
        <w:rPr>
          <w:rFonts w:cs="Arial"/>
          <w:b/>
          <w:sz w:val="24"/>
          <w:szCs w:val="24"/>
        </w:rPr>
        <w:t xml:space="preserve"> </w:t>
      </w:r>
      <w:r w:rsidR="009E3364" w:rsidRPr="00683B48">
        <w:rPr>
          <w:rFonts w:cs="Arial"/>
          <w:b/>
          <w:sz w:val="24"/>
          <w:szCs w:val="24"/>
        </w:rPr>
        <w:t>R</w:t>
      </w:r>
      <w:r w:rsidR="00647EA0" w:rsidRPr="00683B48">
        <w:rPr>
          <w:rFonts w:cs="Arial"/>
          <w:b/>
          <w:sz w:val="24"/>
          <w:szCs w:val="24"/>
        </w:rPr>
        <w:t>equest</w:t>
      </w:r>
      <w:r w:rsidR="00DE44C2" w:rsidRPr="00683B48">
        <w:rPr>
          <w:rFonts w:cs="Arial"/>
          <w:b/>
          <w:sz w:val="24"/>
          <w:szCs w:val="24"/>
        </w:rPr>
        <w:t>ing</w:t>
      </w:r>
      <w:r w:rsidR="00647EA0" w:rsidRPr="00683B48">
        <w:rPr>
          <w:rFonts w:cs="Arial"/>
          <w:b/>
          <w:sz w:val="24"/>
          <w:szCs w:val="24"/>
        </w:rPr>
        <w:t xml:space="preserve"> </w:t>
      </w:r>
      <w:r w:rsidR="009E3364" w:rsidRPr="00683B48">
        <w:rPr>
          <w:rFonts w:cs="Arial"/>
          <w:b/>
          <w:sz w:val="24"/>
          <w:szCs w:val="24"/>
        </w:rPr>
        <w:t xml:space="preserve">Judicial Review </w:t>
      </w:r>
    </w:p>
    <w:p w14:paraId="04C1E36E" w14:textId="77777777" w:rsidR="009E3364" w:rsidRPr="00683B48" w:rsidRDefault="009E3364" w:rsidP="00FD78A5">
      <w:pPr>
        <w:jc w:val="both"/>
        <w:rPr>
          <w:rFonts w:cs="Arial"/>
          <w:b/>
          <w:sz w:val="24"/>
          <w:szCs w:val="24"/>
        </w:rPr>
      </w:pPr>
      <w:r w:rsidRPr="00683B48">
        <w:rPr>
          <w:rFonts w:cs="Arial"/>
          <w:b/>
          <w:sz w:val="24"/>
          <w:szCs w:val="24"/>
        </w:rPr>
        <w:t>EHRC v 3 Individuals (sued as officers of The British National Party) (2009 UK)</w:t>
      </w:r>
    </w:p>
    <w:p w14:paraId="1D3EB31A" w14:textId="77777777" w:rsidR="00DE44C2" w:rsidRPr="00683B48" w:rsidRDefault="009E3364" w:rsidP="00DE44C2">
      <w:pPr>
        <w:jc w:val="both"/>
        <w:rPr>
          <w:rFonts w:cs="Arial"/>
          <w:b/>
          <w:sz w:val="24"/>
          <w:szCs w:val="24"/>
        </w:rPr>
      </w:pPr>
      <w:r w:rsidRPr="00683B48">
        <w:rPr>
          <w:rFonts w:cs="Arial"/>
          <w:sz w:val="24"/>
          <w:szCs w:val="24"/>
        </w:rPr>
        <w:t>Membership of the British National Party</w:t>
      </w:r>
      <w:r w:rsidR="005E7C22">
        <w:rPr>
          <w:rFonts w:cs="Arial"/>
          <w:sz w:val="24"/>
          <w:szCs w:val="24"/>
        </w:rPr>
        <w:t xml:space="preserve"> (BNP)</w:t>
      </w:r>
      <w:r w:rsidRPr="00683B48">
        <w:rPr>
          <w:rFonts w:cs="Arial"/>
          <w:sz w:val="24"/>
          <w:szCs w:val="24"/>
        </w:rPr>
        <w:t xml:space="preserve">, a political party, was restricted to ‘indigenous’ British people. As most people born in the UK are white, this constituted unlawful race discrimination. The UK’s EHRC used its power to apply for an injunction to stop discriminatory acts in this case. The court ordered an injunction to stop the BNP from </w:t>
      </w:r>
      <w:r w:rsidR="00995C55" w:rsidRPr="00683B48">
        <w:rPr>
          <w:rFonts w:cs="Arial"/>
          <w:sz w:val="24"/>
          <w:szCs w:val="24"/>
        </w:rPr>
        <w:t>applying</w:t>
      </w:r>
      <w:r w:rsidRPr="00683B48">
        <w:rPr>
          <w:rFonts w:cs="Arial"/>
          <w:sz w:val="24"/>
          <w:szCs w:val="24"/>
        </w:rPr>
        <w:t xml:space="preserve"> the discriminatory membership policy. This litigation eventually </w:t>
      </w:r>
      <w:r w:rsidR="00995C55" w:rsidRPr="00683B48">
        <w:rPr>
          <w:rFonts w:cs="Arial"/>
          <w:sz w:val="24"/>
          <w:szCs w:val="24"/>
        </w:rPr>
        <w:t xml:space="preserve">resulted in an </w:t>
      </w:r>
      <w:r w:rsidR="00995C55" w:rsidRPr="00683B48">
        <w:rPr>
          <w:rFonts w:cs="Arial"/>
          <w:sz w:val="24"/>
          <w:szCs w:val="24"/>
        </w:rPr>
        <w:lastRenderedPageBreak/>
        <w:t>alteration of</w:t>
      </w:r>
      <w:r w:rsidRPr="00683B48">
        <w:rPr>
          <w:rFonts w:cs="Arial"/>
          <w:sz w:val="24"/>
          <w:szCs w:val="24"/>
        </w:rPr>
        <w:t xml:space="preserve"> the BNP’s discriminatory membership policy, negating the need for further </w:t>
      </w:r>
      <w:r w:rsidR="00995C55" w:rsidRPr="00683B48">
        <w:rPr>
          <w:rFonts w:cs="Arial"/>
          <w:sz w:val="24"/>
          <w:szCs w:val="24"/>
        </w:rPr>
        <w:t xml:space="preserve">legal </w:t>
      </w:r>
      <w:r w:rsidRPr="00683B48">
        <w:rPr>
          <w:rFonts w:cs="Arial"/>
          <w:sz w:val="24"/>
          <w:szCs w:val="24"/>
        </w:rPr>
        <w:t xml:space="preserve">proceedings or action against the </w:t>
      </w:r>
      <w:r w:rsidR="00995C55" w:rsidRPr="00683B48">
        <w:rPr>
          <w:rFonts w:cs="Arial"/>
          <w:sz w:val="24"/>
          <w:szCs w:val="24"/>
        </w:rPr>
        <w:t>party</w:t>
      </w:r>
      <w:r w:rsidRPr="00683B48">
        <w:rPr>
          <w:rFonts w:cs="Arial"/>
          <w:sz w:val="24"/>
          <w:szCs w:val="24"/>
        </w:rPr>
        <w:t>.</w:t>
      </w:r>
    </w:p>
    <w:p w14:paraId="0969B282" w14:textId="0A0653F4" w:rsidR="00874611" w:rsidRPr="00CB02CD" w:rsidRDefault="006F3139" w:rsidP="00DE44C2">
      <w:pPr>
        <w:jc w:val="both"/>
        <w:rPr>
          <w:rFonts w:cs="Arial"/>
          <w:b/>
          <w:sz w:val="24"/>
          <w:szCs w:val="24"/>
          <w:lang w:val="nl-NL"/>
        </w:rPr>
      </w:pPr>
      <w:r>
        <w:rPr>
          <w:rFonts w:cs="Arial"/>
          <w:b/>
          <w:sz w:val="24"/>
          <w:szCs w:val="24"/>
          <w:lang w:val="nl-NL"/>
        </w:rPr>
        <w:t>Case Study</w:t>
      </w:r>
      <w:r w:rsidR="00DE44C2" w:rsidRPr="00CB02CD">
        <w:rPr>
          <w:rFonts w:cs="Arial"/>
          <w:b/>
          <w:sz w:val="24"/>
          <w:szCs w:val="24"/>
          <w:lang w:val="nl-NL"/>
        </w:rPr>
        <w:t xml:space="preserve"> – Centrum voor gelijkheid van kansen en voor racis</w:t>
      </w:r>
      <w:r w:rsidR="00F9649B">
        <w:rPr>
          <w:rFonts w:cs="Arial"/>
          <w:b/>
          <w:sz w:val="24"/>
          <w:szCs w:val="24"/>
          <w:lang w:val="nl-NL"/>
        </w:rPr>
        <w:t xml:space="preserve">mebestrijding v Firma Feryn NV </w:t>
      </w:r>
      <w:r w:rsidR="00F9649B" w:rsidRPr="00F9649B">
        <w:rPr>
          <w:rFonts w:cs="Arial"/>
          <w:i/>
          <w:sz w:val="24"/>
          <w:szCs w:val="24"/>
          <w:lang w:val="nl-NL"/>
        </w:rPr>
        <w:t>(</w:t>
      </w:r>
      <w:r w:rsidR="00DE44C2" w:rsidRPr="00F9649B">
        <w:rPr>
          <w:rFonts w:cs="Arial"/>
          <w:i/>
          <w:sz w:val="24"/>
          <w:szCs w:val="24"/>
          <w:lang w:val="nl-NL"/>
        </w:rPr>
        <w:t>Court of Justice of the EU</w:t>
      </w:r>
      <w:r w:rsidR="00F9649B" w:rsidRPr="00F9649B">
        <w:rPr>
          <w:rFonts w:cs="Arial"/>
          <w:i/>
          <w:sz w:val="24"/>
          <w:szCs w:val="24"/>
          <w:lang w:val="nl-NL"/>
        </w:rPr>
        <w:t>:</w:t>
      </w:r>
      <w:r w:rsidR="00DE44C2" w:rsidRPr="00F9649B">
        <w:rPr>
          <w:rFonts w:cs="Arial"/>
          <w:i/>
          <w:sz w:val="24"/>
          <w:szCs w:val="24"/>
          <w:lang w:val="nl-NL"/>
        </w:rPr>
        <w:t xml:space="preserve"> C-54/07</w:t>
      </w:r>
      <w:r w:rsidR="00F9649B" w:rsidRPr="00F9649B">
        <w:rPr>
          <w:rFonts w:cs="Arial"/>
          <w:i/>
          <w:sz w:val="24"/>
          <w:szCs w:val="24"/>
          <w:lang w:val="nl-NL"/>
        </w:rPr>
        <w:t>)</w:t>
      </w:r>
    </w:p>
    <w:p w14:paraId="36F1D256" w14:textId="77777777" w:rsidR="00DE44C2" w:rsidRPr="00683B48" w:rsidRDefault="00DE44C2" w:rsidP="00DE44C2">
      <w:pPr>
        <w:jc w:val="both"/>
        <w:rPr>
          <w:rFonts w:cs="Arial"/>
          <w:sz w:val="24"/>
          <w:szCs w:val="24"/>
        </w:rPr>
      </w:pPr>
      <w:r w:rsidRPr="00683B48">
        <w:rPr>
          <w:rFonts w:cs="Arial"/>
          <w:sz w:val="24"/>
          <w:szCs w:val="24"/>
        </w:rPr>
        <w:t xml:space="preserve">In this case the Belgian equality body </w:t>
      </w:r>
      <w:r w:rsidR="00A82F43">
        <w:rPr>
          <w:rFonts w:cs="Arial"/>
          <w:sz w:val="24"/>
          <w:szCs w:val="24"/>
        </w:rPr>
        <w:t>(</w:t>
      </w:r>
      <w:r w:rsidR="00A82F43" w:rsidRPr="00A82F43">
        <w:rPr>
          <w:rFonts w:cs="Arial"/>
          <w:sz w:val="24"/>
          <w:szCs w:val="24"/>
        </w:rPr>
        <w:t>Centre for equal opportunities and combating racism</w:t>
      </w:r>
      <w:r w:rsidR="00A82F43">
        <w:rPr>
          <w:rFonts w:cs="Arial"/>
          <w:sz w:val="24"/>
          <w:szCs w:val="24"/>
        </w:rPr>
        <w:t>, predecessor of Unia, the Interfederal Centre for equal opportunities)</w:t>
      </w:r>
      <w:r w:rsidR="00A82F43" w:rsidRPr="00A82F43">
        <w:rPr>
          <w:rFonts w:cs="Arial"/>
          <w:sz w:val="24"/>
          <w:szCs w:val="24"/>
        </w:rPr>
        <w:t xml:space="preserve"> </w:t>
      </w:r>
      <w:r w:rsidRPr="00683B48">
        <w:rPr>
          <w:rFonts w:cs="Arial"/>
          <w:sz w:val="24"/>
          <w:szCs w:val="24"/>
        </w:rPr>
        <w:t xml:space="preserve">acted on the basis of public statements of the director of the company ‘Firma Feryn’ to the effect that his undertaking was looking to recruit fitters, but that it could not employ ‘immigrants’ because its customers were reluctant to give them access to their private residences for the period of the works. </w:t>
      </w:r>
    </w:p>
    <w:p w14:paraId="761EEE0D" w14:textId="77777777" w:rsidR="00647EA0" w:rsidRPr="00683B48" w:rsidRDefault="00DE44C2" w:rsidP="00FD78A5">
      <w:pPr>
        <w:jc w:val="both"/>
        <w:rPr>
          <w:rFonts w:cs="Arial"/>
          <w:sz w:val="24"/>
          <w:szCs w:val="24"/>
          <w:lang w:val="fi-FI"/>
        </w:rPr>
      </w:pPr>
      <w:r w:rsidRPr="00683B48">
        <w:rPr>
          <w:rFonts w:cs="Arial"/>
          <w:sz w:val="24"/>
          <w:szCs w:val="24"/>
        </w:rPr>
        <w:t xml:space="preserve">The Court found that such public statements constitute direct discrimination within the meaning of Directive 2000/43/EC even in the absence of identifiable victims. Furthermore, the Court also established that such public statements are sufficient to shift the burden of proof to the </w:t>
      </w:r>
      <w:r w:rsidR="00377629" w:rsidRPr="00683B48">
        <w:rPr>
          <w:rFonts w:cs="Arial"/>
          <w:sz w:val="24"/>
          <w:szCs w:val="24"/>
        </w:rPr>
        <w:t>employer and that</w:t>
      </w:r>
      <w:r w:rsidR="00174511">
        <w:rPr>
          <w:rFonts w:cs="Arial"/>
          <w:sz w:val="24"/>
          <w:szCs w:val="24"/>
        </w:rPr>
        <w:t xml:space="preserve"> i</w:t>
      </w:r>
      <w:r w:rsidR="00174511" w:rsidRPr="00174511">
        <w:rPr>
          <w:rFonts w:cs="Arial"/>
          <w:sz w:val="24"/>
          <w:szCs w:val="24"/>
        </w:rPr>
        <w:t>t is then for that employer to prove that there was no breach of the principle of equal treatment.</w:t>
      </w:r>
      <w:r w:rsidR="00377629" w:rsidRPr="00683B48">
        <w:rPr>
          <w:rFonts w:cs="Arial"/>
          <w:sz w:val="24"/>
          <w:szCs w:val="24"/>
        </w:rPr>
        <w:t xml:space="preserve"> Finally, the Court confirmed that sanctions in discrimination cases must be effective, proportionate and dissuasive even where there is no identifiable victim.</w:t>
      </w:r>
    </w:p>
    <w:p w14:paraId="1B9F6D80" w14:textId="77777777" w:rsidR="00377629" w:rsidRPr="00683B48" w:rsidRDefault="00377629">
      <w:pPr>
        <w:spacing w:after="0" w:line="240" w:lineRule="auto"/>
        <w:rPr>
          <w:rFonts w:cs="Arial"/>
          <w:b/>
          <w:sz w:val="24"/>
          <w:szCs w:val="24"/>
        </w:rPr>
      </w:pPr>
      <w:r w:rsidRPr="00683B48">
        <w:rPr>
          <w:rFonts w:cs="Arial"/>
          <w:b/>
          <w:sz w:val="24"/>
          <w:szCs w:val="24"/>
        </w:rPr>
        <w:br w:type="page"/>
      </w:r>
    </w:p>
    <w:p w14:paraId="4E3875E1" w14:textId="77777777" w:rsidR="00647EA0" w:rsidRPr="00D27A66" w:rsidRDefault="00D27A66" w:rsidP="00FD78A5">
      <w:pPr>
        <w:jc w:val="both"/>
        <w:rPr>
          <w:rFonts w:cs="Arial"/>
          <w:b/>
          <w:sz w:val="36"/>
          <w:szCs w:val="36"/>
        </w:rPr>
      </w:pPr>
      <w:bookmarkStart w:id="5" w:name="chapter4"/>
      <w:r>
        <w:rPr>
          <w:rFonts w:cs="Arial"/>
          <w:b/>
          <w:sz w:val="36"/>
          <w:szCs w:val="36"/>
        </w:rPr>
        <w:lastRenderedPageBreak/>
        <w:t>CHAPTER 4:</w:t>
      </w:r>
      <w:r w:rsidR="00647EA0" w:rsidRPr="00D27A66">
        <w:rPr>
          <w:rFonts w:cs="Arial"/>
          <w:b/>
          <w:sz w:val="36"/>
          <w:szCs w:val="36"/>
        </w:rPr>
        <w:t xml:space="preserve"> RISKS OF STRATEGIC LITIGATION</w:t>
      </w:r>
    </w:p>
    <w:bookmarkEnd w:id="5"/>
    <w:p w14:paraId="670F2349" w14:textId="77777777" w:rsidR="00647EA0" w:rsidRPr="00683B48" w:rsidRDefault="00647EA0" w:rsidP="00FD78A5">
      <w:pPr>
        <w:jc w:val="both"/>
        <w:rPr>
          <w:rFonts w:cs="Arial"/>
          <w:sz w:val="24"/>
          <w:szCs w:val="24"/>
        </w:rPr>
      </w:pPr>
      <w:r w:rsidRPr="00683B48">
        <w:rPr>
          <w:rFonts w:cs="Arial"/>
          <w:sz w:val="24"/>
          <w:szCs w:val="24"/>
        </w:rPr>
        <w:t xml:space="preserve">All litigation carries risks, particularly </w:t>
      </w:r>
      <w:r w:rsidR="00026913" w:rsidRPr="00683B48">
        <w:rPr>
          <w:rFonts w:cs="Arial"/>
          <w:sz w:val="24"/>
          <w:szCs w:val="24"/>
        </w:rPr>
        <w:t xml:space="preserve">in the </w:t>
      </w:r>
      <w:r w:rsidRPr="00683B48">
        <w:rPr>
          <w:rFonts w:cs="Arial"/>
          <w:sz w:val="24"/>
          <w:szCs w:val="24"/>
        </w:rPr>
        <w:t>first instance, but strategic cases involv</w:t>
      </w:r>
      <w:r w:rsidR="00026913" w:rsidRPr="00683B48">
        <w:rPr>
          <w:rFonts w:cs="Arial"/>
          <w:sz w:val="24"/>
          <w:szCs w:val="24"/>
        </w:rPr>
        <w:t>ing</w:t>
      </w:r>
      <w:r w:rsidRPr="00683B48">
        <w:rPr>
          <w:rFonts w:cs="Arial"/>
          <w:sz w:val="24"/>
          <w:szCs w:val="24"/>
        </w:rPr>
        <w:t xml:space="preserve"> important points of principle often carry additional risks. </w:t>
      </w:r>
      <w:r w:rsidR="00731171" w:rsidRPr="00683B48">
        <w:rPr>
          <w:rFonts w:cs="Arial"/>
          <w:sz w:val="24"/>
          <w:szCs w:val="24"/>
        </w:rPr>
        <w:t xml:space="preserve">In some exceptional cases, there may be strategic value in rulings even where the case is lost.  </w:t>
      </w:r>
      <w:r w:rsidRPr="00683B48">
        <w:rPr>
          <w:rFonts w:cs="Arial"/>
          <w:sz w:val="24"/>
          <w:szCs w:val="24"/>
        </w:rPr>
        <w:t>Whil</w:t>
      </w:r>
      <w:r w:rsidR="00026913" w:rsidRPr="00683B48">
        <w:rPr>
          <w:rFonts w:cs="Arial"/>
          <w:sz w:val="24"/>
          <w:szCs w:val="24"/>
        </w:rPr>
        <w:t>e</w:t>
      </w:r>
      <w:r w:rsidRPr="00683B48">
        <w:rPr>
          <w:rFonts w:cs="Arial"/>
          <w:sz w:val="24"/>
          <w:szCs w:val="24"/>
        </w:rPr>
        <w:t xml:space="preserve"> considering whether a particular case </w:t>
      </w:r>
      <w:r w:rsidR="00026913" w:rsidRPr="00683B48">
        <w:rPr>
          <w:rFonts w:cs="Arial"/>
          <w:sz w:val="24"/>
          <w:szCs w:val="24"/>
        </w:rPr>
        <w:t>is</w:t>
      </w:r>
      <w:r w:rsidRPr="00683B48">
        <w:rPr>
          <w:rFonts w:cs="Arial"/>
          <w:sz w:val="24"/>
          <w:szCs w:val="24"/>
        </w:rPr>
        <w:t xml:space="preserve"> suitable</w:t>
      </w:r>
      <w:r w:rsidR="00F407F5" w:rsidRPr="00683B48">
        <w:rPr>
          <w:rFonts w:cs="Arial"/>
          <w:sz w:val="24"/>
          <w:szCs w:val="24"/>
        </w:rPr>
        <w:t xml:space="preserve"> to</w:t>
      </w:r>
      <w:r w:rsidRPr="00683B48">
        <w:rPr>
          <w:rFonts w:cs="Arial"/>
          <w:sz w:val="24"/>
          <w:szCs w:val="24"/>
        </w:rPr>
        <w:t xml:space="preserve"> further strategic </w:t>
      </w:r>
      <w:r w:rsidR="00026913" w:rsidRPr="00683B48">
        <w:rPr>
          <w:rFonts w:cs="Arial"/>
          <w:sz w:val="24"/>
          <w:szCs w:val="24"/>
        </w:rPr>
        <w:t>objectives</w:t>
      </w:r>
      <w:r w:rsidRPr="00683B48">
        <w:rPr>
          <w:rFonts w:cs="Arial"/>
          <w:sz w:val="24"/>
          <w:szCs w:val="24"/>
        </w:rPr>
        <w:t xml:space="preserve">, it is helpful to identify possible </w:t>
      </w:r>
      <w:r w:rsidR="00026913" w:rsidRPr="00683B48">
        <w:rPr>
          <w:rFonts w:cs="Arial"/>
          <w:sz w:val="24"/>
          <w:szCs w:val="24"/>
        </w:rPr>
        <w:t>risks</w:t>
      </w:r>
      <w:r w:rsidRPr="00683B48">
        <w:rPr>
          <w:rFonts w:cs="Arial"/>
          <w:sz w:val="24"/>
          <w:szCs w:val="24"/>
        </w:rPr>
        <w:t xml:space="preserve"> and </w:t>
      </w:r>
      <w:r w:rsidR="00026913" w:rsidRPr="00683B48">
        <w:rPr>
          <w:rFonts w:cs="Arial"/>
          <w:sz w:val="24"/>
          <w:szCs w:val="24"/>
        </w:rPr>
        <w:t xml:space="preserve">make </w:t>
      </w:r>
      <w:r w:rsidRPr="00683B48">
        <w:rPr>
          <w:rFonts w:cs="Arial"/>
          <w:sz w:val="24"/>
          <w:szCs w:val="24"/>
        </w:rPr>
        <w:t xml:space="preserve">contingency plans to </w:t>
      </w:r>
      <w:r w:rsidR="00026913" w:rsidRPr="00683B48">
        <w:rPr>
          <w:rFonts w:cs="Arial"/>
          <w:sz w:val="24"/>
          <w:szCs w:val="24"/>
        </w:rPr>
        <w:t>mitigate them</w:t>
      </w:r>
      <w:r w:rsidRPr="00683B48">
        <w:rPr>
          <w:rFonts w:cs="Arial"/>
          <w:sz w:val="24"/>
          <w:szCs w:val="24"/>
        </w:rPr>
        <w:t xml:space="preserve">. </w:t>
      </w:r>
      <w:r w:rsidR="00731171" w:rsidRPr="00683B48">
        <w:rPr>
          <w:rFonts w:cs="Arial"/>
          <w:sz w:val="24"/>
          <w:szCs w:val="24"/>
        </w:rPr>
        <w:t>Below</w:t>
      </w:r>
      <w:r w:rsidR="00863636" w:rsidRPr="00683B48">
        <w:rPr>
          <w:rFonts w:cs="Arial"/>
          <w:sz w:val="24"/>
          <w:szCs w:val="24"/>
        </w:rPr>
        <w:t>,</w:t>
      </w:r>
      <w:r w:rsidR="00731171" w:rsidRPr="00683B48">
        <w:rPr>
          <w:rFonts w:cs="Arial"/>
          <w:sz w:val="24"/>
          <w:szCs w:val="24"/>
        </w:rPr>
        <w:t xml:space="preserve"> a non-exhaustive list of such possible risks</w:t>
      </w:r>
      <w:r w:rsidR="00863636" w:rsidRPr="00683B48">
        <w:rPr>
          <w:rFonts w:cs="Arial"/>
          <w:sz w:val="24"/>
          <w:szCs w:val="24"/>
        </w:rPr>
        <w:t xml:space="preserve"> and related questions</w:t>
      </w:r>
      <w:r w:rsidR="00731171" w:rsidRPr="00683B48">
        <w:rPr>
          <w:rFonts w:cs="Arial"/>
          <w:sz w:val="24"/>
          <w:szCs w:val="24"/>
        </w:rPr>
        <w:t xml:space="preserve"> is set out.</w:t>
      </w:r>
    </w:p>
    <w:p w14:paraId="4AC98C99" w14:textId="77777777" w:rsidR="00647EA0" w:rsidRPr="00683B48" w:rsidRDefault="00647EA0" w:rsidP="00FD78A5">
      <w:pPr>
        <w:pStyle w:val="ListParagraph"/>
        <w:numPr>
          <w:ilvl w:val="0"/>
          <w:numId w:val="11"/>
        </w:numPr>
        <w:jc w:val="both"/>
        <w:rPr>
          <w:rFonts w:cs="Arial"/>
          <w:sz w:val="24"/>
          <w:szCs w:val="24"/>
        </w:rPr>
      </w:pPr>
      <w:r w:rsidRPr="00683B48">
        <w:rPr>
          <w:rFonts w:cs="Arial"/>
          <w:b/>
          <w:sz w:val="24"/>
          <w:szCs w:val="24"/>
        </w:rPr>
        <w:t xml:space="preserve">Not achieving the </w:t>
      </w:r>
      <w:r w:rsidR="00731171" w:rsidRPr="00683B48">
        <w:rPr>
          <w:rFonts w:cs="Arial"/>
          <w:b/>
          <w:sz w:val="24"/>
          <w:szCs w:val="24"/>
        </w:rPr>
        <w:t>objective</w:t>
      </w:r>
      <w:r w:rsidR="00151887" w:rsidRPr="00683B48">
        <w:rPr>
          <w:rFonts w:cs="Arial"/>
          <w:b/>
          <w:sz w:val="24"/>
          <w:szCs w:val="24"/>
        </w:rPr>
        <w:t xml:space="preserve"> sought</w:t>
      </w:r>
      <w:r w:rsidRPr="00683B48">
        <w:rPr>
          <w:rFonts w:cs="Arial"/>
          <w:b/>
          <w:sz w:val="24"/>
          <w:szCs w:val="24"/>
        </w:rPr>
        <w:t>:</w:t>
      </w:r>
      <w:r w:rsidRPr="00683B48">
        <w:rPr>
          <w:rFonts w:cs="Arial"/>
          <w:sz w:val="24"/>
          <w:szCs w:val="24"/>
        </w:rPr>
        <w:t xml:space="preserve"> To what extent will the case fulfil the strategic </w:t>
      </w:r>
      <w:r w:rsidR="00863636" w:rsidRPr="00683B48">
        <w:rPr>
          <w:rFonts w:cs="Arial"/>
          <w:sz w:val="24"/>
          <w:szCs w:val="24"/>
        </w:rPr>
        <w:t xml:space="preserve">objective </w:t>
      </w:r>
      <w:r w:rsidRPr="00683B48">
        <w:rPr>
          <w:rFonts w:cs="Arial"/>
          <w:sz w:val="24"/>
          <w:szCs w:val="24"/>
        </w:rPr>
        <w:t xml:space="preserve">identified? How can </w:t>
      </w:r>
      <w:r w:rsidR="008E6BD3" w:rsidRPr="00683B48">
        <w:rPr>
          <w:rFonts w:cs="Arial"/>
          <w:sz w:val="24"/>
          <w:szCs w:val="24"/>
        </w:rPr>
        <w:t>it be</w:t>
      </w:r>
      <w:r w:rsidRPr="00683B48">
        <w:rPr>
          <w:rFonts w:cs="Arial"/>
          <w:sz w:val="24"/>
          <w:szCs w:val="24"/>
        </w:rPr>
        <w:t xml:space="preserve"> ensure</w:t>
      </w:r>
      <w:r w:rsidR="008E6BD3" w:rsidRPr="00683B48">
        <w:rPr>
          <w:rFonts w:cs="Arial"/>
          <w:sz w:val="24"/>
          <w:szCs w:val="24"/>
        </w:rPr>
        <w:t>d</w:t>
      </w:r>
      <w:r w:rsidRPr="00683B48">
        <w:rPr>
          <w:rFonts w:cs="Arial"/>
          <w:sz w:val="24"/>
          <w:szCs w:val="24"/>
        </w:rPr>
        <w:t xml:space="preserve"> </w:t>
      </w:r>
      <w:r w:rsidR="00863636" w:rsidRPr="00683B48">
        <w:rPr>
          <w:rFonts w:cs="Arial"/>
          <w:sz w:val="24"/>
          <w:szCs w:val="24"/>
        </w:rPr>
        <w:t>that the case</w:t>
      </w:r>
      <w:r w:rsidRPr="00683B48">
        <w:rPr>
          <w:rFonts w:cs="Arial"/>
          <w:sz w:val="24"/>
          <w:szCs w:val="24"/>
        </w:rPr>
        <w:t xml:space="preserve"> </w:t>
      </w:r>
      <w:r w:rsidR="00863636" w:rsidRPr="00683B48">
        <w:rPr>
          <w:rFonts w:cs="Arial"/>
          <w:sz w:val="24"/>
          <w:szCs w:val="24"/>
        </w:rPr>
        <w:t xml:space="preserve">will receive </w:t>
      </w:r>
      <w:r w:rsidRPr="00683B48">
        <w:rPr>
          <w:rFonts w:cs="Arial"/>
          <w:sz w:val="24"/>
          <w:szCs w:val="24"/>
        </w:rPr>
        <w:t>wide</w:t>
      </w:r>
      <w:r w:rsidR="00863636" w:rsidRPr="00683B48">
        <w:rPr>
          <w:rFonts w:cs="Arial"/>
          <w:sz w:val="24"/>
          <w:szCs w:val="24"/>
        </w:rPr>
        <w:t>spread</w:t>
      </w:r>
      <w:r w:rsidRPr="00683B48">
        <w:rPr>
          <w:rFonts w:cs="Arial"/>
          <w:sz w:val="24"/>
          <w:szCs w:val="24"/>
        </w:rPr>
        <w:t xml:space="preserve"> publicity and impact? Are the resources needed proportionate to the strategic </w:t>
      </w:r>
      <w:r w:rsidR="00863636" w:rsidRPr="00683B48">
        <w:rPr>
          <w:rFonts w:cs="Arial"/>
          <w:sz w:val="24"/>
          <w:szCs w:val="24"/>
        </w:rPr>
        <w:t>objective sought</w:t>
      </w:r>
      <w:r w:rsidRPr="00683B48">
        <w:rPr>
          <w:rFonts w:cs="Arial"/>
          <w:sz w:val="24"/>
          <w:szCs w:val="24"/>
        </w:rPr>
        <w:t xml:space="preserve">? If not, valuable resources could be </w:t>
      </w:r>
      <w:r w:rsidR="00863636" w:rsidRPr="00683B48">
        <w:rPr>
          <w:rFonts w:cs="Arial"/>
          <w:sz w:val="24"/>
          <w:szCs w:val="24"/>
        </w:rPr>
        <w:t xml:space="preserve">lost </w:t>
      </w:r>
      <w:r w:rsidRPr="00683B48">
        <w:rPr>
          <w:rFonts w:cs="Arial"/>
          <w:sz w:val="24"/>
          <w:szCs w:val="24"/>
        </w:rPr>
        <w:t xml:space="preserve">and the </w:t>
      </w:r>
      <w:r w:rsidR="00863636" w:rsidRPr="00683B48">
        <w:rPr>
          <w:rFonts w:cs="Arial"/>
          <w:sz w:val="24"/>
          <w:szCs w:val="24"/>
        </w:rPr>
        <w:t xml:space="preserve">objective ultimately not </w:t>
      </w:r>
      <w:r w:rsidRPr="00683B48">
        <w:rPr>
          <w:rFonts w:cs="Arial"/>
          <w:sz w:val="24"/>
          <w:szCs w:val="24"/>
        </w:rPr>
        <w:t xml:space="preserve">achieved at the end of the process. </w:t>
      </w:r>
    </w:p>
    <w:p w14:paraId="3123A4B2" w14:textId="77777777" w:rsidR="00647EA0" w:rsidRPr="00683B48" w:rsidRDefault="00647EA0" w:rsidP="00FD78A5">
      <w:pPr>
        <w:pStyle w:val="ListParagraph"/>
        <w:numPr>
          <w:ilvl w:val="0"/>
          <w:numId w:val="11"/>
        </w:numPr>
        <w:jc w:val="both"/>
        <w:rPr>
          <w:rFonts w:cs="Arial"/>
          <w:sz w:val="24"/>
          <w:szCs w:val="24"/>
        </w:rPr>
      </w:pPr>
      <w:r w:rsidRPr="00683B48">
        <w:rPr>
          <w:rFonts w:cs="Arial"/>
          <w:b/>
          <w:sz w:val="24"/>
          <w:szCs w:val="24"/>
        </w:rPr>
        <w:t xml:space="preserve">Negative effects of losing the case on the group </w:t>
      </w:r>
      <w:r w:rsidR="00863636" w:rsidRPr="00683B48">
        <w:rPr>
          <w:rFonts w:cs="Arial"/>
          <w:b/>
          <w:sz w:val="24"/>
          <w:szCs w:val="24"/>
        </w:rPr>
        <w:t xml:space="preserve">which </w:t>
      </w:r>
      <w:r w:rsidRPr="00683B48">
        <w:rPr>
          <w:rFonts w:cs="Arial"/>
          <w:b/>
          <w:sz w:val="24"/>
          <w:szCs w:val="24"/>
        </w:rPr>
        <w:t>the litigation is intended to help:</w:t>
      </w:r>
      <w:r w:rsidRPr="00683B48">
        <w:rPr>
          <w:rFonts w:cs="Arial"/>
          <w:sz w:val="24"/>
          <w:szCs w:val="24"/>
        </w:rPr>
        <w:t xml:space="preserve"> If the case </w:t>
      </w:r>
      <w:r w:rsidR="00863636" w:rsidRPr="00683B48">
        <w:rPr>
          <w:rFonts w:cs="Arial"/>
          <w:sz w:val="24"/>
          <w:szCs w:val="24"/>
        </w:rPr>
        <w:t>is lost</w:t>
      </w:r>
      <w:r w:rsidRPr="00683B48">
        <w:rPr>
          <w:rFonts w:cs="Arial"/>
          <w:sz w:val="24"/>
          <w:szCs w:val="24"/>
        </w:rPr>
        <w:t>, what impact will this have on those affected? Will losing set a bad precedent? If losing would set a bad precedent</w:t>
      </w:r>
      <w:r w:rsidR="00EF60C1" w:rsidRPr="00683B48">
        <w:rPr>
          <w:rFonts w:cs="Arial"/>
          <w:sz w:val="24"/>
          <w:szCs w:val="24"/>
        </w:rPr>
        <w:t>,</w:t>
      </w:r>
      <w:r w:rsidRPr="00683B48">
        <w:rPr>
          <w:rFonts w:cs="Arial"/>
          <w:sz w:val="24"/>
          <w:szCs w:val="24"/>
        </w:rPr>
        <w:t xml:space="preserve"> particular caution is </w:t>
      </w:r>
      <w:r w:rsidR="00EF60C1" w:rsidRPr="00683B48">
        <w:rPr>
          <w:rFonts w:cs="Arial"/>
          <w:sz w:val="24"/>
          <w:szCs w:val="24"/>
        </w:rPr>
        <w:t xml:space="preserve">required prior to initiating </w:t>
      </w:r>
      <w:r w:rsidRPr="00683B48">
        <w:rPr>
          <w:rFonts w:cs="Arial"/>
          <w:sz w:val="24"/>
          <w:szCs w:val="24"/>
        </w:rPr>
        <w:t xml:space="preserve">litigation. </w:t>
      </w:r>
      <w:r w:rsidR="00EF60C1" w:rsidRPr="00683B48">
        <w:rPr>
          <w:rFonts w:cs="Arial"/>
          <w:sz w:val="24"/>
          <w:szCs w:val="24"/>
        </w:rPr>
        <w:t>Are alternative methods available that entail less risk?</w:t>
      </w:r>
    </w:p>
    <w:p w14:paraId="3F7215B5" w14:textId="77777777" w:rsidR="00647EA0" w:rsidRPr="00683B48" w:rsidRDefault="00647EA0" w:rsidP="00FD78A5">
      <w:pPr>
        <w:pStyle w:val="ListParagraph"/>
        <w:numPr>
          <w:ilvl w:val="0"/>
          <w:numId w:val="11"/>
        </w:numPr>
        <w:jc w:val="both"/>
        <w:rPr>
          <w:rFonts w:cs="Arial"/>
          <w:sz w:val="24"/>
          <w:szCs w:val="24"/>
        </w:rPr>
      </w:pPr>
      <w:r w:rsidRPr="00683B48">
        <w:rPr>
          <w:rFonts w:cs="Arial"/>
          <w:b/>
          <w:sz w:val="24"/>
          <w:szCs w:val="24"/>
        </w:rPr>
        <w:t>Costs:</w:t>
      </w:r>
      <w:r w:rsidRPr="00683B48">
        <w:rPr>
          <w:rFonts w:cs="Arial"/>
          <w:sz w:val="24"/>
          <w:szCs w:val="24"/>
        </w:rPr>
        <w:t xml:space="preserve"> What costs</w:t>
      </w:r>
      <w:r w:rsidR="000539EC" w:rsidRPr="00683B48">
        <w:rPr>
          <w:rFonts w:cs="Arial"/>
          <w:sz w:val="24"/>
          <w:szCs w:val="24"/>
        </w:rPr>
        <w:t xml:space="preserve"> can be expected</w:t>
      </w:r>
      <w:r w:rsidRPr="00683B48">
        <w:rPr>
          <w:rFonts w:cs="Arial"/>
          <w:sz w:val="24"/>
          <w:szCs w:val="24"/>
        </w:rPr>
        <w:t xml:space="preserve"> if </w:t>
      </w:r>
      <w:r w:rsidR="000539EC" w:rsidRPr="00683B48">
        <w:rPr>
          <w:rFonts w:cs="Arial"/>
          <w:sz w:val="24"/>
          <w:szCs w:val="24"/>
        </w:rPr>
        <w:t>the case is lost</w:t>
      </w:r>
      <w:r w:rsidRPr="00683B48">
        <w:rPr>
          <w:rFonts w:cs="Arial"/>
          <w:sz w:val="24"/>
          <w:szCs w:val="24"/>
        </w:rPr>
        <w:t xml:space="preserve">? What is the likelihood of recovering costs if </w:t>
      </w:r>
      <w:r w:rsidR="000539EC" w:rsidRPr="00683B48">
        <w:rPr>
          <w:rFonts w:cs="Arial"/>
          <w:sz w:val="24"/>
          <w:szCs w:val="24"/>
        </w:rPr>
        <w:t>the case is won</w:t>
      </w:r>
      <w:r w:rsidRPr="00683B48">
        <w:rPr>
          <w:rFonts w:cs="Arial"/>
          <w:sz w:val="24"/>
          <w:szCs w:val="24"/>
        </w:rPr>
        <w:t xml:space="preserve">? What impact will this have on your organisation? Can any of these risks be overcome by working in partnership with other organisations, for example </w:t>
      </w:r>
      <w:r w:rsidR="000539EC" w:rsidRPr="00683B48">
        <w:rPr>
          <w:rFonts w:cs="Arial"/>
          <w:sz w:val="24"/>
          <w:szCs w:val="24"/>
        </w:rPr>
        <w:t xml:space="preserve">through </w:t>
      </w:r>
      <w:r w:rsidRPr="00683B48">
        <w:rPr>
          <w:rFonts w:cs="Arial"/>
          <w:sz w:val="24"/>
          <w:szCs w:val="24"/>
        </w:rPr>
        <w:t xml:space="preserve">a joint intervention? </w:t>
      </w:r>
    </w:p>
    <w:p w14:paraId="16B7A0D1" w14:textId="77777777" w:rsidR="00647EA0" w:rsidRPr="00683B48" w:rsidRDefault="00647EA0" w:rsidP="00FD78A5">
      <w:pPr>
        <w:pStyle w:val="ListParagraph"/>
        <w:numPr>
          <w:ilvl w:val="0"/>
          <w:numId w:val="11"/>
        </w:numPr>
        <w:jc w:val="both"/>
        <w:rPr>
          <w:rFonts w:cs="Arial"/>
          <w:sz w:val="24"/>
          <w:szCs w:val="24"/>
        </w:rPr>
      </w:pPr>
      <w:r w:rsidRPr="00683B48">
        <w:rPr>
          <w:rFonts w:cs="Arial"/>
          <w:b/>
          <w:sz w:val="24"/>
          <w:szCs w:val="24"/>
        </w:rPr>
        <w:t>Political backlash:</w:t>
      </w:r>
      <w:r w:rsidRPr="00683B48">
        <w:rPr>
          <w:rFonts w:cs="Arial"/>
          <w:sz w:val="24"/>
          <w:szCs w:val="24"/>
        </w:rPr>
        <w:t xml:space="preserve"> If the case is controversial there could be opposition to the social policy change </w:t>
      </w:r>
      <w:r w:rsidR="0084145F" w:rsidRPr="00683B48">
        <w:rPr>
          <w:rFonts w:cs="Arial"/>
          <w:sz w:val="24"/>
          <w:szCs w:val="24"/>
        </w:rPr>
        <w:t>sought</w:t>
      </w:r>
      <w:r w:rsidRPr="00683B48">
        <w:rPr>
          <w:rFonts w:cs="Arial"/>
          <w:sz w:val="24"/>
          <w:szCs w:val="24"/>
        </w:rPr>
        <w:t xml:space="preserve">. </w:t>
      </w:r>
      <w:r w:rsidR="00616B89" w:rsidRPr="00683B48">
        <w:rPr>
          <w:rFonts w:cs="Arial"/>
          <w:sz w:val="24"/>
          <w:szCs w:val="24"/>
        </w:rPr>
        <w:t xml:space="preserve">The legal proceedings </w:t>
      </w:r>
      <w:r w:rsidRPr="00683B48">
        <w:rPr>
          <w:rFonts w:cs="Arial"/>
          <w:sz w:val="24"/>
          <w:szCs w:val="24"/>
        </w:rPr>
        <w:t>could</w:t>
      </w:r>
      <w:r w:rsidR="00616B89" w:rsidRPr="00683B48">
        <w:rPr>
          <w:rFonts w:cs="Arial"/>
          <w:sz w:val="24"/>
          <w:szCs w:val="24"/>
        </w:rPr>
        <w:t xml:space="preserve"> then possibly</w:t>
      </w:r>
      <w:r w:rsidRPr="00683B48">
        <w:rPr>
          <w:rFonts w:cs="Arial"/>
          <w:sz w:val="24"/>
          <w:szCs w:val="24"/>
        </w:rPr>
        <w:t xml:space="preserve"> even strengthen </w:t>
      </w:r>
      <w:r w:rsidR="00616B89" w:rsidRPr="00683B48">
        <w:rPr>
          <w:rFonts w:cs="Arial"/>
          <w:sz w:val="24"/>
          <w:szCs w:val="24"/>
        </w:rPr>
        <w:t xml:space="preserve">the </w:t>
      </w:r>
      <w:r w:rsidRPr="00683B48">
        <w:rPr>
          <w:rFonts w:cs="Arial"/>
          <w:sz w:val="24"/>
          <w:szCs w:val="24"/>
        </w:rPr>
        <w:t xml:space="preserve">opposition to the strategic </w:t>
      </w:r>
      <w:r w:rsidR="00616B89" w:rsidRPr="00683B48">
        <w:rPr>
          <w:rFonts w:cs="Arial"/>
          <w:sz w:val="24"/>
          <w:szCs w:val="24"/>
        </w:rPr>
        <w:t>objective of changing social policy</w:t>
      </w:r>
      <w:r w:rsidRPr="00683B48">
        <w:rPr>
          <w:rFonts w:cs="Arial"/>
          <w:sz w:val="24"/>
          <w:szCs w:val="24"/>
        </w:rPr>
        <w:t xml:space="preserve">. </w:t>
      </w:r>
      <w:r w:rsidR="00616B89" w:rsidRPr="00683B48">
        <w:rPr>
          <w:rFonts w:cs="Arial"/>
          <w:sz w:val="24"/>
          <w:szCs w:val="24"/>
        </w:rPr>
        <w:t>Are alternative methods available that entail less risk, and is this the correct case to pursue given these risks?</w:t>
      </w:r>
    </w:p>
    <w:p w14:paraId="1DA12029" w14:textId="77777777" w:rsidR="00647EA0" w:rsidRPr="00683B48" w:rsidRDefault="00647EA0" w:rsidP="00FD78A5">
      <w:pPr>
        <w:pStyle w:val="ListParagraph"/>
        <w:numPr>
          <w:ilvl w:val="0"/>
          <w:numId w:val="11"/>
        </w:numPr>
        <w:jc w:val="both"/>
        <w:rPr>
          <w:rFonts w:cs="Arial"/>
          <w:sz w:val="24"/>
          <w:szCs w:val="24"/>
        </w:rPr>
      </w:pPr>
      <w:r w:rsidRPr="00683B48">
        <w:rPr>
          <w:rFonts w:cs="Arial"/>
          <w:b/>
          <w:sz w:val="24"/>
          <w:szCs w:val="24"/>
        </w:rPr>
        <w:t>Negative press:</w:t>
      </w:r>
      <w:r w:rsidRPr="00683B48">
        <w:rPr>
          <w:rFonts w:cs="Arial"/>
          <w:sz w:val="24"/>
          <w:szCs w:val="24"/>
        </w:rPr>
        <w:t xml:space="preserve"> Is there a risk of negative </w:t>
      </w:r>
      <w:r w:rsidR="00D23855" w:rsidRPr="00683B48">
        <w:rPr>
          <w:rFonts w:cs="Arial"/>
          <w:sz w:val="24"/>
          <w:szCs w:val="24"/>
        </w:rPr>
        <w:t>publicity</w:t>
      </w:r>
      <w:r w:rsidRPr="00683B48">
        <w:rPr>
          <w:rFonts w:cs="Arial"/>
          <w:sz w:val="24"/>
          <w:szCs w:val="24"/>
        </w:rPr>
        <w:t xml:space="preserve"> of the case? Could the </w:t>
      </w:r>
      <w:r w:rsidR="00874611" w:rsidRPr="00683B48">
        <w:rPr>
          <w:rFonts w:cs="Arial"/>
          <w:sz w:val="24"/>
          <w:szCs w:val="24"/>
        </w:rPr>
        <w:t xml:space="preserve">equality body </w:t>
      </w:r>
      <w:r w:rsidRPr="00683B48">
        <w:rPr>
          <w:rFonts w:cs="Arial"/>
          <w:sz w:val="24"/>
          <w:szCs w:val="24"/>
        </w:rPr>
        <w:t>be criticised for placing the</w:t>
      </w:r>
      <w:r w:rsidR="00D23855" w:rsidRPr="00683B48">
        <w:rPr>
          <w:rFonts w:cs="Arial"/>
          <w:sz w:val="24"/>
          <w:szCs w:val="24"/>
        </w:rPr>
        <w:t>ir strategic</w:t>
      </w:r>
      <w:r w:rsidRPr="00683B48">
        <w:rPr>
          <w:rFonts w:cs="Arial"/>
          <w:sz w:val="24"/>
          <w:szCs w:val="24"/>
        </w:rPr>
        <w:t xml:space="preserve"> </w:t>
      </w:r>
      <w:r w:rsidR="00D23855" w:rsidRPr="00683B48">
        <w:rPr>
          <w:rFonts w:cs="Arial"/>
          <w:sz w:val="24"/>
          <w:szCs w:val="24"/>
        </w:rPr>
        <w:t xml:space="preserve">objectives </w:t>
      </w:r>
      <w:r w:rsidRPr="00683B48">
        <w:rPr>
          <w:rFonts w:cs="Arial"/>
          <w:sz w:val="24"/>
          <w:szCs w:val="24"/>
        </w:rPr>
        <w:t xml:space="preserve">above the interests of the victim?  If so, how will </w:t>
      </w:r>
      <w:r w:rsidR="0084145F" w:rsidRPr="00683B48">
        <w:rPr>
          <w:rFonts w:cs="Arial"/>
          <w:sz w:val="24"/>
          <w:szCs w:val="24"/>
        </w:rPr>
        <w:t>this be managed</w:t>
      </w:r>
      <w:r w:rsidRPr="00683B48">
        <w:rPr>
          <w:rFonts w:cs="Arial"/>
          <w:sz w:val="24"/>
          <w:szCs w:val="24"/>
        </w:rPr>
        <w:t xml:space="preserve">? Could negative </w:t>
      </w:r>
      <w:r w:rsidR="00D23855" w:rsidRPr="00683B48">
        <w:rPr>
          <w:rFonts w:cs="Arial"/>
          <w:sz w:val="24"/>
          <w:szCs w:val="24"/>
        </w:rPr>
        <w:t>publicity</w:t>
      </w:r>
      <w:r w:rsidRPr="00683B48">
        <w:rPr>
          <w:rFonts w:cs="Arial"/>
          <w:sz w:val="24"/>
          <w:szCs w:val="24"/>
        </w:rPr>
        <w:t xml:space="preserve"> damage the campaign for the </w:t>
      </w:r>
      <w:r w:rsidR="00D23855" w:rsidRPr="00683B48">
        <w:rPr>
          <w:rFonts w:cs="Arial"/>
          <w:sz w:val="24"/>
          <w:szCs w:val="24"/>
        </w:rPr>
        <w:t xml:space="preserve">greater </w:t>
      </w:r>
      <w:r w:rsidRPr="00683B48">
        <w:rPr>
          <w:rFonts w:cs="Arial"/>
          <w:sz w:val="24"/>
          <w:szCs w:val="24"/>
        </w:rPr>
        <w:t xml:space="preserve">issue, or the reputation of the </w:t>
      </w:r>
      <w:r w:rsidR="00D23855" w:rsidRPr="00683B48">
        <w:rPr>
          <w:rFonts w:cs="Arial"/>
          <w:sz w:val="24"/>
          <w:szCs w:val="24"/>
        </w:rPr>
        <w:t>e</w:t>
      </w:r>
      <w:r w:rsidRPr="00683B48">
        <w:rPr>
          <w:rFonts w:cs="Arial"/>
          <w:sz w:val="24"/>
          <w:szCs w:val="24"/>
        </w:rPr>
        <w:t xml:space="preserve">quality </w:t>
      </w:r>
      <w:r w:rsidR="00D23855" w:rsidRPr="00683B48">
        <w:rPr>
          <w:rFonts w:cs="Arial"/>
          <w:sz w:val="24"/>
          <w:szCs w:val="24"/>
        </w:rPr>
        <w:t>b</w:t>
      </w:r>
      <w:r w:rsidRPr="00683B48">
        <w:rPr>
          <w:rFonts w:cs="Arial"/>
          <w:sz w:val="24"/>
          <w:szCs w:val="24"/>
        </w:rPr>
        <w:t xml:space="preserve">ody? What steps can </w:t>
      </w:r>
      <w:r w:rsidR="0084145F" w:rsidRPr="00683B48">
        <w:rPr>
          <w:rFonts w:cs="Arial"/>
          <w:sz w:val="24"/>
          <w:szCs w:val="24"/>
        </w:rPr>
        <w:t>be</w:t>
      </w:r>
      <w:r w:rsidRPr="00683B48">
        <w:rPr>
          <w:rFonts w:cs="Arial"/>
          <w:sz w:val="24"/>
          <w:szCs w:val="24"/>
        </w:rPr>
        <w:t xml:space="preserve"> take</w:t>
      </w:r>
      <w:r w:rsidR="0084145F" w:rsidRPr="00683B48">
        <w:rPr>
          <w:rFonts w:cs="Arial"/>
          <w:sz w:val="24"/>
          <w:szCs w:val="24"/>
        </w:rPr>
        <w:t>n</w:t>
      </w:r>
      <w:r w:rsidRPr="00683B48">
        <w:rPr>
          <w:rFonts w:cs="Arial"/>
          <w:sz w:val="24"/>
          <w:szCs w:val="24"/>
        </w:rPr>
        <w:t xml:space="preserve"> to mitigate this risk? For example</w:t>
      </w:r>
      <w:r w:rsidR="00D23855" w:rsidRPr="00683B48">
        <w:rPr>
          <w:rFonts w:cs="Arial"/>
          <w:sz w:val="24"/>
          <w:szCs w:val="24"/>
        </w:rPr>
        <w:t>,</w:t>
      </w:r>
      <w:r w:rsidRPr="00683B48">
        <w:rPr>
          <w:rFonts w:cs="Arial"/>
          <w:sz w:val="24"/>
          <w:szCs w:val="24"/>
        </w:rPr>
        <w:t xml:space="preserve"> preparing press briefings in advance which deal with any negative aspects of the case</w:t>
      </w:r>
      <w:r w:rsidR="00D23855" w:rsidRPr="00683B48">
        <w:rPr>
          <w:rFonts w:cs="Arial"/>
          <w:sz w:val="24"/>
          <w:szCs w:val="24"/>
        </w:rPr>
        <w:t>,</w:t>
      </w:r>
      <w:r w:rsidRPr="00683B48">
        <w:rPr>
          <w:rFonts w:cs="Arial"/>
          <w:sz w:val="24"/>
          <w:szCs w:val="24"/>
        </w:rPr>
        <w:t xml:space="preserve"> or sharing a press release with the other side in advance and giving them an opportunity to comment on it. </w:t>
      </w:r>
    </w:p>
    <w:p w14:paraId="495B7B24" w14:textId="77777777" w:rsidR="00647EA0" w:rsidRPr="00683B48" w:rsidRDefault="00647EA0" w:rsidP="00FD78A5">
      <w:pPr>
        <w:pStyle w:val="ListParagraph"/>
        <w:numPr>
          <w:ilvl w:val="0"/>
          <w:numId w:val="11"/>
        </w:numPr>
        <w:jc w:val="both"/>
        <w:rPr>
          <w:rFonts w:cs="Arial"/>
          <w:sz w:val="24"/>
          <w:szCs w:val="24"/>
        </w:rPr>
      </w:pPr>
      <w:r w:rsidRPr="00683B48">
        <w:rPr>
          <w:rFonts w:cs="Arial"/>
          <w:b/>
          <w:sz w:val="24"/>
          <w:szCs w:val="24"/>
        </w:rPr>
        <w:t>Conflicting rights:</w:t>
      </w:r>
      <w:r w:rsidRPr="00683B48">
        <w:rPr>
          <w:rFonts w:cs="Arial"/>
          <w:sz w:val="24"/>
          <w:szCs w:val="24"/>
        </w:rPr>
        <w:t xml:space="preserve"> Does the case involve a conflict of rights? Ensure that pleadings and press briefings are written in an appropriate tone and do not contain language that is likely to alienate one group or cause negative </w:t>
      </w:r>
      <w:r w:rsidR="00C817BB" w:rsidRPr="00683B48">
        <w:rPr>
          <w:rFonts w:cs="Arial"/>
          <w:sz w:val="24"/>
          <w:szCs w:val="24"/>
        </w:rPr>
        <w:t>publicity</w:t>
      </w:r>
      <w:r w:rsidRPr="00683B48">
        <w:rPr>
          <w:rFonts w:cs="Arial"/>
          <w:sz w:val="24"/>
          <w:szCs w:val="24"/>
        </w:rPr>
        <w:t xml:space="preserve">. Even if </w:t>
      </w:r>
      <w:r w:rsidR="00C817BB" w:rsidRPr="00683B48">
        <w:rPr>
          <w:rFonts w:cs="Arial"/>
          <w:sz w:val="24"/>
          <w:szCs w:val="24"/>
        </w:rPr>
        <w:t xml:space="preserve">such </w:t>
      </w:r>
      <w:r w:rsidRPr="00683B48">
        <w:rPr>
          <w:rFonts w:cs="Arial"/>
          <w:sz w:val="24"/>
          <w:szCs w:val="24"/>
        </w:rPr>
        <w:t xml:space="preserve">precautions are taken there </w:t>
      </w:r>
      <w:r w:rsidR="00D05F34" w:rsidRPr="00683B48">
        <w:rPr>
          <w:rFonts w:cs="Arial"/>
          <w:sz w:val="24"/>
          <w:szCs w:val="24"/>
        </w:rPr>
        <w:t xml:space="preserve">is </w:t>
      </w:r>
      <w:r w:rsidRPr="00683B48">
        <w:rPr>
          <w:rFonts w:cs="Arial"/>
          <w:sz w:val="24"/>
          <w:szCs w:val="24"/>
        </w:rPr>
        <w:t xml:space="preserve">always a risk of political backlash and negative </w:t>
      </w:r>
      <w:r w:rsidR="00D05F34" w:rsidRPr="00683B48">
        <w:rPr>
          <w:rFonts w:cs="Arial"/>
          <w:sz w:val="24"/>
          <w:szCs w:val="24"/>
        </w:rPr>
        <w:t>publicity in these cases</w:t>
      </w:r>
      <w:r w:rsidRPr="00683B48">
        <w:rPr>
          <w:rFonts w:cs="Arial"/>
          <w:sz w:val="24"/>
          <w:szCs w:val="24"/>
        </w:rPr>
        <w:t xml:space="preserve">, which can </w:t>
      </w:r>
      <w:r w:rsidR="00D05F34" w:rsidRPr="00683B48">
        <w:rPr>
          <w:rFonts w:cs="Arial"/>
          <w:sz w:val="24"/>
          <w:szCs w:val="24"/>
        </w:rPr>
        <w:t>counteract</w:t>
      </w:r>
      <w:r w:rsidRPr="00683B48">
        <w:rPr>
          <w:rFonts w:cs="Arial"/>
          <w:sz w:val="24"/>
          <w:szCs w:val="24"/>
        </w:rPr>
        <w:t xml:space="preserve"> the strategic </w:t>
      </w:r>
      <w:r w:rsidR="00D05F34" w:rsidRPr="00683B48">
        <w:rPr>
          <w:rFonts w:cs="Arial"/>
          <w:sz w:val="24"/>
          <w:szCs w:val="24"/>
        </w:rPr>
        <w:t>objective</w:t>
      </w:r>
      <w:r w:rsidRPr="00683B48">
        <w:rPr>
          <w:rFonts w:cs="Arial"/>
          <w:sz w:val="24"/>
          <w:szCs w:val="24"/>
        </w:rPr>
        <w:t>. Particular care is</w:t>
      </w:r>
      <w:r w:rsidR="00D05F34" w:rsidRPr="00683B48">
        <w:rPr>
          <w:rFonts w:cs="Arial"/>
          <w:sz w:val="24"/>
          <w:szCs w:val="24"/>
        </w:rPr>
        <w:t xml:space="preserve"> therefore</w:t>
      </w:r>
      <w:r w:rsidRPr="00683B48">
        <w:rPr>
          <w:rFonts w:cs="Arial"/>
          <w:sz w:val="24"/>
          <w:szCs w:val="24"/>
        </w:rPr>
        <w:t xml:space="preserve"> needed when dealing with conflict of interest cases. </w:t>
      </w:r>
    </w:p>
    <w:p w14:paraId="55900166" w14:textId="77777777" w:rsidR="00647EA0" w:rsidRPr="000D3860" w:rsidRDefault="00DA3192" w:rsidP="0084145F">
      <w:pPr>
        <w:pStyle w:val="ListParagraph"/>
        <w:numPr>
          <w:ilvl w:val="0"/>
          <w:numId w:val="11"/>
        </w:numPr>
        <w:jc w:val="both"/>
        <w:rPr>
          <w:rFonts w:cs="Arial"/>
          <w:b/>
          <w:sz w:val="24"/>
          <w:szCs w:val="24"/>
        </w:rPr>
      </w:pPr>
      <w:r w:rsidRPr="00683B48">
        <w:rPr>
          <w:rFonts w:cs="Arial"/>
          <w:b/>
          <w:sz w:val="24"/>
          <w:szCs w:val="24"/>
        </w:rPr>
        <w:lastRenderedPageBreak/>
        <w:t>Use of alternative dispute resolution</w:t>
      </w:r>
      <w:r w:rsidR="00647EA0" w:rsidRPr="00683B48">
        <w:rPr>
          <w:rFonts w:cs="Arial"/>
          <w:b/>
          <w:sz w:val="24"/>
          <w:szCs w:val="24"/>
        </w:rPr>
        <w:t>:</w:t>
      </w:r>
      <w:r w:rsidR="00647EA0" w:rsidRPr="00683B48">
        <w:rPr>
          <w:rFonts w:cs="Arial"/>
          <w:sz w:val="24"/>
          <w:szCs w:val="24"/>
        </w:rPr>
        <w:t xml:space="preserve"> </w:t>
      </w:r>
      <w:r w:rsidR="003D3CC0" w:rsidRPr="00683B48">
        <w:rPr>
          <w:rFonts w:cs="Arial"/>
          <w:sz w:val="24"/>
          <w:szCs w:val="24"/>
        </w:rPr>
        <w:t>W</w:t>
      </w:r>
      <w:r w:rsidR="00647EA0" w:rsidRPr="00683B48">
        <w:rPr>
          <w:rFonts w:cs="Arial"/>
          <w:sz w:val="24"/>
          <w:szCs w:val="24"/>
        </w:rPr>
        <w:t xml:space="preserve">ill the strategic </w:t>
      </w:r>
      <w:r w:rsidR="003D3CC0" w:rsidRPr="00683B48">
        <w:rPr>
          <w:rFonts w:cs="Arial"/>
          <w:sz w:val="24"/>
          <w:szCs w:val="24"/>
        </w:rPr>
        <w:t xml:space="preserve">objective </w:t>
      </w:r>
      <w:r w:rsidR="00647EA0" w:rsidRPr="00683B48">
        <w:rPr>
          <w:rFonts w:cs="Arial"/>
          <w:sz w:val="24"/>
          <w:szCs w:val="24"/>
        </w:rPr>
        <w:t xml:space="preserve">be achieved if the case </w:t>
      </w:r>
      <w:r w:rsidR="003D3CC0" w:rsidRPr="00683B48">
        <w:rPr>
          <w:rFonts w:cs="Arial"/>
          <w:sz w:val="24"/>
          <w:szCs w:val="24"/>
        </w:rPr>
        <w:t xml:space="preserve">is </w:t>
      </w:r>
      <w:r w:rsidR="00647EA0" w:rsidRPr="00683B48">
        <w:rPr>
          <w:rFonts w:cs="Arial"/>
          <w:sz w:val="24"/>
          <w:szCs w:val="24"/>
        </w:rPr>
        <w:t>settle</w:t>
      </w:r>
      <w:r w:rsidR="003D3CC0" w:rsidRPr="00683B48">
        <w:rPr>
          <w:rFonts w:cs="Arial"/>
          <w:sz w:val="24"/>
          <w:szCs w:val="24"/>
        </w:rPr>
        <w:t>d</w:t>
      </w:r>
      <w:r w:rsidR="00647EA0" w:rsidRPr="00683B48">
        <w:rPr>
          <w:rFonts w:cs="Arial"/>
          <w:sz w:val="24"/>
          <w:szCs w:val="24"/>
        </w:rPr>
        <w:t xml:space="preserve">?  If the case may </w:t>
      </w:r>
      <w:r w:rsidR="00891FE2" w:rsidRPr="00683B48">
        <w:rPr>
          <w:rFonts w:cs="Arial"/>
          <w:sz w:val="24"/>
          <w:szCs w:val="24"/>
        </w:rPr>
        <w:t>be resolved through settlement</w:t>
      </w:r>
      <w:r w:rsidR="00647EA0" w:rsidRPr="00683B48">
        <w:rPr>
          <w:rFonts w:cs="Arial"/>
          <w:sz w:val="24"/>
          <w:szCs w:val="24"/>
        </w:rPr>
        <w:t xml:space="preserve">, consider publicising the case at the outset in order to stimulate debate and </w:t>
      </w:r>
      <w:r w:rsidR="00891FE2" w:rsidRPr="00683B48">
        <w:rPr>
          <w:rFonts w:cs="Arial"/>
          <w:sz w:val="24"/>
          <w:szCs w:val="24"/>
        </w:rPr>
        <w:t xml:space="preserve">create </w:t>
      </w:r>
      <w:r w:rsidR="00647EA0" w:rsidRPr="00683B48">
        <w:rPr>
          <w:rFonts w:cs="Arial"/>
          <w:sz w:val="24"/>
          <w:szCs w:val="24"/>
        </w:rPr>
        <w:t xml:space="preserve">public support for the issue. Explore whether the </w:t>
      </w:r>
      <w:r w:rsidR="00891FE2" w:rsidRPr="00683B48">
        <w:rPr>
          <w:rFonts w:cs="Arial"/>
          <w:sz w:val="24"/>
          <w:szCs w:val="24"/>
        </w:rPr>
        <w:t xml:space="preserve">opposing party </w:t>
      </w:r>
      <w:r w:rsidR="00647EA0" w:rsidRPr="00683B48">
        <w:rPr>
          <w:rFonts w:cs="Arial"/>
          <w:sz w:val="24"/>
          <w:szCs w:val="24"/>
        </w:rPr>
        <w:t xml:space="preserve">is willing to agree to joint publicity as part of </w:t>
      </w:r>
      <w:r w:rsidR="00891FE2" w:rsidRPr="00683B48">
        <w:rPr>
          <w:rFonts w:cs="Arial"/>
          <w:sz w:val="24"/>
          <w:szCs w:val="24"/>
        </w:rPr>
        <w:t xml:space="preserve">the </w:t>
      </w:r>
      <w:r w:rsidR="00647EA0" w:rsidRPr="00683B48">
        <w:rPr>
          <w:rFonts w:cs="Arial"/>
          <w:sz w:val="24"/>
          <w:szCs w:val="24"/>
        </w:rPr>
        <w:t>settlement agreement.</w:t>
      </w:r>
    </w:p>
    <w:p w14:paraId="1092806C" w14:textId="77777777" w:rsidR="000D3860" w:rsidRPr="000D3860" w:rsidRDefault="000D3860" w:rsidP="000D3860">
      <w:pPr>
        <w:pStyle w:val="ListParagraph"/>
        <w:numPr>
          <w:ilvl w:val="0"/>
          <w:numId w:val="11"/>
        </w:numPr>
        <w:jc w:val="both"/>
        <w:rPr>
          <w:rFonts w:cs="Arial"/>
          <w:b/>
          <w:sz w:val="24"/>
          <w:szCs w:val="24"/>
        </w:rPr>
      </w:pPr>
      <w:r w:rsidRPr="000D3860">
        <w:rPr>
          <w:rFonts w:cs="Arial"/>
          <w:b/>
          <w:sz w:val="24"/>
          <w:szCs w:val="24"/>
        </w:rPr>
        <w:t xml:space="preserve">Lack or low awareness of legal professionals: </w:t>
      </w:r>
      <w:r w:rsidRPr="000D3860">
        <w:rPr>
          <w:rFonts w:cs="Arial"/>
          <w:sz w:val="24"/>
          <w:szCs w:val="24"/>
        </w:rPr>
        <w:t>In the absence of specialised equality tribunals, how far can the equality body count on</w:t>
      </w:r>
      <w:r>
        <w:rPr>
          <w:rFonts w:cs="Arial"/>
          <w:sz w:val="24"/>
          <w:szCs w:val="24"/>
        </w:rPr>
        <w:t xml:space="preserve"> the awareness of judges about the specific legal provisions in non-discrimination law, such as the shift of the burden of proof? If the complainants have their own lawyers, how far will these lawyers be aware of equal treatment legislation?</w:t>
      </w:r>
    </w:p>
    <w:p w14:paraId="5F5564F5" w14:textId="77777777" w:rsidR="000D3860" w:rsidRPr="000D3860" w:rsidRDefault="000D3860" w:rsidP="000D3860">
      <w:pPr>
        <w:pStyle w:val="ListParagraph"/>
        <w:numPr>
          <w:ilvl w:val="0"/>
          <w:numId w:val="11"/>
        </w:numPr>
        <w:jc w:val="both"/>
        <w:rPr>
          <w:rFonts w:cs="Arial"/>
          <w:b/>
          <w:sz w:val="24"/>
          <w:szCs w:val="24"/>
        </w:rPr>
      </w:pPr>
      <w:r>
        <w:rPr>
          <w:rFonts w:cs="Arial"/>
          <w:b/>
          <w:sz w:val="24"/>
          <w:szCs w:val="24"/>
        </w:rPr>
        <w:t xml:space="preserve">Disagreements between the equality body as intervener and the victim or the victim’s lawyer: </w:t>
      </w:r>
      <w:r>
        <w:rPr>
          <w:rFonts w:cs="Arial"/>
          <w:sz w:val="24"/>
          <w:szCs w:val="24"/>
        </w:rPr>
        <w:t>The victim and their lawyer might be more interested in winning the individual case or compensation for their client, while the equality body has a stake in the societal effects, going beyond the individual case. If this is clear from the outset, the equality body could decide not to support the case. However, if the situation changes later on, it might materialise in different legal strategies being pursued and/or one side willing to pull out of the case, not fulfilling their objectives any more.</w:t>
      </w:r>
    </w:p>
    <w:p w14:paraId="6A0EEDE8" w14:textId="77777777" w:rsidR="000D3860" w:rsidRPr="000D3860" w:rsidRDefault="000D3860" w:rsidP="000D3860">
      <w:pPr>
        <w:pStyle w:val="ListParagraph"/>
        <w:numPr>
          <w:ilvl w:val="0"/>
          <w:numId w:val="11"/>
        </w:numPr>
        <w:jc w:val="both"/>
        <w:rPr>
          <w:rFonts w:cs="Arial"/>
          <w:b/>
          <w:sz w:val="24"/>
          <w:szCs w:val="24"/>
        </w:rPr>
      </w:pPr>
      <w:r>
        <w:rPr>
          <w:rFonts w:cs="Arial"/>
          <w:b/>
          <w:sz w:val="24"/>
          <w:szCs w:val="24"/>
        </w:rPr>
        <w:t xml:space="preserve">External pressure: </w:t>
      </w:r>
      <w:r>
        <w:rPr>
          <w:rFonts w:cs="Arial"/>
          <w:sz w:val="24"/>
          <w:szCs w:val="24"/>
        </w:rPr>
        <w:t xml:space="preserve">As statutory public bodies, equality bodies have a </w:t>
      </w:r>
      <w:r w:rsidR="00815564">
        <w:rPr>
          <w:rFonts w:cs="Arial"/>
          <w:sz w:val="24"/>
          <w:szCs w:val="24"/>
        </w:rPr>
        <w:t>strong standing and their support to cases is requested by various actors, including victims themselves, but also NGOs. In high profile cases the equality body might find itself under immense pressure to support the case. While not doing so might risk harsh criticism towards the equality body, it remains important to stick to an objective assessment based on the published and transparent selection criteria.</w:t>
      </w:r>
    </w:p>
    <w:p w14:paraId="59C9D47E" w14:textId="63C7D130" w:rsidR="00F407F5" w:rsidRPr="00683B48" w:rsidRDefault="006F3139" w:rsidP="00FD78A5">
      <w:pPr>
        <w:jc w:val="both"/>
        <w:rPr>
          <w:rFonts w:cs="Arial"/>
          <w:sz w:val="24"/>
          <w:szCs w:val="24"/>
        </w:rPr>
      </w:pPr>
      <w:r>
        <w:rPr>
          <w:rFonts w:cs="Arial"/>
          <w:b/>
          <w:sz w:val="24"/>
          <w:szCs w:val="24"/>
        </w:rPr>
        <w:t>Case Study</w:t>
      </w:r>
      <w:r w:rsidR="00F407F5" w:rsidRPr="00683B48">
        <w:rPr>
          <w:rFonts w:cs="Arial"/>
          <w:b/>
          <w:sz w:val="24"/>
          <w:szCs w:val="24"/>
        </w:rPr>
        <w:t xml:space="preserve"> - </w:t>
      </w:r>
      <w:r w:rsidR="00647EA0" w:rsidRPr="00683B48">
        <w:rPr>
          <w:rFonts w:cs="Arial"/>
          <w:b/>
          <w:sz w:val="24"/>
          <w:szCs w:val="24"/>
        </w:rPr>
        <w:t xml:space="preserve">Example of </w:t>
      </w:r>
      <w:r w:rsidR="00026913" w:rsidRPr="00683B48">
        <w:rPr>
          <w:rFonts w:cs="Arial"/>
          <w:b/>
          <w:sz w:val="24"/>
          <w:szCs w:val="24"/>
        </w:rPr>
        <w:t>a C</w:t>
      </w:r>
      <w:r w:rsidR="00647EA0" w:rsidRPr="00683B48">
        <w:rPr>
          <w:rFonts w:cs="Arial"/>
          <w:b/>
          <w:sz w:val="24"/>
          <w:szCs w:val="24"/>
        </w:rPr>
        <w:t>ase</w:t>
      </w:r>
      <w:r w:rsidR="00026913" w:rsidRPr="00683B48">
        <w:rPr>
          <w:rFonts w:cs="Arial"/>
          <w:b/>
          <w:sz w:val="24"/>
          <w:szCs w:val="24"/>
        </w:rPr>
        <w:t xml:space="preserve"> Lost in Court</w:t>
      </w:r>
      <w:r w:rsidR="00647EA0" w:rsidRPr="00683B48">
        <w:rPr>
          <w:rFonts w:cs="Arial"/>
          <w:sz w:val="24"/>
          <w:szCs w:val="24"/>
        </w:rPr>
        <w:t xml:space="preserve"> </w:t>
      </w:r>
    </w:p>
    <w:p w14:paraId="2EE9BF3D" w14:textId="77777777" w:rsidR="00647EA0" w:rsidRPr="00683B48" w:rsidRDefault="00647EA0" w:rsidP="00FD78A5">
      <w:pPr>
        <w:jc w:val="both"/>
        <w:rPr>
          <w:rFonts w:cs="Arial"/>
          <w:b/>
          <w:sz w:val="24"/>
          <w:szCs w:val="24"/>
        </w:rPr>
      </w:pPr>
      <w:r w:rsidRPr="00683B48">
        <w:rPr>
          <w:rFonts w:cs="Arial"/>
          <w:b/>
          <w:sz w:val="24"/>
          <w:szCs w:val="24"/>
        </w:rPr>
        <w:t xml:space="preserve">Stott v Thomas Cook Tour Operators Limited </w:t>
      </w:r>
      <w:r w:rsidRPr="00F9649B">
        <w:rPr>
          <w:rFonts w:cs="Arial"/>
          <w:i/>
          <w:sz w:val="24"/>
          <w:szCs w:val="24"/>
        </w:rPr>
        <w:t>[2014 UKSC15]</w:t>
      </w:r>
    </w:p>
    <w:p w14:paraId="585A5C5A" w14:textId="77777777" w:rsidR="00647EA0" w:rsidRPr="00683B48" w:rsidRDefault="003D3CC0" w:rsidP="00FD78A5">
      <w:pPr>
        <w:jc w:val="both"/>
        <w:rPr>
          <w:rFonts w:cs="Arial"/>
          <w:sz w:val="24"/>
          <w:szCs w:val="24"/>
        </w:rPr>
      </w:pPr>
      <w:r w:rsidRPr="00683B48">
        <w:rPr>
          <w:rFonts w:cs="Arial"/>
          <w:sz w:val="24"/>
          <w:szCs w:val="24"/>
        </w:rPr>
        <w:t>Regulation 1107/2006/EC</w:t>
      </w:r>
      <w:r w:rsidRPr="00683B48" w:rsidDel="003D3CC0">
        <w:rPr>
          <w:rFonts w:cs="Arial"/>
          <w:sz w:val="24"/>
          <w:szCs w:val="24"/>
        </w:rPr>
        <w:t xml:space="preserve"> </w:t>
      </w:r>
      <w:r w:rsidR="00647EA0" w:rsidRPr="00683B48">
        <w:rPr>
          <w:rFonts w:cs="Arial"/>
          <w:sz w:val="24"/>
          <w:szCs w:val="24"/>
        </w:rPr>
        <w:t>concerns the rights of disabled passengers when travelling by air. Mr</w:t>
      </w:r>
      <w:r w:rsidR="00BA6CDA" w:rsidRPr="00683B48">
        <w:rPr>
          <w:rFonts w:cs="Arial"/>
          <w:sz w:val="24"/>
          <w:szCs w:val="24"/>
        </w:rPr>
        <w:t>.</w:t>
      </w:r>
      <w:r w:rsidR="00647EA0" w:rsidRPr="00683B48">
        <w:rPr>
          <w:rFonts w:cs="Arial"/>
          <w:sz w:val="24"/>
          <w:szCs w:val="24"/>
        </w:rPr>
        <w:t xml:space="preserve"> Stott successfully sued Thomas Cook when they breached his rights under these regulations during a flight from Greece to the UK, but the courts would not award damages. The Supreme Court ruled that Mr</w:t>
      </w:r>
      <w:r w:rsidR="00BA6CDA" w:rsidRPr="00683B48">
        <w:rPr>
          <w:rFonts w:cs="Arial"/>
          <w:sz w:val="24"/>
          <w:szCs w:val="24"/>
        </w:rPr>
        <w:t>.</w:t>
      </w:r>
      <w:r w:rsidR="00647EA0" w:rsidRPr="00683B48">
        <w:rPr>
          <w:rFonts w:cs="Arial"/>
          <w:sz w:val="24"/>
          <w:szCs w:val="24"/>
        </w:rPr>
        <w:t xml:space="preserve"> Stott could not be awarded damages for his successful claim under EC Regulations because the Montreal Convention, which deals with air passengers</w:t>
      </w:r>
      <w:r w:rsidR="00BA6CDA" w:rsidRPr="00683B48">
        <w:rPr>
          <w:rFonts w:cs="Arial"/>
          <w:sz w:val="24"/>
          <w:szCs w:val="24"/>
        </w:rPr>
        <w:t>’</w:t>
      </w:r>
      <w:r w:rsidR="00647EA0" w:rsidRPr="00683B48">
        <w:rPr>
          <w:rFonts w:cs="Arial"/>
          <w:sz w:val="24"/>
          <w:szCs w:val="24"/>
        </w:rPr>
        <w:t xml:space="preserve"> right to compensation, precludes compensation for discrimination and </w:t>
      </w:r>
      <w:r w:rsidR="00F407F5" w:rsidRPr="00683B48">
        <w:rPr>
          <w:rFonts w:cs="Arial"/>
          <w:sz w:val="24"/>
          <w:szCs w:val="24"/>
        </w:rPr>
        <w:t xml:space="preserve">the Convention </w:t>
      </w:r>
      <w:r w:rsidR="00BA6CDA" w:rsidRPr="00683B48">
        <w:rPr>
          <w:rFonts w:cs="Arial"/>
          <w:sz w:val="24"/>
          <w:szCs w:val="24"/>
        </w:rPr>
        <w:t xml:space="preserve">takes </w:t>
      </w:r>
      <w:r w:rsidR="00647EA0" w:rsidRPr="00683B48">
        <w:rPr>
          <w:rFonts w:cs="Arial"/>
          <w:sz w:val="24"/>
          <w:szCs w:val="24"/>
        </w:rPr>
        <w:t xml:space="preserve">precedence over </w:t>
      </w:r>
      <w:r w:rsidR="00D95A7E" w:rsidRPr="00683B48">
        <w:rPr>
          <w:rFonts w:cs="Arial"/>
          <w:sz w:val="24"/>
          <w:szCs w:val="24"/>
        </w:rPr>
        <w:t>EU</w:t>
      </w:r>
      <w:r w:rsidR="00647EA0" w:rsidRPr="00683B48">
        <w:rPr>
          <w:rFonts w:cs="Arial"/>
          <w:sz w:val="24"/>
          <w:szCs w:val="24"/>
        </w:rPr>
        <w:t xml:space="preserve"> Regulations. The Supreme Court was highly critical of Thomas Cook’s treatment of Mr</w:t>
      </w:r>
      <w:r w:rsidR="00BA6CDA" w:rsidRPr="00683B48">
        <w:rPr>
          <w:rFonts w:cs="Arial"/>
          <w:sz w:val="24"/>
          <w:szCs w:val="24"/>
        </w:rPr>
        <w:t>.</w:t>
      </w:r>
      <w:r w:rsidR="00647EA0" w:rsidRPr="00683B48">
        <w:rPr>
          <w:rFonts w:cs="Arial"/>
          <w:sz w:val="24"/>
          <w:szCs w:val="24"/>
        </w:rPr>
        <w:t xml:space="preserve"> Stott, but declined to make a reference to the ECJ. As a result, the issue could not be pursued any further </w:t>
      </w:r>
      <w:r w:rsidR="00BA6CDA" w:rsidRPr="00683B48">
        <w:rPr>
          <w:rFonts w:cs="Arial"/>
          <w:sz w:val="24"/>
          <w:szCs w:val="24"/>
        </w:rPr>
        <w:t xml:space="preserve">by means of </w:t>
      </w:r>
      <w:r w:rsidR="00647EA0" w:rsidRPr="00683B48">
        <w:rPr>
          <w:rFonts w:cs="Arial"/>
          <w:sz w:val="24"/>
          <w:szCs w:val="24"/>
        </w:rPr>
        <w:t xml:space="preserve">litigation and the strategic </w:t>
      </w:r>
      <w:r w:rsidR="00D95A7E" w:rsidRPr="00683B48">
        <w:rPr>
          <w:rFonts w:cs="Arial"/>
          <w:sz w:val="24"/>
          <w:szCs w:val="24"/>
        </w:rPr>
        <w:t>objective</w:t>
      </w:r>
      <w:r w:rsidR="00BA6CDA" w:rsidRPr="00683B48">
        <w:rPr>
          <w:rFonts w:cs="Arial"/>
          <w:sz w:val="24"/>
          <w:szCs w:val="24"/>
        </w:rPr>
        <w:t xml:space="preserve"> of compensation for rights infringement was </w:t>
      </w:r>
      <w:r w:rsidR="00647EA0" w:rsidRPr="00683B48">
        <w:rPr>
          <w:rFonts w:cs="Arial"/>
          <w:sz w:val="24"/>
          <w:szCs w:val="24"/>
        </w:rPr>
        <w:t xml:space="preserve">not met. </w:t>
      </w:r>
    </w:p>
    <w:p w14:paraId="1D95D6B1" w14:textId="77777777" w:rsidR="00647EA0" w:rsidRPr="00683B48" w:rsidRDefault="00647EA0" w:rsidP="00FD78A5">
      <w:pPr>
        <w:jc w:val="both"/>
        <w:rPr>
          <w:rFonts w:cs="Arial"/>
          <w:sz w:val="24"/>
          <w:szCs w:val="24"/>
        </w:rPr>
      </w:pPr>
      <w:r w:rsidRPr="00683B48">
        <w:rPr>
          <w:rFonts w:cs="Arial"/>
          <w:sz w:val="24"/>
          <w:szCs w:val="24"/>
        </w:rPr>
        <w:t xml:space="preserve">The Equality and Human Rights Commission (EHRC) </w:t>
      </w:r>
      <w:r w:rsidR="00BA6CDA" w:rsidRPr="00683B48">
        <w:rPr>
          <w:rFonts w:cs="Arial"/>
          <w:sz w:val="24"/>
          <w:szCs w:val="24"/>
        </w:rPr>
        <w:t>was aware of the</w:t>
      </w:r>
      <w:r w:rsidRPr="00683B48">
        <w:rPr>
          <w:rFonts w:cs="Arial"/>
          <w:sz w:val="24"/>
          <w:szCs w:val="24"/>
        </w:rPr>
        <w:t xml:space="preserve"> risk</w:t>
      </w:r>
      <w:r w:rsidR="00BA6CDA" w:rsidRPr="00683B48">
        <w:rPr>
          <w:rFonts w:cs="Arial"/>
          <w:sz w:val="24"/>
          <w:szCs w:val="24"/>
        </w:rPr>
        <w:t>s involved in this litigation</w:t>
      </w:r>
      <w:r w:rsidRPr="00683B48">
        <w:rPr>
          <w:rFonts w:cs="Arial"/>
          <w:sz w:val="24"/>
          <w:szCs w:val="24"/>
        </w:rPr>
        <w:t xml:space="preserve"> and anticipated </w:t>
      </w:r>
      <w:r w:rsidR="00BA6CDA" w:rsidRPr="00683B48">
        <w:rPr>
          <w:rFonts w:cs="Arial"/>
          <w:sz w:val="24"/>
          <w:szCs w:val="24"/>
        </w:rPr>
        <w:t xml:space="preserve">that </w:t>
      </w:r>
      <w:r w:rsidRPr="00683B48">
        <w:rPr>
          <w:rFonts w:cs="Arial"/>
          <w:sz w:val="24"/>
          <w:szCs w:val="24"/>
        </w:rPr>
        <w:t xml:space="preserve">substantial costs would be payable if </w:t>
      </w:r>
      <w:r w:rsidR="00BA6CDA" w:rsidRPr="00683B48">
        <w:rPr>
          <w:rFonts w:cs="Arial"/>
          <w:sz w:val="24"/>
          <w:szCs w:val="24"/>
        </w:rPr>
        <w:t xml:space="preserve">the case was </w:t>
      </w:r>
      <w:r w:rsidRPr="00683B48">
        <w:rPr>
          <w:rFonts w:cs="Arial"/>
          <w:sz w:val="24"/>
          <w:szCs w:val="24"/>
        </w:rPr>
        <w:t xml:space="preserve">lost. The EHRC </w:t>
      </w:r>
      <w:r w:rsidR="00BA6CDA" w:rsidRPr="00683B48">
        <w:rPr>
          <w:rFonts w:cs="Arial"/>
          <w:sz w:val="24"/>
          <w:szCs w:val="24"/>
        </w:rPr>
        <w:t xml:space="preserve">therefore </w:t>
      </w:r>
      <w:r w:rsidRPr="00683B48">
        <w:rPr>
          <w:rFonts w:cs="Arial"/>
          <w:sz w:val="24"/>
          <w:szCs w:val="24"/>
        </w:rPr>
        <w:t>made</w:t>
      </w:r>
      <w:r w:rsidR="00BA6CDA" w:rsidRPr="00683B48">
        <w:rPr>
          <w:rFonts w:cs="Arial"/>
          <w:sz w:val="24"/>
          <w:szCs w:val="24"/>
        </w:rPr>
        <w:t xml:space="preserve"> a</w:t>
      </w:r>
      <w:r w:rsidRPr="00683B48">
        <w:rPr>
          <w:rFonts w:cs="Arial"/>
          <w:sz w:val="24"/>
          <w:szCs w:val="24"/>
        </w:rPr>
        <w:t xml:space="preserve"> provision for this in advance of pursuing the appeal. At every </w:t>
      </w:r>
      <w:r w:rsidR="00BA6CDA" w:rsidRPr="00683B48">
        <w:rPr>
          <w:rFonts w:cs="Arial"/>
          <w:sz w:val="24"/>
          <w:szCs w:val="24"/>
        </w:rPr>
        <w:t xml:space="preserve">legal </w:t>
      </w:r>
      <w:r w:rsidR="00BA6CDA" w:rsidRPr="00683B48">
        <w:rPr>
          <w:rFonts w:cs="Arial"/>
          <w:sz w:val="24"/>
          <w:szCs w:val="24"/>
        </w:rPr>
        <w:lastRenderedPageBreak/>
        <w:t>instance</w:t>
      </w:r>
      <w:r w:rsidRPr="00683B48">
        <w:rPr>
          <w:rFonts w:cs="Arial"/>
          <w:sz w:val="24"/>
          <w:szCs w:val="24"/>
        </w:rPr>
        <w:t xml:space="preserve">, the case was scrutinised and reviewed at a high level in the organisation to ensure </w:t>
      </w:r>
      <w:r w:rsidR="00BA6CDA" w:rsidRPr="00683B48">
        <w:rPr>
          <w:rFonts w:cs="Arial"/>
          <w:sz w:val="24"/>
          <w:szCs w:val="24"/>
        </w:rPr>
        <w:t xml:space="preserve">that </w:t>
      </w:r>
      <w:r w:rsidRPr="00683B48">
        <w:rPr>
          <w:rFonts w:cs="Arial"/>
          <w:sz w:val="24"/>
          <w:szCs w:val="24"/>
        </w:rPr>
        <w:t xml:space="preserve">there was a plan in place to manage all risks, including </w:t>
      </w:r>
      <w:r w:rsidR="00BA6CDA" w:rsidRPr="00683B48">
        <w:rPr>
          <w:rFonts w:cs="Arial"/>
          <w:sz w:val="24"/>
          <w:szCs w:val="24"/>
        </w:rPr>
        <w:t xml:space="preserve">that </w:t>
      </w:r>
      <w:r w:rsidRPr="00683B48">
        <w:rPr>
          <w:rFonts w:cs="Arial"/>
          <w:sz w:val="24"/>
          <w:szCs w:val="24"/>
        </w:rPr>
        <w:t>the EHRC would receive criticism due to the costs</w:t>
      </w:r>
      <w:r w:rsidR="00854B02" w:rsidRPr="00683B48">
        <w:rPr>
          <w:rFonts w:cs="Arial"/>
          <w:sz w:val="24"/>
          <w:szCs w:val="24"/>
        </w:rPr>
        <w:t xml:space="preserve"> incurred</w:t>
      </w:r>
      <w:r w:rsidRPr="00683B48">
        <w:rPr>
          <w:rFonts w:cs="Arial"/>
          <w:sz w:val="24"/>
          <w:szCs w:val="24"/>
        </w:rPr>
        <w:t xml:space="preserve">. It was decided that publicity was likely to favour the victim, </w:t>
      </w:r>
      <w:r w:rsidR="00854B02" w:rsidRPr="00683B48">
        <w:rPr>
          <w:rFonts w:cs="Arial"/>
          <w:sz w:val="24"/>
          <w:szCs w:val="24"/>
        </w:rPr>
        <w:t>which also ended up being the case</w:t>
      </w:r>
      <w:r w:rsidRPr="00683B48">
        <w:rPr>
          <w:rFonts w:cs="Arial"/>
          <w:sz w:val="24"/>
          <w:szCs w:val="24"/>
        </w:rPr>
        <w:t xml:space="preserve">. Whilst the </w:t>
      </w:r>
      <w:r w:rsidR="00854B02" w:rsidRPr="00683B48">
        <w:rPr>
          <w:rFonts w:cs="Arial"/>
          <w:sz w:val="24"/>
          <w:szCs w:val="24"/>
        </w:rPr>
        <w:t xml:space="preserve">litigation </w:t>
      </w:r>
      <w:r w:rsidRPr="00683B48">
        <w:rPr>
          <w:rFonts w:cs="Arial"/>
          <w:sz w:val="24"/>
          <w:szCs w:val="24"/>
        </w:rPr>
        <w:t xml:space="preserve">was unsuccessful, the </w:t>
      </w:r>
      <w:r w:rsidR="00854B02" w:rsidRPr="00683B48">
        <w:rPr>
          <w:rFonts w:cs="Arial"/>
          <w:sz w:val="24"/>
          <w:szCs w:val="24"/>
        </w:rPr>
        <w:t xml:space="preserve">court’s </w:t>
      </w:r>
      <w:r w:rsidRPr="00683B48">
        <w:rPr>
          <w:rFonts w:cs="Arial"/>
          <w:sz w:val="24"/>
          <w:szCs w:val="24"/>
        </w:rPr>
        <w:t xml:space="preserve">critical </w:t>
      </w:r>
      <w:r w:rsidR="00854B02" w:rsidRPr="00683B48">
        <w:rPr>
          <w:rFonts w:cs="Arial"/>
          <w:sz w:val="24"/>
          <w:szCs w:val="24"/>
        </w:rPr>
        <w:t xml:space="preserve">statement </w:t>
      </w:r>
      <w:r w:rsidRPr="00683B48">
        <w:rPr>
          <w:rFonts w:cs="Arial"/>
          <w:sz w:val="24"/>
          <w:szCs w:val="24"/>
        </w:rPr>
        <w:t xml:space="preserve">has been useful in pursuing the issue further with the UNCRPD Committee as part of the EHRC’s treaty monitoring work. </w:t>
      </w:r>
    </w:p>
    <w:p w14:paraId="185A10A8" w14:textId="268BAAA2" w:rsidR="00F407F5" w:rsidRPr="00683B48" w:rsidRDefault="00F407F5" w:rsidP="00FD78A5">
      <w:pPr>
        <w:jc w:val="both"/>
        <w:rPr>
          <w:rFonts w:cs="Arial"/>
          <w:b/>
          <w:sz w:val="24"/>
          <w:szCs w:val="24"/>
        </w:rPr>
      </w:pPr>
      <w:r w:rsidRPr="00683B48">
        <w:rPr>
          <w:rFonts w:cs="Arial"/>
          <w:b/>
          <w:sz w:val="24"/>
          <w:szCs w:val="24"/>
        </w:rPr>
        <w:t>C</w:t>
      </w:r>
      <w:r w:rsidR="006F3139">
        <w:rPr>
          <w:rFonts w:cs="Arial"/>
          <w:b/>
          <w:sz w:val="24"/>
          <w:szCs w:val="24"/>
        </w:rPr>
        <w:t>ase Study</w:t>
      </w:r>
      <w:r w:rsidRPr="00683B48">
        <w:rPr>
          <w:rFonts w:cs="Arial"/>
          <w:b/>
          <w:sz w:val="24"/>
          <w:szCs w:val="24"/>
        </w:rPr>
        <w:t xml:space="preserve"> - </w:t>
      </w:r>
      <w:r w:rsidR="00647EA0" w:rsidRPr="00683B48">
        <w:rPr>
          <w:rFonts w:cs="Arial"/>
          <w:b/>
          <w:sz w:val="24"/>
          <w:szCs w:val="24"/>
        </w:rPr>
        <w:t xml:space="preserve">Example of </w:t>
      </w:r>
      <w:r w:rsidR="00480E5E" w:rsidRPr="00683B48">
        <w:rPr>
          <w:rFonts w:cs="Arial"/>
          <w:b/>
          <w:sz w:val="24"/>
          <w:szCs w:val="24"/>
        </w:rPr>
        <w:t>the Use of Media and S</w:t>
      </w:r>
      <w:r w:rsidR="00647EA0" w:rsidRPr="00683B48">
        <w:rPr>
          <w:rFonts w:cs="Arial"/>
          <w:b/>
          <w:sz w:val="24"/>
          <w:szCs w:val="24"/>
        </w:rPr>
        <w:t>ettl</w:t>
      </w:r>
      <w:r w:rsidR="00480E5E" w:rsidRPr="00683B48">
        <w:rPr>
          <w:rFonts w:cs="Arial"/>
          <w:b/>
          <w:sz w:val="24"/>
          <w:szCs w:val="24"/>
        </w:rPr>
        <w:t xml:space="preserve">ement </w:t>
      </w:r>
    </w:p>
    <w:p w14:paraId="523DB407" w14:textId="77777777" w:rsidR="00647EA0" w:rsidRPr="00683B48" w:rsidRDefault="00647EA0" w:rsidP="00FD78A5">
      <w:pPr>
        <w:jc w:val="both"/>
        <w:rPr>
          <w:rFonts w:cs="Arial"/>
          <w:b/>
          <w:sz w:val="24"/>
          <w:szCs w:val="24"/>
        </w:rPr>
      </w:pPr>
      <w:r w:rsidRPr="00683B48">
        <w:rPr>
          <w:rFonts w:cs="Arial"/>
          <w:b/>
          <w:sz w:val="24"/>
          <w:szCs w:val="24"/>
        </w:rPr>
        <w:t>Case Anonymised (</w:t>
      </w:r>
      <w:r w:rsidR="0096762D" w:rsidRPr="00683B48">
        <w:rPr>
          <w:rFonts w:cs="Arial"/>
          <w:b/>
          <w:sz w:val="24"/>
          <w:szCs w:val="24"/>
        </w:rPr>
        <w:t>Great Britain</w:t>
      </w:r>
      <w:r w:rsidRPr="00683B48">
        <w:rPr>
          <w:rFonts w:cs="Arial"/>
          <w:b/>
          <w:sz w:val="24"/>
          <w:szCs w:val="24"/>
        </w:rPr>
        <w:t xml:space="preserve">) </w:t>
      </w:r>
    </w:p>
    <w:p w14:paraId="243056D2" w14:textId="77777777" w:rsidR="00647EA0" w:rsidRPr="00683B48" w:rsidRDefault="00647EA0" w:rsidP="00FD78A5">
      <w:pPr>
        <w:jc w:val="both"/>
        <w:rPr>
          <w:rFonts w:cs="Arial"/>
          <w:sz w:val="24"/>
          <w:szCs w:val="24"/>
        </w:rPr>
      </w:pPr>
      <w:r w:rsidRPr="00683B48">
        <w:rPr>
          <w:rFonts w:cs="Arial"/>
          <w:sz w:val="24"/>
          <w:szCs w:val="24"/>
        </w:rPr>
        <w:t xml:space="preserve">A wheelchair user was refused access to a bar because the premises were not accessible and there was no temporary ramp. This was not an isolated incident. The equality body knew that once </w:t>
      </w:r>
      <w:r w:rsidR="00480E5E" w:rsidRPr="00683B48">
        <w:rPr>
          <w:rFonts w:cs="Arial"/>
          <w:sz w:val="24"/>
          <w:szCs w:val="24"/>
        </w:rPr>
        <w:t xml:space="preserve">legal </w:t>
      </w:r>
      <w:r w:rsidRPr="00683B48">
        <w:rPr>
          <w:rFonts w:cs="Arial"/>
          <w:sz w:val="24"/>
          <w:szCs w:val="24"/>
        </w:rPr>
        <w:t xml:space="preserve">proceedings </w:t>
      </w:r>
      <w:r w:rsidR="00480E5E" w:rsidRPr="00683B48">
        <w:rPr>
          <w:rFonts w:cs="Arial"/>
          <w:sz w:val="24"/>
          <w:szCs w:val="24"/>
        </w:rPr>
        <w:t>were initiated,</w:t>
      </w:r>
      <w:r w:rsidRPr="00683B48">
        <w:rPr>
          <w:rFonts w:cs="Arial"/>
          <w:sz w:val="24"/>
          <w:szCs w:val="24"/>
        </w:rPr>
        <w:t xml:space="preserve"> the service provider </w:t>
      </w:r>
      <w:r w:rsidR="00480E5E" w:rsidRPr="00683B48">
        <w:rPr>
          <w:rFonts w:cs="Arial"/>
          <w:sz w:val="24"/>
          <w:szCs w:val="24"/>
        </w:rPr>
        <w:t xml:space="preserve">would </w:t>
      </w:r>
      <w:r w:rsidRPr="00683B48">
        <w:rPr>
          <w:rFonts w:cs="Arial"/>
          <w:sz w:val="24"/>
          <w:szCs w:val="24"/>
        </w:rPr>
        <w:t xml:space="preserve">try to settle the case to avoid </w:t>
      </w:r>
      <w:r w:rsidR="00480E5E" w:rsidRPr="00683B48">
        <w:rPr>
          <w:rFonts w:cs="Arial"/>
          <w:sz w:val="24"/>
          <w:szCs w:val="24"/>
        </w:rPr>
        <w:t xml:space="preserve">negative </w:t>
      </w:r>
      <w:r w:rsidRPr="00683B48">
        <w:rPr>
          <w:rFonts w:cs="Arial"/>
          <w:sz w:val="24"/>
          <w:szCs w:val="24"/>
        </w:rPr>
        <w:t>publicity</w:t>
      </w:r>
      <w:r w:rsidR="00480E5E" w:rsidRPr="00683B48">
        <w:rPr>
          <w:rFonts w:cs="Arial"/>
          <w:sz w:val="24"/>
          <w:szCs w:val="24"/>
        </w:rPr>
        <w:t>, which would entail that</w:t>
      </w:r>
      <w:r w:rsidRPr="00683B48">
        <w:rPr>
          <w:rFonts w:cs="Arial"/>
          <w:sz w:val="24"/>
          <w:szCs w:val="24"/>
        </w:rPr>
        <w:t xml:space="preserve"> the strategic </w:t>
      </w:r>
      <w:r w:rsidR="00480E5E" w:rsidRPr="00683B48">
        <w:rPr>
          <w:rFonts w:cs="Arial"/>
          <w:sz w:val="24"/>
          <w:szCs w:val="24"/>
        </w:rPr>
        <w:t xml:space="preserve">objective </w:t>
      </w:r>
      <w:r w:rsidRPr="00683B48">
        <w:rPr>
          <w:rFonts w:cs="Arial"/>
          <w:sz w:val="24"/>
          <w:szCs w:val="24"/>
        </w:rPr>
        <w:t xml:space="preserve">of raising awareness about </w:t>
      </w:r>
      <w:r w:rsidR="00480E5E" w:rsidRPr="00683B48">
        <w:rPr>
          <w:rFonts w:cs="Arial"/>
          <w:sz w:val="24"/>
          <w:szCs w:val="24"/>
        </w:rPr>
        <w:t xml:space="preserve">accessibility </w:t>
      </w:r>
      <w:r w:rsidRPr="00683B48">
        <w:rPr>
          <w:rFonts w:cs="Arial"/>
          <w:sz w:val="24"/>
          <w:szCs w:val="24"/>
        </w:rPr>
        <w:t>would not be achieved. Therefore</w:t>
      </w:r>
      <w:r w:rsidR="00480E5E" w:rsidRPr="00683B48">
        <w:rPr>
          <w:rFonts w:cs="Arial"/>
          <w:sz w:val="24"/>
          <w:szCs w:val="24"/>
        </w:rPr>
        <w:t>,</w:t>
      </w:r>
      <w:r w:rsidRPr="00683B48">
        <w:rPr>
          <w:rFonts w:cs="Arial"/>
          <w:sz w:val="24"/>
          <w:szCs w:val="24"/>
        </w:rPr>
        <w:t xml:space="preserve"> the equality body decided to publicise the case before the trial</w:t>
      </w:r>
      <w:r w:rsidR="00782F56" w:rsidRPr="00683B48">
        <w:rPr>
          <w:rFonts w:cs="Arial"/>
          <w:sz w:val="24"/>
          <w:szCs w:val="24"/>
        </w:rPr>
        <w:t>, which</w:t>
      </w:r>
      <w:r w:rsidRPr="00683B48">
        <w:rPr>
          <w:rFonts w:cs="Arial"/>
          <w:sz w:val="24"/>
          <w:szCs w:val="24"/>
        </w:rPr>
        <w:t xml:space="preserve"> was highly unusual. The case was reported in local press and subsequently settled on confidential terms</w:t>
      </w:r>
      <w:r w:rsidR="00782F56" w:rsidRPr="00683B48">
        <w:rPr>
          <w:rFonts w:cs="Arial"/>
          <w:sz w:val="24"/>
          <w:szCs w:val="24"/>
        </w:rPr>
        <w:t>.</w:t>
      </w:r>
      <w:r w:rsidRPr="00683B48">
        <w:rPr>
          <w:rFonts w:cs="Arial"/>
          <w:sz w:val="24"/>
          <w:szCs w:val="24"/>
        </w:rPr>
        <w:t xml:space="preserve"> </w:t>
      </w:r>
      <w:r w:rsidR="00782F56" w:rsidRPr="00683B48">
        <w:rPr>
          <w:rFonts w:cs="Arial"/>
          <w:sz w:val="24"/>
          <w:szCs w:val="24"/>
        </w:rPr>
        <w:t>Due to the fact that</w:t>
      </w:r>
      <w:r w:rsidRPr="00683B48">
        <w:rPr>
          <w:rFonts w:cs="Arial"/>
          <w:sz w:val="24"/>
          <w:szCs w:val="24"/>
        </w:rPr>
        <w:t xml:space="preserve"> it had been publicised at an early stage, </w:t>
      </w:r>
      <w:r w:rsidR="00782F56" w:rsidRPr="00683B48">
        <w:rPr>
          <w:rFonts w:cs="Arial"/>
          <w:sz w:val="24"/>
          <w:szCs w:val="24"/>
        </w:rPr>
        <w:t xml:space="preserve">however, </w:t>
      </w:r>
      <w:r w:rsidRPr="00683B48">
        <w:rPr>
          <w:rFonts w:cs="Arial"/>
          <w:sz w:val="24"/>
          <w:szCs w:val="24"/>
        </w:rPr>
        <w:t xml:space="preserve">the strategic </w:t>
      </w:r>
      <w:r w:rsidR="00782F56" w:rsidRPr="00683B48">
        <w:rPr>
          <w:rFonts w:cs="Arial"/>
          <w:sz w:val="24"/>
          <w:szCs w:val="24"/>
        </w:rPr>
        <w:t xml:space="preserve">objective </w:t>
      </w:r>
      <w:r w:rsidRPr="00683B48">
        <w:rPr>
          <w:rFonts w:cs="Arial"/>
          <w:sz w:val="24"/>
          <w:szCs w:val="24"/>
        </w:rPr>
        <w:t xml:space="preserve">of raising awareness </w:t>
      </w:r>
      <w:r w:rsidR="00782F56" w:rsidRPr="00683B48">
        <w:rPr>
          <w:rFonts w:cs="Arial"/>
          <w:sz w:val="24"/>
          <w:szCs w:val="24"/>
        </w:rPr>
        <w:t>was</w:t>
      </w:r>
      <w:r w:rsidRPr="00683B48">
        <w:rPr>
          <w:rFonts w:cs="Arial"/>
          <w:sz w:val="24"/>
          <w:szCs w:val="24"/>
        </w:rPr>
        <w:t xml:space="preserve"> achieved</w:t>
      </w:r>
      <w:r w:rsidR="00782F56" w:rsidRPr="00683B48">
        <w:rPr>
          <w:rFonts w:cs="Arial"/>
          <w:sz w:val="24"/>
          <w:szCs w:val="24"/>
        </w:rPr>
        <w:t xml:space="preserve"> nonetheless</w:t>
      </w:r>
      <w:r w:rsidRPr="00683B48">
        <w:rPr>
          <w:rFonts w:cs="Arial"/>
          <w:sz w:val="24"/>
          <w:szCs w:val="24"/>
        </w:rPr>
        <w:t xml:space="preserve">.  </w:t>
      </w:r>
    </w:p>
    <w:p w14:paraId="6D7F8DCE" w14:textId="5DB8E937" w:rsidR="00647EA0" w:rsidRPr="00683B48" w:rsidRDefault="006F3139" w:rsidP="00FD78A5">
      <w:pPr>
        <w:jc w:val="both"/>
        <w:rPr>
          <w:rFonts w:cs="Arial"/>
          <w:b/>
          <w:sz w:val="24"/>
          <w:szCs w:val="24"/>
        </w:rPr>
      </w:pPr>
      <w:r>
        <w:rPr>
          <w:rFonts w:cs="Arial"/>
          <w:b/>
          <w:sz w:val="24"/>
          <w:szCs w:val="24"/>
        </w:rPr>
        <w:t>Case Study</w:t>
      </w:r>
      <w:r w:rsidR="00F407F5" w:rsidRPr="00683B48">
        <w:rPr>
          <w:rFonts w:cs="Arial"/>
          <w:b/>
          <w:sz w:val="24"/>
          <w:szCs w:val="24"/>
        </w:rPr>
        <w:t xml:space="preserve"> - </w:t>
      </w:r>
      <w:r w:rsidR="00647EA0" w:rsidRPr="00683B48">
        <w:rPr>
          <w:rFonts w:cs="Arial"/>
          <w:b/>
          <w:sz w:val="24"/>
          <w:szCs w:val="24"/>
        </w:rPr>
        <w:t xml:space="preserve">Examples of </w:t>
      </w:r>
      <w:r w:rsidR="006C3DAE" w:rsidRPr="00683B48">
        <w:rPr>
          <w:rFonts w:cs="Arial"/>
          <w:b/>
          <w:sz w:val="24"/>
          <w:szCs w:val="24"/>
        </w:rPr>
        <w:t>C</w:t>
      </w:r>
      <w:r w:rsidR="00647EA0" w:rsidRPr="00683B48">
        <w:rPr>
          <w:rFonts w:cs="Arial"/>
          <w:b/>
          <w:sz w:val="24"/>
          <w:szCs w:val="24"/>
        </w:rPr>
        <w:t xml:space="preserve">onflict of </w:t>
      </w:r>
      <w:r w:rsidR="006C3DAE" w:rsidRPr="00683B48">
        <w:rPr>
          <w:rFonts w:cs="Arial"/>
          <w:b/>
          <w:sz w:val="24"/>
          <w:szCs w:val="24"/>
        </w:rPr>
        <w:t>R</w:t>
      </w:r>
      <w:r w:rsidR="00647EA0" w:rsidRPr="00683B48">
        <w:rPr>
          <w:rFonts w:cs="Arial"/>
          <w:b/>
          <w:sz w:val="24"/>
          <w:szCs w:val="24"/>
        </w:rPr>
        <w:t xml:space="preserve">ights </w:t>
      </w:r>
      <w:r w:rsidR="006C3DAE" w:rsidRPr="00683B48">
        <w:rPr>
          <w:rFonts w:cs="Arial"/>
          <w:b/>
          <w:sz w:val="24"/>
          <w:szCs w:val="24"/>
        </w:rPr>
        <w:t>C</w:t>
      </w:r>
      <w:r w:rsidR="00647EA0" w:rsidRPr="00683B48">
        <w:rPr>
          <w:rFonts w:cs="Arial"/>
          <w:b/>
          <w:sz w:val="24"/>
          <w:szCs w:val="24"/>
        </w:rPr>
        <w:t>ases</w:t>
      </w:r>
    </w:p>
    <w:p w14:paraId="516FF7AB" w14:textId="77777777" w:rsidR="00647EA0" w:rsidRPr="00683B48" w:rsidRDefault="00F9649B" w:rsidP="00FD78A5">
      <w:pPr>
        <w:jc w:val="both"/>
        <w:rPr>
          <w:rFonts w:cs="Arial"/>
          <w:b/>
          <w:sz w:val="24"/>
          <w:szCs w:val="24"/>
        </w:rPr>
      </w:pPr>
      <w:r>
        <w:rPr>
          <w:rFonts w:cs="Arial"/>
          <w:b/>
          <w:sz w:val="24"/>
          <w:szCs w:val="24"/>
        </w:rPr>
        <w:t xml:space="preserve">Eweida and Others v UK </w:t>
      </w:r>
      <w:r w:rsidRPr="00F9649B">
        <w:rPr>
          <w:rFonts w:cs="Arial"/>
          <w:i/>
          <w:sz w:val="24"/>
          <w:szCs w:val="24"/>
        </w:rPr>
        <w:t>(</w:t>
      </w:r>
      <w:r w:rsidR="00647EA0" w:rsidRPr="00F9649B">
        <w:rPr>
          <w:rFonts w:cs="Arial"/>
          <w:i/>
          <w:sz w:val="24"/>
          <w:szCs w:val="24"/>
        </w:rPr>
        <w:t>European Court of Human Rights</w:t>
      </w:r>
      <w:r w:rsidRPr="00F9649B">
        <w:rPr>
          <w:rFonts w:cs="Arial"/>
          <w:i/>
          <w:sz w:val="24"/>
          <w:szCs w:val="24"/>
        </w:rPr>
        <w:t xml:space="preserve">: </w:t>
      </w:r>
      <w:r>
        <w:rPr>
          <w:rFonts w:cs="Arial"/>
          <w:i/>
          <w:sz w:val="24"/>
          <w:szCs w:val="24"/>
        </w:rPr>
        <w:t>a</w:t>
      </w:r>
      <w:r w:rsidRPr="00F9649B">
        <w:rPr>
          <w:rFonts w:cs="Arial"/>
          <w:i/>
          <w:sz w:val="24"/>
          <w:szCs w:val="24"/>
        </w:rPr>
        <w:t>pplications nos. 48420/10, 59842/10, 51671/10 and 36516/10)</w:t>
      </w:r>
    </w:p>
    <w:p w14:paraId="4F7D413F" w14:textId="77777777" w:rsidR="00647EA0" w:rsidRPr="00683B48" w:rsidRDefault="00647EA0" w:rsidP="00FD78A5">
      <w:pPr>
        <w:jc w:val="both"/>
        <w:rPr>
          <w:rFonts w:cs="Arial"/>
          <w:sz w:val="24"/>
          <w:szCs w:val="24"/>
        </w:rPr>
      </w:pPr>
      <w:r w:rsidRPr="00683B48">
        <w:rPr>
          <w:rFonts w:cs="Arial"/>
          <w:sz w:val="24"/>
          <w:szCs w:val="24"/>
        </w:rPr>
        <w:t>These four cases</w:t>
      </w:r>
      <w:r w:rsidR="006B238D" w:rsidRPr="00683B48">
        <w:rPr>
          <w:rFonts w:cs="Arial"/>
          <w:sz w:val="24"/>
          <w:szCs w:val="24"/>
        </w:rPr>
        <w:t>,</w:t>
      </w:r>
      <w:r w:rsidRPr="00683B48">
        <w:rPr>
          <w:rFonts w:cs="Arial"/>
          <w:sz w:val="24"/>
          <w:szCs w:val="24"/>
        </w:rPr>
        <w:t xml:space="preserve"> which all involved committed Christians who alleged they had been discriminated against by their employers because of their religion</w:t>
      </w:r>
      <w:r w:rsidR="006B238D" w:rsidRPr="00683B48">
        <w:rPr>
          <w:rFonts w:cs="Arial"/>
          <w:sz w:val="24"/>
          <w:szCs w:val="24"/>
        </w:rPr>
        <w:t>,</w:t>
      </w:r>
      <w:r w:rsidRPr="00683B48">
        <w:rPr>
          <w:rFonts w:cs="Arial"/>
          <w:sz w:val="24"/>
          <w:szCs w:val="24"/>
        </w:rPr>
        <w:t xml:space="preserve"> were joined and heard together </w:t>
      </w:r>
      <w:r w:rsidR="006B238D" w:rsidRPr="00683B48">
        <w:rPr>
          <w:rFonts w:cs="Arial"/>
          <w:sz w:val="24"/>
          <w:szCs w:val="24"/>
        </w:rPr>
        <w:t xml:space="preserve">by </w:t>
      </w:r>
      <w:r w:rsidRPr="00683B48">
        <w:rPr>
          <w:rFonts w:cs="Arial"/>
          <w:sz w:val="24"/>
          <w:szCs w:val="24"/>
        </w:rPr>
        <w:t>the European Court of Human Rights (ECtHR). The two first cases concerned conflicts between the rights and equality of Christians and LGBTI pe</w:t>
      </w:r>
      <w:r w:rsidR="006B238D" w:rsidRPr="00683B48">
        <w:rPr>
          <w:rFonts w:cs="Arial"/>
          <w:sz w:val="24"/>
          <w:szCs w:val="24"/>
        </w:rPr>
        <w:t>rsons, while</w:t>
      </w:r>
      <w:r w:rsidR="00F407F5" w:rsidRPr="00683B48">
        <w:rPr>
          <w:rFonts w:cs="Arial"/>
          <w:sz w:val="24"/>
          <w:szCs w:val="24"/>
        </w:rPr>
        <w:t xml:space="preserve"> the </w:t>
      </w:r>
      <w:r w:rsidR="006B238D" w:rsidRPr="00683B48">
        <w:rPr>
          <w:rFonts w:cs="Arial"/>
          <w:sz w:val="24"/>
          <w:szCs w:val="24"/>
        </w:rPr>
        <w:t xml:space="preserve">latter </w:t>
      </w:r>
      <w:r w:rsidR="00F407F5" w:rsidRPr="00683B48">
        <w:rPr>
          <w:rFonts w:cs="Arial"/>
          <w:sz w:val="24"/>
          <w:szCs w:val="24"/>
        </w:rPr>
        <w:t>two concerned employers</w:t>
      </w:r>
      <w:r w:rsidR="006B238D" w:rsidRPr="00683B48">
        <w:rPr>
          <w:rFonts w:cs="Arial"/>
          <w:sz w:val="24"/>
          <w:szCs w:val="24"/>
        </w:rPr>
        <w:t>’</w:t>
      </w:r>
      <w:r w:rsidR="00F407F5" w:rsidRPr="00683B48">
        <w:rPr>
          <w:rFonts w:cs="Arial"/>
          <w:sz w:val="24"/>
          <w:szCs w:val="24"/>
        </w:rPr>
        <w:t xml:space="preserve"> uniform policies and the right to wear</w:t>
      </w:r>
      <w:r w:rsidR="006B238D" w:rsidRPr="00683B48">
        <w:rPr>
          <w:rFonts w:cs="Arial"/>
          <w:sz w:val="24"/>
          <w:szCs w:val="24"/>
        </w:rPr>
        <w:t xml:space="preserve"> visible</w:t>
      </w:r>
      <w:r w:rsidR="00F407F5" w:rsidRPr="00683B48">
        <w:rPr>
          <w:rFonts w:cs="Arial"/>
          <w:sz w:val="24"/>
          <w:szCs w:val="24"/>
        </w:rPr>
        <w:t xml:space="preserve"> religious symbols</w:t>
      </w:r>
      <w:r w:rsidRPr="00683B48">
        <w:rPr>
          <w:rFonts w:cs="Arial"/>
          <w:sz w:val="24"/>
          <w:szCs w:val="24"/>
        </w:rPr>
        <w:t xml:space="preserve">. The EHRC intervened in the case </w:t>
      </w:r>
      <w:r w:rsidR="006B238D" w:rsidRPr="00683B48">
        <w:rPr>
          <w:rFonts w:cs="Arial"/>
          <w:sz w:val="24"/>
          <w:szCs w:val="24"/>
        </w:rPr>
        <w:t>before</w:t>
      </w:r>
      <w:r w:rsidRPr="00683B48">
        <w:rPr>
          <w:rFonts w:cs="Arial"/>
          <w:sz w:val="24"/>
          <w:szCs w:val="24"/>
        </w:rPr>
        <w:t xml:space="preserve"> the ECtHR.</w:t>
      </w:r>
    </w:p>
    <w:p w14:paraId="133CFDD5" w14:textId="77777777" w:rsidR="00647EA0" w:rsidRPr="00683B48" w:rsidRDefault="00647EA0" w:rsidP="00FD78A5">
      <w:pPr>
        <w:jc w:val="both"/>
        <w:rPr>
          <w:rFonts w:cs="Arial"/>
          <w:sz w:val="24"/>
          <w:szCs w:val="24"/>
        </w:rPr>
      </w:pPr>
      <w:r w:rsidRPr="00683B48">
        <w:rPr>
          <w:rFonts w:cs="Arial"/>
          <w:b/>
          <w:sz w:val="24"/>
          <w:szCs w:val="24"/>
        </w:rPr>
        <w:t xml:space="preserve">Ladele v Islington Borough Council </w:t>
      </w:r>
      <w:r w:rsidRPr="00683B48">
        <w:rPr>
          <w:rFonts w:cs="Arial"/>
          <w:sz w:val="24"/>
          <w:szCs w:val="24"/>
        </w:rPr>
        <w:t>– Ms</w:t>
      </w:r>
      <w:r w:rsidR="00973F94" w:rsidRPr="00683B48">
        <w:rPr>
          <w:rFonts w:cs="Arial"/>
          <w:sz w:val="24"/>
          <w:szCs w:val="24"/>
        </w:rPr>
        <w:t>.</w:t>
      </w:r>
      <w:r w:rsidRPr="00683B48">
        <w:rPr>
          <w:rFonts w:cs="Arial"/>
          <w:sz w:val="24"/>
          <w:szCs w:val="24"/>
        </w:rPr>
        <w:t xml:space="preserve"> Ladele </w:t>
      </w:r>
      <w:r w:rsidR="00973F94" w:rsidRPr="00683B48">
        <w:rPr>
          <w:rFonts w:cs="Arial"/>
          <w:sz w:val="24"/>
          <w:szCs w:val="24"/>
        </w:rPr>
        <w:t xml:space="preserve">worked as </w:t>
      </w:r>
      <w:r w:rsidRPr="00683B48">
        <w:rPr>
          <w:rFonts w:cs="Arial"/>
          <w:sz w:val="24"/>
          <w:szCs w:val="24"/>
        </w:rPr>
        <w:t xml:space="preserve">a civil registrar for many years. After </w:t>
      </w:r>
      <w:r w:rsidR="00973F94" w:rsidRPr="00683B48">
        <w:rPr>
          <w:rFonts w:cs="Arial"/>
          <w:sz w:val="24"/>
          <w:szCs w:val="24"/>
        </w:rPr>
        <w:t xml:space="preserve">a legislative </w:t>
      </w:r>
      <w:r w:rsidRPr="00683B48">
        <w:rPr>
          <w:rFonts w:cs="Arial"/>
          <w:sz w:val="24"/>
          <w:szCs w:val="24"/>
        </w:rPr>
        <w:t>change</w:t>
      </w:r>
      <w:r w:rsidR="00973F94" w:rsidRPr="00683B48">
        <w:rPr>
          <w:rFonts w:cs="Arial"/>
          <w:sz w:val="24"/>
          <w:szCs w:val="24"/>
        </w:rPr>
        <w:t xml:space="preserve"> </w:t>
      </w:r>
      <w:r w:rsidRPr="00683B48">
        <w:rPr>
          <w:rFonts w:cs="Arial"/>
          <w:sz w:val="24"/>
          <w:szCs w:val="24"/>
        </w:rPr>
        <w:t>allow</w:t>
      </w:r>
      <w:r w:rsidR="00973F94" w:rsidRPr="00683B48">
        <w:rPr>
          <w:rFonts w:cs="Arial"/>
          <w:sz w:val="24"/>
          <w:szCs w:val="24"/>
        </w:rPr>
        <w:t>ing</w:t>
      </w:r>
      <w:r w:rsidRPr="00683B48">
        <w:rPr>
          <w:rFonts w:cs="Arial"/>
          <w:sz w:val="24"/>
          <w:szCs w:val="24"/>
        </w:rPr>
        <w:t xml:space="preserve"> civil partnerships (marriage was at that time not possible) between homosexual couples, she would not carry out civil partnership ceremonies, and would swap duties with colleagues to avoid them. This was accepted by her colleagues until someone at the council complained</w:t>
      </w:r>
      <w:r w:rsidR="00973F94" w:rsidRPr="00683B48">
        <w:rPr>
          <w:rFonts w:cs="Arial"/>
          <w:sz w:val="24"/>
          <w:szCs w:val="24"/>
        </w:rPr>
        <w:t>, which</w:t>
      </w:r>
      <w:r w:rsidRPr="00683B48">
        <w:rPr>
          <w:rFonts w:cs="Arial"/>
          <w:sz w:val="24"/>
          <w:szCs w:val="24"/>
        </w:rPr>
        <w:t xml:space="preserve"> ultimately lead to Ms</w:t>
      </w:r>
      <w:r w:rsidR="00973F94" w:rsidRPr="00683B48">
        <w:rPr>
          <w:rFonts w:cs="Arial"/>
          <w:sz w:val="24"/>
          <w:szCs w:val="24"/>
        </w:rPr>
        <w:t>.</w:t>
      </w:r>
      <w:r w:rsidRPr="00683B48">
        <w:rPr>
          <w:rFonts w:cs="Arial"/>
          <w:sz w:val="24"/>
          <w:szCs w:val="24"/>
        </w:rPr>
        <w:t xml:space="preserve"> Ladele’s dismissal. </w:t>
      </w:r>
    </w:p>
    <w:p w14:paraId="25E29618" w14:textId="77777777" w:rsidR="00647EA0" w:rsidRPr="00683B48" w:rsidRDefault="00647EA0" w:rsidP="00FD78A5">
      <w:pPr>
        <w:jc w:val="both"/>
        <w:rPr>
          <w:rFonts w:cs="Arial"/>
          <w:sz w:val="24"/>
          <w:szCs w:val="24"/>
        </w:rPr>
      </w:pPr>
      <w:r w:rsidRPr="00683B48">
        <w:rPr>
          <w:rFonts w:cs="Arial"/>
          <w:b/>
          <w:sz w:val="24"/>
          <w:szCs w:val="24"/>
        </w:rPr>
        <w:t>McFarlane v Relate</w:t>
      </w:r>
      <w:r w:rsidRPr="00683B48">
        <w:rPr>
          <w:rFonts w:cs="Arial"/>
          <w:sz w:val="24"/>
          <w:szCs w:val="24"/>
        </w:rPr>
        <w:t xml:space="preserve"> – Mr</w:t>
      </w:r>
      <w:r w:rsidR="00973F94" w:rsidRPr="00683B48">
        <w:rPr>
          <w:rFonts w:cs="Arial"/>
          <w:sz w:val="24"/>
          <w:szCs w:val="24"/>
        </w:rPr>
        <w:t>.</w:t>
      </w:r>
      <w:r w:rsidRPr="00683B48">
        <w:rPr>
          <w:rFonts w:cs="Arial"/>
          <w:sz w:val="24"/>
          <w:szCs w:val="24"/>
        </w:rPr>
        <w:t xml:space="preserve"> McFarlane was a relationship counsellor who had expressed concern as to whether he could reconcile providing services to gay couples about sexual issues with his faith</w:t>
      </w:r>
      <w:r w:rsidR="00973F94" w:rsidRPr="00683B48">
        <w:rPr>
          <w:rFonts w:cs="Arial"/>
          <w:sz w:val="24"/>
          <w:szCs w:val="24"/>
        </w:rPr>
        <w:t>,</w:t>
      </w:r>
      <w:r w:rsidRPr="00683B48">
        <w:rPr>
          <w:rFonts w:cs="Arial"/>
          <w:sz w:val="24"/>
          <w:szCs w:val="24"/>
        </w:rPr>
        <w:t xml:space="preserve"> and was ultimately dismissed. </w:t>
      </w:r>
    </w:p>
    <w:p w14:paraId="00A4D5AA" w14:textId="77777777" w:rsidR="00647EA0" w:rsidRPr="00683B48" w:rsidRDefault="00647EA0" w:rsidP="00FD78A5">
      <w:pPr>
        <w:jc w:val="both"/>
        <w:rPr>
          <w:rFonts w:cs="Arial"/>
          <w:sz w:val="24"/>
          <w:szCs w:val="24"/>
        </w:rPr>
      </w:pPr>
      <w:r w:rsidRPr="00683B48">
        <w:rPr>
          <w:rFonts w:cs="Arial"/>
          <w:b/>
          <w:sz w:val="24"/>
          <w:szCs w:val="24"/>
        </w:rPr>
        <w:t>Eweida v British Airways</w:t>
      </w:r>
      <w:r w:rsidRPr="00683B48">
        <w:rPr>
          <w:rFonts w:cs="Arial"/>
          <w:sz w:val="24"/>
          <w:szCs w:val="24"/>
        </w:rPr>
        <w:t xml:space="preserve"> – Ms</w:t>
      </w:r>
      <w:r w:rsidR="00973F94" w:rsidRPr="00683B48">
        <w:rPr>
          <w:rFonts w:cs="Arial"/>
          <w:sz w:val="24"/>
          <w:szCs w:val="24"/>
        </w:rPr>
        <w:t>.</w:t>
      </w:r>
      <w:r w:rsidRPr="00683B48">
        <w:rPr>
          <w:rFonts w:cs="Arial"/>
          <w:sz w:val="24"/>
          <w:szCs w:val="24"/>
        </w:rPr>
        <w:t xml:space="preserve"> Eweid</w:t>
      </w:r>
      <w:r w:rsidR="00973F94" w:rsidRPr="00683B48">
        <w:rPr>
          <w:rFonts w:cs="Arial"/>
          <w:sz w:val="24"/>
          <w:szCs w:val="24"/>
        </w:rPr>
        <w:t>a</w:t>
      </w:r>
      <w:r w:rsidRPr="00683B48">
        <w:rPr>
          <w:rFonts w:cs="Arial"/>
          <w:sz w:val="24"/>
          <w:szCs w:val="24"/>
        </w:rPr>
        <w:t xml:space="preserve"> worked </w:t>
      </w:r>
      <w:r w:rsidR="00973F94" w:rsidRPr="00683B48">
        <w:rPr>
          <w:rFonts w:cs="Arial"/>
          <w:sz w:val="24"/>
          <w:szCs w:val="24"/>
        </w:rPr>
        <w:t xml:space="preserve">at </w:t>
      </w:r>
      <w:r w:rsidRPr="00683B48">
        <w:rPr>
          <w:rFonts w:cs="Arial"/>
          <w:sz w:val="24"/>
          <w:szCs w:val="24"/>
        </w:rPr>
        <w:t xml:space="preserve">the check-in desk and had worn a small cross </w:t>
      </w:r>
      <w:r w:rsidR="00973F94" w:rsidRPr="00683B48">
        <w:rPr>
          <w:rFonts w:cs="Arial"/>
          <w:sz w:val="24"/>
          <w:szCs w:val="24"/>
        </w:rPr>
        <w:t xml:space="preserve">on a chain </w:t>
      </w:r>
      <w:r w:rsidRPr="00683B48">
        <w:rPr>
          <w:rFonts w:cs="Arial"/>
          <w:sz w:val="24"/>
          <w:szCs w:val="24"/>
        </w:rPr>
        <w:t xml:space="preserve">all her life as a symbol of her commitment to her faith. She was removed </w:t>
      </w:r>
      <w:r w:rsidRPr="00683B48">
        <w:rPr>
          <w:rFonts w:cs="Arial"/>
          <w:sz w:val="24"/>
          <w:szCs w:val="24"/>
        </w:rPr>
        <w:lastRenderedPageBreak/>
        <w:t xml:space="preserve">from front line duties following a change in the </w:t>
      </w:r>
      <w:r w:rsidR="00973F94" w:rsidRPr="00683B48">
        <w:rPr>
          <w:rFonts w:cs="Arial"/>
          <w:sz w:val="24"/>
          <w:szCs w:val="24"/>
        </w:rPr>
        <w:t xml:space="preserve">airline’s </w:t>
      </w:r>
      <w:r w:rsidRPr="00683B48">
        <w:rPr>
          <w:rFonts w:cs="Arial"/>
          <w:sz w:val="24"/>
          <w:szCs w:val="24"/>
        </w:rPr>
        <w:t>uniform policy</w:t>
      </w:r>
      <w:r w:rsidR="00973F94" w:rsidRPr="00683B48">
        <w:rPr>
          <w:rFonts w:cs="Arial"/>
          <w:sz w:val="24"/>
          <w:szCs w:val="24"/>
        </w:rPr>
        <w:t>,</w:t>
      </w:r>
      <w:r w:rsidRPr="00683B48">
        <w:rPr>
          <w:rFonts w:cs="Arial"/>
          <w:sz w:val="24"/>
          <w:szCs w:val="24"/>
        </w:rPr>
        <w:t xml:space="preserve"> which required her to remove her </w:t>
      </w:r>
      <w:r w:rsidR="00973F94" w:rsidRPr="00683B48">
        <w:rPr>
          <w:rFonts w:cs="Arial"/>
          <w:sz w:val="24"/>
          <w:szCs w:val="24"/>
        </w:rPr>
        <w:t>necklace</w:t>
      </w:r>
      <w:r w:rsidRPr="00683B48">
        <w:rPr>
          <w:rFonts w:cs="Arial"/>
          <w:sz w:val="24"/>
          <w:szCs w:val="24"/>
        </w:rPr>
        <w:t xml:space="preserve">. </w:t>
      </w:r>
    </w:p>
    <w:p w14:paraId="4EA57E0C" w14:textId="77777777" w:rsidR="00647EA0" w:rsidRPr="00683B48" w:rsidRDefault="00647EA0" w:rsidP="00FD78A5">
      <w:pPr>
        <w:jc w:val="both"/>
        <w:rPr>
          <w:rFonts w:cs="Arial"/>
          <w:sz w:val="24"/>
          <w:szCs w:val="24"/>
        </w:rPr>
      </w:pPr>
      <w:r w:rsidRPr="00683B48">
        <w:rPr>
          <w:rFonts w:cs="Arial"/>
          <w:b/>
          <w:sz w:val="24"/>
          <w:szCs w:val="24"/>
        </w:rPr>
        <w:t xml:space="preserve">Chaplin v Devon and Exeter NHS Foundation Trust </w:t>
      </w:r>
      <w:r w:rsidRPr="00683B48">
        <w:rPr>
          <w:rFonts w:cs="Arial"/>
          <w:sz w:val="24"/>
          <w:szCs w:val="24"/>
        </w:rPr>
        <w:t>– Ms</w:t>
      </w:r>
      <w:r w:rsidR="00973F94" w:rsidRPr="00683B48">
        <w:rPr>
          <w:rFonts w:cs="Arial"/>
          <w:sz w:val="24"/>
          <w:szCs w:val="24"/>
        </w:rPr>
        <w:t>.</w:t>
      </w:r>
      <w:r w:rsidRPr="00683B48">
        <w:rPr>
          <w:rFonts w:cs="Arial"/>
          <w:sz w:val="24"/>
          <w:szCs w:val="24"/>
        </w:rPr>
        <w:t xml:space="preserve"> Chaplin was a nurse on a geriatric ward who always wore a cross on a chain as a symbol of her faith. </w:t>
      </w:r>
      <w:r w:rsidR="00732E78" w:rsidRPr="00683B48">
        <w:rPr>
          <w:rFonts w:cs="Arial"/>
          <w:sz w:val="24"/>
          <w:szCs w:val="24"/>
        </w:rPr>
        <w:t xml:space="preserve">Due to a Health and Safety policy, her employer changed the </w:t>
      </w:r>
      <w:r w:rsidR="0096762D" w:rsidRPr="00683B48">
        <w:rPr>
          <w:rFonts w:cs="Arial"/>
          <w:sz w:val="24"/>
          <w:szCs w:val="24"/>
        </w:rPr>
        <w:t>nurses’</w:t>
      </w:r>
      <w:r w:rsidR="00732E78" w:rsidRPr="00683B48">
        <w:rPr>
          <w:rFonts w:cs="Arial"/>
          <w:sz w:val="24"/>
          <w:szCs w:val="24"/>
        </w:rPr>
        <w:t xml:space="preserve"> uniform to a V-neck top and she was requested to remove her necklace. Upon refusal to conform with the request, s</w:t>
      </w:r>
      <w:r w:rsidRPr="00683B48">
        <w:rPr>
          <w:rFonts w:cs="Arial"/>
          <w:sz w:val="24"/>
          <w:szCs w:val="24"/>
        </w:rPr>
        <w:t>he was removed from front</w:t>
      </w:r>
      <w:r w:rsidR="00973F94" w:rsidRPr="00683B48">
        <w:rPr>
          <w:rFonts w:cs="Arial"/>
          <w:sz w:val="24"/>
          <w:szCs w:val="24"/>
        </w:rPr>
        <w:t xml:space="preserve"> </w:t>
      </w:r>
      <w:r w:rsidRPr="00683B48">
        <w:rPr>
          <w:rFonts w:cs="Arial"/>
          <w:sz w:val="24"/>
          <w:szCs w:val="24"/>
        </w:rPr>
        <w:t xml:space="preserve">line nursing duties. </w:t>
      </w:r>
    </w:p>
    <w:p w14:paraId="3DE18168" w14:textId="77777777" w:rsidR="00054B32" w:rsidRPr="00683B48" w:rsidRDefault="00647EA0" w:rsidP="00FD78A5">
      <w:pPr>
        <w:jc w:val="both"/>
        <w:rPr>
          <w:rFonts w:cs="Arial"/>
          <w:sz w:val="24"/>
          <w:szCs w:val="24"/>
        </w:rPr>
      </w:pPr>
      <w:r w:rsidRPr="00683B48">
        <w:rPr>
          <w:rFonts w:cs="Arial"/>
          <w:sz w:val="24"/>
          <w:szCs w:val="24"/>
        </w:rPr>
        <w:t xml:space="preserve">The ECtHR gave judgement in all </w:t>
      </w:r>
      <w:r w:rsidR="00E02978" w:rsidRPr="00683B48">
        <w:rPr>
          <w:rFonts w:cs="Arial"/>
          <w:sz w:val="24"/>
          <w:szCs w:val="24"/>
        </w:rPr>
        <w:t>four</w:t>
      </w:r>
      <w:r w:rsidRPr="00683B48">
        <w:rPr>
          <w:rFonts w:cs="Arial"/>
          <w:sz w:val="24"/>
          <w:szCs w:val="24"/>
        </w:rPr>
        <w:t xml:space="preserve"> cases</w:t>
      </w:r>
      <w:r w:rsidR="00F75DAF" w:rsidRPr="00683B48">
        <w:rPr>
          <w:rFonts w:cs="Arial"/>
          <w:sz w:val="24"/>
          <w:szCs w:val="24"/>
        </w:rPr>
        <w:t>,</w:t>
      </w:r>
      <w:r w:rsidRPr="00683B48">
        <w:rPr>
          <w:rFonts w:cs="Arial"/>
          <w:sz w:val="24"/>
          <w:szCs w:val="24"/>
        </w:rPr>
        <w:t xml:space="preserve"> finding only in favour of Eweida</w:t>
      </w:r>
      <w:r w:rsidR="00F75DAF" w:rsidRPr="00683B48">
        <w:rPr>
          <w:rFonts w:cs="Arial"/>
          <w:sz w:val="24"/>
          <w:szCs w:val="24"/>
        </w:rPr>
        <w:t>. In each case the court</w:t>
      </w:r>
      <w:r w:rsidR="00F407F5" w:rsidRPr="00683B48">
        <w:rPr>
          <w:rFonts w:cs="Arial"/>
          <w:sz w:val="24"/>
          <w:szCs w:val="24"/>
        </w:rPr>
        <w:t xml:space="preserve"> clarif</w:t>
      </w:r>
      <w:r w:rsidR="00F75DAF" w:rsidRPr="00683B48">
        <w:rPr>
          <w:rFonts w:cs="Arial"/>
          <w:sz w:val="24"/>
          <w:szCs w:val="24"/>
        </w:rPr>
        <w:t>ied</w:t>
      </w:r>
      <w:r w:rsidR="00F407F5" w:rsidRPr="00683B48">
        <w:rPr>
          <w:rFonts w:cs="Arial"/>
          <w:sz w:val="24"/>
          <w:szCs w:val="24"/>
        </w:rPr>
        <w:t xml:space="preserve"> </w:t>
      </w:r>
      <w:r w:rsidR="00F75DAF" w:rsidRPr="00683B48">
        <w:rPr>
          <w:rFonts w:cs="Arial"/>
          <w:sz w:val="24"/>
          <w:szCs w:val="24"/>
        </w:rPr>
        <w:t xml:space="preserve">the </w:t>
      </w:r>
      <w:r w:rsidR="0096762D" w:rsidRPr="00683B48">
        <w:rPr>
          <w:rFonts w:cs="Arial"/>
          <w:sz w:val="24"/>
          <w:szCs w:val="24"/>
        </w:rPr>
        <w:t>a</w:t>
      </w:r>
      <w:r w:rsidR="00F75DAF" w:rsidRPr="00683B48">
        <w:rPr>
          <w:rFonts w:cs="Arial"/>
          <w:sz w:val="24"/>
          <w:szCs w:val="24"/>
        </w:rPr>
        <w:t xml:space="preserve">pplication of </w:t>
      </w:r>
      <w:r w:rsidR="00F407F5" w:rsidRPr="00683B48">
        <w:rPr>
          <w:rFonts w:cs="Arial"/>
          <w:sz w:val="24"/>
          <w:szCs w:val="24"/>
        </w:rPr>
        <w:t xml:space="preserve">Article 9 and </w:t>
      </w:r>
      <w:r w:rsidR="00F75DAF" w:rsidRPr="00683B48">
        <w:rPr>
          <w:rFonts w:cs="Arial"/>
          <w:sz w:val="24"/>
          <w:szCs w:val="24"/>
        </w:rPr>
        <w:t xml:space="preserve">established that restrictions imposed by private employers with regard to manifestations of religion had to be justified as proportionate </w:t>
      </w:r>
      <w:r w:rsidR="0096762D" w:rsidRPr="00683B48">
        <w:rPr>
          <w:rFonts w:cs="Arial"/>
          <w:sz w:val="24"/>
          <w:szCs w:val="24"/>
        </w:rPr>
        <w:t>and that employers are obliged to look for practical solutions</w:t>
      </w:r>
      <w:r w:rsidR="00F75DAF" w:rsidRPr="00683B48">
        <w:rPr>
          <w:rFonts w:cs="Arial"/>
          <w:sz w:val="24"/>
          <w:szCs w:val="24"/>
        </w:rPr>
        <w:t>.</w:t>
      </w:r>
      <w:r w:rsidR="00054B32" w:rsidRPr="00683B48">
        <w:rPr>
          <w:rFonts w:cs="Arial"/>
          <w:sz w:val="24"/>
          <w:szCs w:val="24"/>
        </w:rPr>
        <w:t xml:space="preserve"> </w:t>
      </w:r>
    </w:p>
    <w:p w14:paraId="0F2E3911" w14:textId="77777777" w:rsidR="00647EA0" w:rsidRPr="00683B48" w:rsidRDefault="00647EA0" w:rsidP="00FD78A5">
      <w:pPr>
        <w:jc w:val="both"/>
        <w:rPr>
          <w:rFonts w:cs="Arial"/>
          <w:sz w:val="24"/>
          <w:szCs w:val="24"/>
        </w:rPr>
      </w:pPr>
      <w:r w:rsidRPr="00683B48">
        <w:rPr>
          <w:rFonts w:cs="Arial"/>
          <w:sz w:val="24"/>
          <w:szCs w:val="24"/>
        </w:rPr>
        <w:t xml:space="preserve">Each of these cases </w:t>
      </w:r>
      <w:r w:rsidR="00054B32" w:rsidRPr="00683B48">
        <w:rPr>
          <w:rFonts w:cs="Arial"/>
          <w:sz w:val="24"/>
          <w:szCs w:val="24"/>
        </w:rPr>
        <w:t xml:space="preserve">was </w:t>
      </w:r>
      <w:r w:rsidRPr="00683B48">
        <w:rPr>
          <w:rFonts w:cs="Arial"/>
          <w:sz w:val="24"/>
          <w:szCs w:val="24"/>
        </w:rPr>
        <w:t xml:space="preserve">highly strategic and the </w:t>
      </w:r>
      <w:r w:rsidR="00F34719" w:rsidRPr="00683B48">
        <w:rPr>
          <w:rFonts w:cs="Arial"/>
          <w:sz w:val="24"/>
          <w:szCs w:val="24"/>
        </w:rPr>
        <w:t xml:space="preserve">ruling </w:t>
      </w:r>
      <w:r w:rsidRPr="00683B48">
        <w:rPr>
          <w:rFonts w:cs="Arial"/>
          <w:sz w:val="24"/>
          <w:szCs w:val="24"/>
        </w:rPr>
        <w:t>of the ECtHR settled the law in the UK</w:t>
      </w:r>
      <w:r w:rsidR="00054B32" w:rsidRPr="00683B48">
        <w:rPr>
          <w:rFonts w:cs="Arial"/>
          <w:sz w:val="24"/>
          <w:szCs w:val="24"/>
        </w:rPr>
        <w:t>,</w:t>
      </w:r>
      <w:r w:rsidRPr="00683B48">
        <w:rPr>
          <w:rFonts w:cs="Arial"/>
          <w:sz w:val="24"/>
          <w:szCs w:val="24"/>
        </w:rPr>
        <w:t xml:space="preserve"> which had been uncertain for several years. There was considerable </w:t>
      </w:r>
      <w:r w:rsidR="00054B32" w:rsidRPr="00683B48">
        <w:rPr>
          <w:rFonts w:cs="Arial"/>
          <w:sz w:val="24"/>
          <w:szCs w:val="24"/>
        </w:rPr>
        <w:t>media coverage</w:t>
      </w:r>
      <w:r w:rsidRPr="00683B48">
        <w:rPr>
          <w:rFonts w:cs="Arial"/>
          <w:sz w:val="24"/>
          <w:szCs w:val="24"/>
        </w:rPr>
        <w:t xml:space="preserve"> and controversy over all </w:t>
      </w:r>
      <w:r w:rsidR="00054B32" w:rsidRPr="00683B48">
        <w:rPr>
          <w:rFonts w:cs="Arial"/>
          <w:sz w:val="24"/>
          <w:szCs w:val="24"/>
        </w:rPr>
        <w:t>four</w:t>
      </w:r>
      <w:r w:rsidRPr="00683B48">
        <w:rPr>
          <w:rFonts w:cs="Arial"/>
          <w:sz w:val="24"/>
          <w:szCs w:val="24"/>
        </w:rPr>
        <w:t xml:space="preserve"> cases</w:t>
      </w:r>
      <w:r w:rsidR="00BB4FD4" w:rsidRPr="00683B48">
        <w:rPr>
          <w:rFonts w:cs="Arial"/>
          <w:sz w:val="24"/>
          <w:szCs w:val="24"/>
        </w:rPr>
        <w:t>, requiring</w:t>
      </w:r>
      <w:r w:rsidRPr="00683B48">
        <w:rPr>
          <w:rFonts w:cs="Arial"/>
          <w:sz w:val="24"/>
          <w:szCs w:val="24"/>
        </w:rPr>
        <w:t xml:space="preserve"> great care </w:t>
      </w:r>
      <w:r w:rsidR="008F2EFF" w:rsidRPr="00683B48">
        <w:rPr>
          <w:rFonts w:cs="Arial"/>
          <w:sz w:val="24"/>
          <w:szCs w:val="24"/>
        </w:rPr>
        <w:t xml:space="preserve">in the </w:t>
      </w:r>
      <w:r w:rsidRPr="00683B48">
        <w:rPr>
          <w:rFonts w:cs="Arial"/>
          <w:sz w:val="24"/>
          <w:szCs w:val="24"/>
        </w:rPr>
        <w:t>prepar</w:t>
      </w:r>
      <w:r w:rsidR="008F2EFF" w:rsidRPr="00683B48">
        <w:rPr>
          <w:rFonts w:cs="Arial"/>
          <w:sz w:val="24"/>
          <w:szCs w:val="24"/>
        </w:rPr>
        <w:t>ation of</w:t>
      </w:r>
      <w:r w:rsidRPr="00683B48">
        <w:rPr>
          <w:rFonts w:cs="Arial"/>
          <w:sz w:val="24"/>
          <w:szCs w:val="24"/>
        </w:rPr>
        <w:t xml:space="preserve"> press statements and pleadings. </w:t>
      </w:r>
      <w:r w:rsidR="00F407F5" w:rsidRPr="00683B48">
        <w:rPr>
          <w:rFonts w:cs="Arial"/>
          <w:sz w:val="24"/>
          <w:szCs w:val="24"/>
        </w:rPr>
        <w:t>Following this case</w:t>
      </w:r>
      <w:r w:rsidRPr="00683B48">
        <w:rPr>
          <w:rFonts w:cs="Arial"/>
          <w:sz w:val="24"/>
          <w:szCs w:val="24"/>
        </w:rPr>
        <w:t xml:space="preserve">, the </w:t>
      </w:r>
      <w:r w:rsidR="00874611" w:rsidRPr="00683B48">
        <w:rPr>
          <w:rFonts w:cs="Arial"/>
          <w:sz w:val="24"/>
          <w:szCs w:val="24"/>
        </w:rPr>
        <w:t>British</w:t>
      </w:r>
      <w:r w:rsidRPr="00683B48">
        <w:rPr>
          <w:rFonts w:cs="Arial"/>
          <w:sz w:val="24"/>
          <w:szCs w:val="24"/>
        </w:rPr>
        <w:t xml:space="preserve"> </w:t>
      </w:r>
      <w:r w:rsidR="00874611" w:rsidRPr="00683B48">
        <w:rPr>
          <w:rFonts w:cs="Arial"/>
          <w:sz w:val="24"/>
          <w:szCs w:val="24"/>
        </w:rPr>
        <w:t xml:space="preserve">equality body </w:t>
      </w:r>
      <w:r w:rsidR="00D55202" w:rsidRPr="00683B48">
        <w:rPr>
          <w:rFonts w:cs="Arial"/>
          <w:sz w:val="24"/>
          <w:szCs w:val="24"/>
        </w:rPr>
        <w:t xml:space="preserve">drafted </w:t>
      </w:r>
      <w:r w:rsidRPr="00683B48">
        <w:rPr>
          <w:rFonts w:cs="Arial"/>
          <w:sz w:val="24"/>
          <w:szCs w:val="24"/>
        </w:rPr>
        <w:t>guidance for employers</w:t>
      </w:r>
      <w:r w:rsidR="00D55202" w:rsidRPr="00683B48">
        <w:rPr>
          <w:rFonts w:cs="Arial"/>
          <w:sz w:val="24"/>
          <w:szCs w:val="24"/>
        </w:rPr>
        <w:t>,</w:t>
      </w:r>
      <w:r w:rsidRPr="00683B48">
        <w:rPr>
          <w:rFonts w:cs="Arial"/>
          <w:sz w:val="24"/>
          <w:szCs w:val="24"/>
        </w:rPr>
        <w:t xml:space="preserve"> explain</w:t>
      </w:r>
      <w:r w:rsidR="00D55202" w:rsidRPr="00683B48">
        <w:rPr>
          <w:rFonts w:cs="Arial"/>
          <w:sz w:val="24"/>
          <w:szCs w:val="24"/>
        </w:rPr>
        <w:t>ing</w:t>
      </w:r>
      <w:r w:rsidRPr="00683B48">
        <w:rPr>
          <w:rFonts w:cs="Arial"/>
          <w:sz w:val="24"/>
          <w:szCs w:val="24"/>
        </w:rPr>
        <w:t xml:space="preserve"> the </w:t>
      </w:r>
      <w:r w:rsidR="00D55202" w:rsidRPr="00683B48">
        <w:rPr>
          <w:rFonts w:cs="Arial"/>
          <w:sz w:val="24"/>
          <w:szCs w:val="24"/>
        </w:rPr>
        <w:t xml:space="preserve">rulings </w:t>
      </w:r>
      <w:r w:rsidRPr="00683B48">
        <w:rPr>
          <w:rFonts w:cs="Arial"/>
          <w:sz w:val="24"/>
          <w:szCs w:val="24"/>
        </w:rPr>
        <w:t xml:space="preserve">and </w:t>
      </w:r>
      <w:r w:rsidR="00D55202" w:rsidRPr="00683B48">
        <w:rPr>
          <w:rFonts w:cs="Arial"/>
          <w:sz w:val="24"/>
          <w:szCs w:val="24"/>
        </w:rPr>
        <w:t xml:space="preserve">how to </w:t>
      </w:r>
      <w:r w:rsidRPr="00683B48">
        <w:rPr>
          <w:rFonts w:cs="Arial"/>
          <w:sz w:val="24"/>
          <w:szCs w:val="24"/>
        </w:rPr>
        <w:t>manage religion and belief issues in the workplace.</w:t>
      </w:r>
    </w:p>
    <w:p w14:paraId="7B50032F" w14:textId="77777777" w:rsidR="00815564" w:rsidRDefault="00815564">
      <w:pPr>
        <w:spacing w:after="0" w:line="240" w:lineRule="auto"/>
        <w:rPr>
          <w:rFonts w:cs="Arial"/>
          <w:b/>
          <w:sz w:val="36"/>
          <w:szCs w:val="36"/>
        </w:rPr>
      </w:pPr>
      <w:bookmarkStart w:id="6" w:name="chapter5"/>
      <w:r>
        <w:rPr>
          <w:rFonts w:cs="Arial"/>
          <w:b/>
          <w:sz w:val="36"/>
          <w:szCs w:val="36"/>
        </w:rPr>
        <w:br w:type="page"/>
      </w:r>
    </w:p>
    <w:p w14:paraId="47972340" w14:textId="77777777" w:rsidR="00FD4AC6" w:rsidRPr="00D27A66" w:rsidRDefault="00FD4AC6" w:rsidP="00D27A66">
      <w:pPr>
        <w:jc w:val="both"/>
        <w:rPr>
          <w:rFonts w:cs="Arial"/>
          <w:b/>
          <w:sz w:val="36"/>
          <w:szCs w:val="36"/>
        </w:rPr>
      </w:pPr>
      <w:r w:rsidRPr="00D27A66">
        <w:rPr>
          <w:rFonts w:cs="Arial"/>
          <w:b/>
          <w:sz w:val="36"/>
          <w:szCs w:val="36"/>
        </w:rPr>
        <w:lastRenderedPageBreak/>
        <w:t>C</w:t>
      </w:r>
      <w:r w:rsidR="004D7AB0" w:rsidRPr="00D27A66">
        <w:rPr>
          <w:rFonts w:cs="Arial"/>
          <w:b/>
          <w:sz w:val="36"/>
          <w:szCs w:val="36"/>
        </w:rPr>
        <w:t>HAPTER</w:t>
      </w:r>
      <w:r w:rsidR="00D27A66">
        <w:rPr>
          <w:rFonts w:cs="Arial"/>
          <w:b/>
          <w:sz w:val="36"/>
          <w:szCs w:val="36"/>
        </w:rPr>
        <w:t xml:space="preserve"> 5:</w:t>
      </w:r>
      <w:r w:rsidRPr="00D27A66">
        <w:rPr>
          <w:rFonts w:cs="Arial"/>
          <w:b/>
          <w:sz w:val="36"/>
          <w:szCs w:val="36"/>
        </w:rPr>
        <w:t xml:space="preserve"> S</w:t>
      </w:r>
      <w:r w:rsidR="004D7AB0" w:rsidRPr="00D27A66">
        <w:rPr>
          <w:rFonts w:cs="Arial"/>
          <w:b/>
          <w:sz w:val="36"/>
          <w:szCs w:val="36"/>
        </w:rPr>
        <w:t>OURCING CASES</w:t>
      </w:r>
      <w:r w:rsidRPr="00D27A66">
        <w:rPr>
          <w:rFonts w:cs="Arial"/>
          <w:b/>
          <w:sz w:val="36"/>
          <w:szCs w:val="36"/>
        </w:rPr>
        <w:t xml:space="preserve">  </w:t>
      </w:r>
    </w:p>
    <w:bookmarkEnd w:id="6"/>
    <w:p w14:paraId="0C302DC9" w14:textId="2A975A53" w:rsidR="00FD4AC6" w:rsidRPr="00683B48" w:rsidRDefault="00784895" w:rsidP="00FD78A5">
      <w:pPr>
        <w:spacing w:before="100" w:beforeAutospacing="1"/>
        <w:jc w:val="both"/>
        <w:rPr>
          <w:rFonts w:cs="Arial"/>
          <w:b/>
          <w:sz w:val="24"/>
          <w:szCs w:val="24"/>
          <w:lang w:val="en-US"/>
        </w:rPr>
      </w:pPr>
      <w:r>
        <w:rPr>
          <w:rFonts w:cs="Arial"/>
          <w:b/>
          <w:sz w:val="24"/>
          <w:szCs w:val="24"/>
          <w:lang w:val="en-US"/>
        </w:rPr>
        <w:t>METHODS TO ENSURE THAT GOOD CASES REACH THE EQUALITY BODY</w:t>
      </w:r>
    </w:p>
    <w:p w14:paraId="2F594233" w14:textId="77777777" w:rsidR="00FD4AC6" w:rsidRPr="00683B48" w:rsidRDefault="00FD4AC6" w:rsidP="00FD78A5">
      <w:pPr>
        <w:spacing w:before="100" w:beforeAutospacing="1"/>
        <w:jc w:val="both"/>
        <w:rPr>
          <w:rFonts w:cs="Arial"/>
          <w:sz w:val="24"/>
          <w:szCs w:val="24"/>
          <w:lang w:val="en-US"/>
        </w:rPr>
      </w:pPr>
      <w:r w:rsidRPr="00683B48">
        <w:rPr>
          <w:rFonts w:cs="Arial"/>
          <w:sz w:val="24"/>
          <w:szCs w:val="24"/>
          <w:lang w:val="en-US"/>
        </w:rPr>
        <w:t xml:space="preserve">Once strategic </w:t>
      </w:r>
      <w:r w:rsidR="00950EB1" w:rsidRPr="00683B48">
        <w:rPr>
          <w:rFonts w:cs="Arial"/>
          <w:sz w:val="24"/>
          <w:szCs w:val="24"/>
          <w:lang w:val="en-US"/>
        </w:rPr>
        <w:t xml:space="preserve">objectives and </w:t>
      </w:r>
      <w:r w:rsidRPr="00683B48">
        <w:rPr>
          <w:rFonts w:cs="Arial"/>
          <w:sz w:val="24"/>
          <w:szCs w:val="24"/>
          <w:lang w:val="en-US"/>
        </w:rPr>
        <w:t xml:space="preserve">priorities have been identified, the search for cases can begin. </w:t>
      </w:r>
      <w:r w:rsidR="00E11E79" w:rsidRPr="00683B48">
        <w:rPr>
          <w:rFonts w:cs="Arial"/>
          <w:sz w:val="24"/>
          <w:szCs w:val="24"/>
          <w:lang w:val="en-US"/>
        </w:rPr>
        <w:t>E</w:t>
      </w:r>
      <w:r w:rsidRPr="00683B48">
        <w:rPr>
          <w:rFonts w:cs="Arial"/>
          <w:sz w:val="24"/>
          <w:szCs w:val="24"/>
          <w:lang w:val="en-US"/>
        </w:rPr>
        <w:t xml:space="preserve">quality bodies </w:t>
      </w:r>
      <w:r w:rsidR="00E11E79" w:rsidRPr="00683B48">
        <w:rPr>
          <w:rFonts w:cs="Arial"/>
          <w:sz w:val="24"/>
          <w:szCs w:val="24"/>
          <w:lang w:val="en-US"/>
        </w:rPr>
        <w:t xml:space="preserve">with considerable experience of </w:t>
      </w:r>
      <w:r w:rsidRPr="00683B48">
        <w:rPr>
          <w:rFonts w:cs="Arial"/>
          <w:sz w:val="24"/>
          <w:szCs w:val="24"/>
          <w:lang w:val="en-US"/>
        </w:rPr>
        <w:t>conduct</w:t>
      </w:r>
      <w:r w:rsidR="00E11E79" w:rsidRPr="00683B48">
        <w:rPr>
          <w:rFonts w:cs="Arial"/>
          <w:sz w:val="24"/>
          <w:szCs w:val="24"/>
          <w:lang w:val="en-US"/>
        </w:rPr>
        <w:t>ing</w:t>
      </w:r>
      <w:r w:rsidRPr="00683B48">
        <w:rPr>
          <w:rFonts w:cs="Arial"/>
          <w:sz w:val="24"/>
          <w:szCs w:val="24"/>
          <w:lang w:val="en-US"/>
        </w:rPr>
        <w:t xml:space="preserve"> strategic litigation </w:t>
      </w:r>
      <w:r w:rsidR="00E11E79" w:rsidRPr="00683B48">
        <w:rPr>
          <w:rFonts w:cs="Arial"/>
          <w:sz w:val="24"/>
          <w:szCs w:val="24"/>
          <w:lang w:val="en-US"/>
        </w:rPr>
        <w:t xml:space="preserve">have </w:t>
      </w:r>
      <w:r w:rsidRPr="00683B48">
        <w:rPr>
          <w:rFonts w:cs="Arial"/>
          <w:sz w:val="24"/>
          <w:szCs w:val="24"/>
          <w:lang w:val="en-US"/>
        </w:rPr>
        <w:t>show</w:t>
      </w:r>
      <w:r w:rsidR="00E11E79" w:rsidRPr="00683B48">
        <w:rPr>
          <w:rFonts w:cs="Arial"/>
          <w:sz w:val="24"/>
          <w:szCs w:val="24"/>
          <w:lang w:val="en-US"/>
        </w:rPr>
        <w:t>n</w:t>
      </w:r>
      <w:r w:rsidRPr="00683B48">
        <w:rPr>
          <w:rFonts w:cs="Arial"/>
          <w:sz w:val="24"/>
          <w:szCs w:val="24"/>
          <w:lang w:val="en-US"/>
        </w:rPr>
        <w:t xml:space="preserve"> that strategic cases often </w:t>
      </w:r>
      <w:r w:rsidR="00E11E79" w:rsidRPr="00683B48">
        <w:rPr>
          <w:rFonts w:cs="Arial"/>
          <w:sz w:val="24"/>
          <w:szCs w:val="24"/>
          <w:lang w:val="en-US"/>
        </w:rPr>
        <w:t>reach the body through</w:t>
      </w:r>
      <w:r w:rsidRPr="00683B48">
        <w:rPr>
          <w:rFonts w:cs="Arial"/>
          <w:sz w:val="24"/>
          <w:szCs w:val="24"/>
          <w:lang w:val="en-US"/>
        </w:rPr>
        <w:t xml:space="preserve"> non-governmental organizations, lawyers, media, other public and private entities, as well as complaints directly from individuals. These </w:t>
      </w:r>
      <w:r w:rsidR="00E11E79" w:rsidRPr="00683B48">
        <w:rPr>
          <w:rFonts w:cs="Arial"/>
          <w:sz w:val="24"/>
          <w:szCs w:val="24"/>
          <w:lang w:val="en-US"/>
        </w:rPr>
        <w:t xml:space="preserve">various possible </w:t>
      </w:r>
      <w:r w:rsidRPr="00683B48">
        <w:rPr>
          <w:rFonts w:cs="Arial"/>
          <w:sz w:val="24"/>
          <w:szCs w:val="24"/>
          <w:lang w:val="en-US"/>
        </w:rPr>
        <w:t>sources of strategic cases are briefly discussed below.</w:t>
      </w:r>
    </w:p>
    <w:p w14:paraId="0E4D71A0" w14:textId="19D7D1F4" w:rsidR="00FD4AC6" w:rsidRPr="00683B48" w:rsidRDefault="00E11E79" w:rsidP="00FD78A5">
      <w:pPr>
        <w:spacing w:before="100" w:beforeAutospacing="1"/>
        <w:jc w:val="both"/>
        <w:rPr>
          <w:rFonts w:cs="Arial"/>
          <w:b/>
          <w:sz w:val="24"/>
          <w:szCs w:val="24"/>
          <w:lang w:val="en-US"/>
        </w:rPr>
      </w:pPr>
      <w:r w:rsidRPr="006F3139">
        <w:rPr>
          <w:rFonts w:cs="Arial"/>
          <w:b/>
          <w:sz w:val="24"/>
          <w:szCs w:val="24"/>
          <w:u w:val="single"/>
          <w:lang w:val="en-US"/>
        </w:rPr>
        <w:t>The E</w:t>
      </w:r>
      <w:r w:rsidR="00FD4AC6" w:rsidRPr="006F3139">
        <w:rPr>
          <w:rFonts w:cs="Arial"/>
          <w:b/>
          <w:sz w:val="24"/>
          <w:szCs w:val="24"/>
          <w:u w:val="single"/>
          <w:lang w:val="en-US"/>
        </w:rPr>
        <w:t xml:space="preserve">quality </w:t>
      </w:r>
      <w:r w:rsidRPr="006F3139">
        <w:rPr>
          <w:rFonts w:cs="Arial"/>
          <w:b/>
          <w:sz w:val="24"/>
          <w:szCs w:val="24"/>
          <w:u w:val="single"/>
          <w:lang w:val="en-US"/>
        </w:rPr>
        <w:t>B</w:t>
      </w:r>
      <w:r w:rsidR="00FD4AC6" w:rsidRPr="006F3139">
        <w:rPr>
          <w:rFonts w:cs="Arial"/>
          <w:b/>
          <w:sz w:val="24"/>
          <w:szCs w:val="24"/>
          <w:u w:val="single"/>
          <w:lang w:val="en-US"/>
        </w:rPr>
        <w:t>od</w:t>
      </w:r>
      <w:r w:rsidRPr="006F3139">
        <w:rPr>
          <w:rFonts w:cs="Arial"/>
          <w:b/>
          <w:sz w:val="24"/>
          <w:szCs w:val="24"/>
          <w:u w:val="single"/>
          <w:lang w:val="en-US"/>
        </w:rPr>
        <w:t>y</w:t>
      </w:r>
      <w:r w:rsidR="00FD4AC6" w:rsidRPr="006F3139">
        <w:rPr>
          <w:rFonts w:cs="Arial"/>
          <w:b/>
          <w:sz w:val="24"/>
          <w:szCs w:val="24"/>
          <w:u w:val="single"/>
          <w:lang w:val="en-US"/>
        </w:rPr>
        <w:t xml:space="preserve"> </w:t>
      </w:r>
    </w:p>
    <w:p w14:paraId="4C0CCB76" w14:textId="77777777" w:rsidR="00FD4AC6" w:rsidRPr="00683B48" w:rsidRDefault="00FD4AC6" w:rsidP="00FD78A5">
      <w:pPr>
        <w:spacing w:before="100" w:beforeAutospacing="1"/>
        <w:jc w:val="both"/>
        <w:rPr>
          <w:rFonts w:cs="Arial"/>
          <w:sz w:val="24"/>
          <w:szCs w:val="24"/>
          <w:lang w:val="en-US"/>
        </w:rPr>
      </w:pPr>
      <w:r w:rsidRPr="00683B48">
        <w:rPr>
          <w:rFonts w:cs="Arial"/>
          <w:sz w:val="24"/>
          <w:szCs w:val="24"/>
          <w:lang w:val="en-US"/>
        </w:rPr>
        <w:t>Depending on the size, resources and remit of the equality body</w:t>
      </w:r>
      <w:r w:rsidR="00E11E79" w:rsidRPr="00683B48">
        <w:rPr>
          <w:rFonts w:cs="Arial"/>
          <w:sz w:val="24"/>
          <w:szCs w:val="24"/>
          <w:lang w:val="en-US"/>
        </w:rPr>
        <w:t>, it may itself</w:t>
      </w:r>
      <w:r w:rsidRPr="00683B48">
        <w:rPr>
          <w:rFonts w:cs="Arial"/>
          <w:sz w:val="24"/>
          <w:szCs w:val="24"/>
          <w:lang w:val="en-US"/>
        </w:rPr>
        <w:t xml:space="preserve"> establish </w:t>
      </w:r>
      <w:r w:rsidR="00E11E79" w:rsidRPr="00683B48">
        <w:rPr>
          <w:rFonts w:cs="Arial"/>
          <w:sz w:val="24"/>
          <w:szCs w:val="24"/>
          <w:lang w:val="en-US"/>
        </w:rPr>
        <w:t>channels by which individuals can</w:t>
      </w:r>
      <w:r w:rsidRPr="00683B48">
        <w:rPr>
          <w:rFonts w:cs="Arial"/>
          <w:sz w:val="24"/>
          <w:szCs w:val="24"/>
          <w:lang w:val="en-US"/>
        </w:rPr>
        <w:t xml:space="preserve"> </w:t>
      </w:r>
      <w:r w:rsidR="00E11E79" w:rsidRPr="00683B48">
        <w:rPr>
          <w:rFonts w:cs="Arial"/>
          <w:sz w:val="24"/>
          <w:szCs w:val="24"/>
          <w:lang w:val="en-US"/>
        </w:rPr>
        <w:t>submit</w:t>
      </w:r>
      <w:r w:rsidRPr="00683B48">
        <w:rPr>
          <w:rFonts w:cs="Arial"/>
          <w:sz w:val="24"/>
          <w:szCs w:val="24"/>
          <w:lang w:val="en-US"/>
        </w:rPr>
        <w:t xml:space="preserve"> strategic cases</w:t>
      </w:r>
      <w:r w:rsidR="00E11E79" w:rsidRPr="00683B48">
        <w:rPr>
          <w:rFonts w:cs="Arial"/>
          <w:sz w:val="24"/>
          <w:szCs w:val="24"/>
          <w:lang w:val="en-US"/>
        </w:rPr>
        <w:t xml:space="preserve"> to the body. Such channels may be a</w:t>
      </w:r>
      <w:r w:rsidRPr="00683B48">
        <w:rPr>
          <w:rFonts w:cs="Arial"/>
          <w:sz w:val="24"/>
          <w:szCs w:val="24"/>
          <w:lang w:val="en-US"/>
        </w:rPr>
        <w:t xml:space="preserve"> </w:t>
      </w:r>
      <w:r w:rsidR="00E11E79" w:rsidRPr="00683B48">
        <w:rPr>
          <w:rFonts w:cs="Arial"/>
          <w:sz w:val="24"/>
          <w:szCs w:val="24"/>
          <w:lang w:val="en-US"/>
        </w:rPr>
        <w:t>h</w:t>
      </w:r>
      <w:r w:rsidRPr="00683B48">
        <w:rPr>
          <w:rFonts w:cs="Arial"/>
          <w:sz w:val="24"/>
          <w:szCs w:val="24"/>
          <w:lang w:val="en-US"/>
        </w:rPr>
        <w:t>elpline</w:t>
      </w:r>
      <w:r w:rsidR="00E11E79" w:rsidRPr="00683B48">
        <w:rPr>
          <w:rFonts w:cs="Arial"/>
          <w:sz w:val="24"/>
          <w:szCs w:val="24"/>
          <w:lang w:val="en-US"/>
        </w:rPr>
        <w:t>,</w:t>
      </w:r>
      <w:r w:rsidRPr="00683B48">
        <w:rPr>
          <w:rFonts w:cs="Arial"/>
          <w:sz w:val="24"/>
          <w:szCs w:val="24"/>
          <w:lang w:val="en-US"/>
        </w:rPr>
        <w:t xml:space="preserve"> casework </w:t>
      </w:r>
      <w:r w:rsidR="004C1FBD" w:rsidRPr="00683B48">
        <w:rPr>
          <w:rFonts w:cs="Arial"/>
          <w:sz w:val="24"/>
          <w:szCs w:val="24"/>
          <w:lang w:val="en-US"/>
        </w:rPr>
        <w:t xml:space="preserve">or external relations </w:t>
      </w:r>
      <w:r w:rsidRPr="00683B48">
        <w:rPr>
          <w:rFonts w:cs="Arial"/>
          <w:sz w:val="24"/>
          <w:szCs w:val="24"/>
          <w:lang w:val="en-US"/>
        </w:rPr>
        <w:t xml:space="preserve">department </w:t>
      </w:r>
      <w:r w:rsidR="004C1FBD" w:rsidRPr="00683B48">
        <w:rPr>
          <w:rFonts w:cs="Arial"/>
          <w:sz w:val="24"/>
          <w:szCs w:val="24"/>
          <w:lang w:val="en-US"/>
        </w:rPr>
        <w:t xml:space="preserve">which </w:t>
      </w:r>
      <w:r w:rsidRPr="00683B48">
        <w:rPr>
          <w:rFonts w:cs="Arial"/>
          <w:sz w:val="24"/>
          <w:szCs w:val="24"/>
          <w:lang w:val="en-US"/>
        </w:rPr>
        <w:t xml:space="preserve">receive correspondence from the public, parliamentarians and interested organizations. For equality bodies that receive large numbers of complaints, a system of identifying and filtering out potentially strategic cases at an early stage should be established so that those cases can be managed with a view to litigation at a later stage should they not be resolved. </w:t>
      </w:r>
    </w:p>
    <w:p w14:paraId="21E63A85" w14:textId="0B70FAF2" w:rsidR="00FD4AC6" w:rsidRPr="00683B48" w:rsidRDefault="00FD4AC6" w:rsidP="00FD78A5">
      <w:pPr>
        <w:spacing w:before="100" w:beforeAutospacing="1"/>
        <w:jc w:val="both"/>
        <w:rPr>
          <w:rFonts w:cs="Arial"/>
          <w:b/>
          <w:sz w:val="24"/>
          <w:szCs w:val="24"/>
          <w:lang w:val="en-US"/>
        </w:rPr>
      </w:pPr>
      <w:r w:rsidRPr="006F3139">
        <w:rPr>
          <w:rFonts w:cs="Arial"/>
          <w:b/>
          <w:sz w:val="24"/>
          <w:szCs w:val="24"/>
          <w:u w:val="single"/>
          <w:lang w:val="en-US"/>
        </w:rPr>
        <w:t>Non-</w:t>
      </w:r>
      <w:r w:rsidR="004C1FBD" w:rsidRPr="006F3139">
        <w:rPr>
          <w:rFonts w:cs="Arial"/>
          <w:b/>
          <w:sz w:val="24"/>
          <w:szCs w:val="24"/>
          <w:u w:val="single"/>
          <w:lang w:val="en-US"/>
        </w:rPr>
        <w:t>G</w:t>
      </w:r>
      <w:r w:rsidRPr="006F3139">
        <w:rPr>
          <w:rFonts w:cs="Arial"/>
          <w:b/>
          <w:sz w:val="24"/>
          <w:szCs w:val="24"/>
          <w:u w:val="single"/>
          <w:lang w:val="en-US"/>
        </w:rPr>
        <w:t xml:space="preserve">overnmental </w:t>
      </w:r>
      <w:r w:rsidR="004C1FBD" w:rsidRPr="006F3139">
        <w:rPr>
          <w:rFonts w:cs="Arial"/>
          <w:b/>
          <w:sz w:val="24"/>
          <w:szCs w:val="24"/>
          <w:u w:val="single"/>
          <w:lang w:val="en-US"/>
        </w:rPr>
        <w:t>O</w:t>
      </w:r>
      <w:r w:rsidRPr="006F3139">
        <w:rPr>
          <w:rFonts w:cs="Arial"/>
          <w:b/>
          <w:sz w:val="24"/>
          <w:szCs w:val="24"/>
          <w:u w:val="single"/>
          <w:lang w:val="en-US"/>
        </w:rPr>
        <w:t xml:space="preserve">rganizations (NGOs) </w:t>
      </w:r>
    </w:p>
    <w:p w14:paraId="185FD331" w14:textId="77777777" w:rsidR="004D3111" w:rsidRPr="00683B48" w:rsidRDefault="004C1FBD" w:rsidP="00FD78A5">
      <w:pPr>
        <w:spacing w:before="100" w:beforeAutospacing="1"/>
        <w:jc w:val="both"/>
        <w:rPr>
          <w:rFonts w:cs="Arial"/>
          <w:sz w:val="24"/>
          <w:szCs w:val="24"/>
          <w:lang w:val="en-US"/>
        </w:rPr>
      </w:pPr>
      <w:r w:rsidRPr="00683B48">
        <w:rPr>
          <w:rFonts w:cs="Arial"/>
          <w:sz w:val="24"/>
          <w:szCs w:val="24"/>
          <w:lang w:val="en-US"/>
        </w:rPr>
        <w:t>NGOs</w:t>
      </w:r>
      <w:r w:rsidR="00FD4AC6" w:rsidRPr="00683B48">
        <w:rPr>
          <w:rFonts w:cs="Arial"/>
          <w:sz w:val="24"/>
          <w:szCs w:val="24"/>
          <w:lang w:val="en-US"/>
        </w:rPr>
        <w:t xml:space="preserve"> are a very useful source of intelligence and strategic cases. They are often on the front</w:t>
      </w:r>
      <w:r w:rsidRPr="00683B48">
        <w:rPr>
          <w:rFonts w:cs="Arial"/>
          <w:sz w:val="24"/>
          <w:szCs w:val="24"/>
          <w:lang w:val="en-US"/>
        </w:rPr>
        <w:t xml:space="preserve"> </w:t>
      </w:r>
      <w:r w:rsidR="00FD4AC6" w:rsidRPr="00683B48">
        <w:rPr>
          <w:rFonts w:cs="Arial"/>
          <w:sz w:val="24"/>
          <w:szCs w:val="24"/>
          <w:lang w:val="en-US"/>
        </w:rPr>
        <w:t>line in the fight for rights of particular groups and have direct contact with</w:t>
      </w:r>
      <w:r w:rsidRPr="00683B48">
        <w:rPr>
          <w:rFonts w:cs="Arial"/>
          <w:sz w:val="24"/>
          <w:szCs w:val="24"/>
          <w:lang w:val="en-US"/>
        </w:rPr>
        <w:t>,</w:t>
      </w:r>
      <w:r w:rsidR="00FD4AC6" w:rsidRPr="00683B48">
        <w:rPr>
          <w:rFonts w:cs="Arial"/>
          <w:sz w:val="24"/>
          <w:szCs w:val="24"/>
          <w:lang w:val="en-US"/>
        </w:rPr>
        <w:t xml:space="preserve"> </w:t>
      </w:r>
      <w:r w:rsidRPr="00683B48">
        <w:rPr>
          <w:rFonts w:cs="Arial"/>
          <w:sz w:val="24"/>
          <w:szCs w:val="24"/>
          <w:lang w:val="en-US"/>
        </w:rPr>
        <w:t xml:space="preserve">and have the confidence of, </w:t>
      </w:r>
      <w:r w:rsidR="00FD4AC6" w:rsidRPr="00683B48">
        <w:rPr>
          <w:rFonts w:cs="Arial"/>
          <w:sz w:val="24"/>
          <w:szCs w:val="24"/>
          <w:lang w:val="en-US"/>
        </w:rPr>
        <w:t>victims of discrimination</w:t>
      </w:r>
      <w:r w:rsidRPr="00683B48">
        <w:rPr>
          <w:rFonts w:cs="Arial"/>
          <w:sz w:val="24"/>
          <w:szCs w:val="24"/>
          <w:lang w:val="en-US"/>
        </w:rPr>
        <w:t>, particularly in areas w</w:t>
      </w:r>
      <w:r w:rsidR="00FD4AC6" w:rsidRPr="00683B48">
        <w:rPr>
          <w:rFonts w:cs="Arial"/>
          <w:sz w:val="24"/>
          <w:szCs w:val="24"/>
          <w:lang w:val="en-US"/>
        </w:rPr>
        <w:t xml:space="preserve">here problems </w:t>
      </w:r>
      <w:r w:rsidRPr="00683B48">
        <w:rPr>
          <w:rFonts w:cs="Arial"/>
          <w:sz w:val="24"/>
          <w:szCs w:val="24"/>
          <w:lang w:val="en-US"/>
        </w:rPr>
        <w:t>may</w:t>
      </w:r>
      <w:r w:rsidR="00600DF1" w:rsidRPr="00683B48">
        <w:rPr>
          <w:rFonts w:cs="Arial"/>
          <w:sz w:val="24"/>
          <w:szCs w:val="24"/>
          <w:lang w:val="en-US"/>
        </w:rPr>
        <w:t xml:space="preserve"> be</w:t>
      </w:r>
      <w:r w:rsidRPr="00683B48">
        <w:rPr>
          <w:rFonts w:cs="Arial"/>
          <w:sz w:val="24"/>
          <w:szCs w:val="24"/>
          <w:lang w:val="en-US"/>
        </w:rPr>
        <w:t xml:space="preserve"> </w:t>
      </w:r>
      <w:r w:rsidR="00FD4AC6" w:rsidRPr="00683B48">
        <w:rPr>
          <w:rFonts w:cs="Arial"/>
          <w:sz w:val="24"/>
          <w:szCs w:val="24"/>
          <w:lang w:val="en-US"/>
        </w:rPr>
        <w:t>underreported</w:t>
      </w:r>
      <w:r w:rsidRPr="00683B48">
        <w:rPr>
          <w:rFonts w:cs="Arial"/>
          <w:sz w:val="24"/>
          <w:szCs w:val="24"/>
          <w:lang w:val="en-US"/>
        </w:rPr>
        <w:t xml:space="preserve">. </w:t>
      </w:r>
      <w:r w:rsidR="00FD4AC6" w:rsidRPr="00683B48">
        <w:rPr>
          <w:rFonts w:cs="Arial"/>
          <w:sz w:val="24"/>
          <w:szCs w:val="24"/>
          <w:lang w:val="en-US"/>
        </w:rPr>
        <w:t>It</w:t>
      </w:r>
      <w:r w:rsidRPr="00683B48">
        <w:rPr>
          <w:rFonts w:cs="Arial"/>
          <w:sz w:val="24"/>
          <w:szCs w:val="24"/>
          <w:lang w:val="en-US"/>
        </w:rPr>
        <w:t xml:space="preserve"> i</w:t>
      </w:r>
      <w:r w:rsidR="00FD4AC6" w:rsidRPr="00683B48">
        <w:rPr>
          <w:rFonts w:cs="Arial"/>
          <w:sz w:val="24"/>
          <w:szCs w:val="24"/>
          <w:lang w:val="en-US"/>
        </w:rPr>
        <w:t xml:space="preserve">s therefore important to identify </w:t>
      </w:r>
      <w:r w:rsidRPr="00683B48">
        <w:rPr>
          <w:rFonts w:cs="Arial"/>
          <w:sz w:val="24"/>
          <w:szCs w:val="24"/>
          <w:lang w:val="en-US"/>
        </w:rPr>
        <w:t xml:space="preserve">relevant </w:t>
      </w:r>
      <w:r w:rsidR="00FD4AC6" w:rsidRPr="00683B48">
        <w:rPr>
          <w:rFonts w:cs="Arial"/>
          <w:sz w:val="24"/>
          <w:szCs w:val="24"/>
          <w:lang w:val="en-US"/>
        </w:rPr>
        <w:t>NGOs and maintain relationship</w:t>
      </w:r>
      <w:r w:rsidRPr="00683B48">
        <w:rPr>
          <w:rFonts w:cs="Arial"/>
          <w:sz w:val="24"/>
          <w:szCs w:val="24"/>
          <w:lang w:val="en-US"/>
        </w:rPr>
        <w:t>s</w:t>
      </w:r>
      <w:r w:rsidR="00FD4AC6" w:rsidRPr="00683B48">
        <w:rPr>
          <w:rFonts w:cs="Arial"/>
          <w:sz w:val="24"/>
          <w:szCs w:val="24"/>
          <w:lang w:val="en-US"/>
        </w:rPr>
        <w:t xml:space="preserve"> with the</w:t>
      </w:r>
      <w:r w:rsidRPr="00683B48">
        <w:rPr>
          <w:rFonts w:cs="Arial"/>
          <w:sz w:val="24"/>
          <w:szCs w:val="24"/>
          <w:lang w:val="en-US"/>
        </w:rPr>
        <w:t>m, for example by specifying contact points within the equality body to ensure that the NGO has a direct line into the body should a relevant case or question arise.</w:t>
      </w:r>
      <w:r w:rsidR="00FD4AC6" w:rsidRPr="00683B48">
        <w:rPr>
          <w:rFonts w:cs="Arial"/>
          <w:sz w:val="24"/>
          <w:szCs w:val="24"/>
          <w:lang w:val="en-US"/>
        </w:rPr>
        <w:t xml:space="preserve"> A one</w:t>
      </w:r>
      <w:r w:rsidR="004D3111" w:rsidRPr="00683B48">
        <w:rPr>
          <w:rFonts w:cs="Arial"/>
          <w:sz w:val="24"/>
          <w:szCs w:val="24"/>
          <w:lang w:val="en-US"/>
        </w:rPr>
        <w:t>-</w:t>
      </w:r>
      <w:r w:rsidR="00FD4AC6" w:rsidRPr="00683B48">
        <w:rPr>
          <w:rFonts w:cs="Arial"/>
          <w:sz w:val="24"/>
          <w:szCs w:val="24"/>
          <w:lang w:val="en-US"/>
        </w:rPr>
        <w:t xml:space="preserve">off meeting, letter or call is unlikely to result in a lasting and mutually beneficial arrangement. Even if the NGO does not have a strategic case at present, one may come along in the future. It may also have good intelligence about current and changing issues, that can help the equality body formulate </w:t>
      </w:r>
      <w:r w:rsidR="004D3111" w:rsidRPr="00683B48">
        <w:rPr>
          <w:rFonts w:cs="Arial"/>
          <w:sz w:val="24"/>
          <w:szCs w:val="24"/>
          <w:lang w:val="en-US"/>
        </w:rPr>
        <w:t xml:space="preserve">its </w:t>
      </w:r>
      <w:r w:rsidR="00FD4AC6" w:rsidRPr="00683B48">
        <w:rPr>
          <w:rFonts w:cs="Arial"/>
          <w:sz w:val="24"/>
          <w:szCs w:val="24"/>
          <w:lang w:val="en-US"/>
        </w:rPr>
        <w:t xml:space="preserve">policy and even to get cases from elsewhere. </w:t>
      </w:r>
    </w:p>
    <w:p w14:paraId="2F35AE3B" w14:textId="0857D2C2" w:rsidR="00FD4AC6" w:rsidRPr="00683B48" w:rsidRDefault="00FD4AC6" w:rsidP="00FD78A5">
      <w:pPr>
        <w:spacing w:before="100" w:beforeAutospacing="1"/>
        <w:jc w:val="both"/>
        <w:rPr>
          <w:rFonts w:cs="Arial"/>
          <w:b/>
          <w:sz w:val="24"/>
          <w:szCs w:val="24"/>
          <w:lang w:val="en-US"/>
        </w:rPr>
      </w:pPr>
      <w:r w:rsidRPr="006F3139">
        <w:rPr>
          <w:rFonts w:cs="Arial"/>
          <w:b/>
          <w:sz w:val="24"/>
          <w:szCs w:val="24"/>
          <w:u w:val="single"/>
          <w:lang w:val="en-US"/>
        </w:rPr>
        <w:t>Lawyers and lawyers’ organizations</w:t>
      </w:r>
    </w:p>
    <w:p w14:paraId="3969E673" w14:textId="77777777" w:rsidR="00FD4AC6" w:rsidRPr="00683B48" w:rsidRDefault="00FD4AC6" w:rsidP="00FD78A5">
      <w:pPr>
        <w:spacing w:before="100" w:beforeAutospacing="1"/>
        <w:jc w:val="both"/>
        <w:rPr>
          <w:rFonts w:cs="Arial"/>
          <w:sz w:val="24"/>
          <w:szCs w:val="24"/>
          <w:lang w:val="en-US"/>
        </w:rPr>
      </w:pPr>
      <w:r w:rsidRPr="00683B48">
        <w:rPr>
          <w:rFonts w:cs="Arial"/>
          <w:sz w:val="24"/>
          <w:szCs w:val="24"/>
          <w:lang w:val="en-US"/>
        </w:rPr>
        <w:t xml:space="preserve">Lawyers </w:t>
      </w:r>
      <w:r w:rsidR="004C1FBD" w:rsidRPr="00683B48">
        <w:rPr>
          <w:rFonts w:cs="Arial"/>
          <w:sz w:val="24"/>
          <w:szCs w:val="24"/>
          <w:lang w:val="en-US"/>
        </w:rPr>
        <w:t xml:space="preserve">within private practice </w:t>
      </w:r>
      <w:r w:rsidRPr="00683B48">
        <w:rPr>
          <w:rFonts w:cs="Arial"/>
          <w:sz w:val="24"/>
          <w:szCs w:val="24"/>
          <w:lang w:val="en-US"/>
        </w:rPr>
        <w:t>are an excellent source of strategic cases</w:t>
      </w:r>
      <w:r w:rsidR="00D74A2D" w:rsidRPr="00683B48">
        <w:rPr>
          <w:rFonts w:cs="Arial"/>
          <w:sz w:val="24"/>
          <w:szCs w:val="24"/>
          <w:lang w:val="en-US"/>
        </w:rPr>
        <w:t>. Individuals who consider themselves to have suffered from a discriminatory act will often reach out to lawyers for legal representation and guidance on available courses of action</w:t>
      </w:r>
      <w:r w:rsidRPr="00683B48">
        <w:rPr>
          <w:rFonts w:cs="Arial"/>
          <w:sz w:val="24"/>
          <w:szCs w:val="24"/>
          <w:lang w:val="en-US"/>
        </w:rPr>
        <w:t xml:space="preserve">. </w:t>
      </w:r>
      <w:r w:rsidR="00D74A2D" w:rsidRPr="00683B48">
        <w:rPr>
          <w:rFonts w:cs="Arial"/>
          <w:sz w:val="24"/>
          <w:szCs w:val="24"/>
          <w:lang w:val="en-US"/>
        </w:rPr>
        <w:t xml:space="preserve">It is recommended for the equality body </w:t>
      </w:r>
      <w:r w:rsidR="004D3111" w:rsidRPr="00683B48">
        <w:rPr>
          <w:rFonts w:cs="Arial"/>
          <w:sz w:val="24"/>
          <w:szCs w:val="24"/>
          <w:lang w:val="en-US"/>
        </w:rPr>
        <w:t xml:space="preserve">to </w:t>
      </w:r>
      <w:r w:rsidRPr="00683B48">
        <w:rPr>
          <w:rFonts w:cs="Arial"/>
          <w:sz w:val="24"/>
          <w:szCs w:val="24"/>
          <w:lang w:val="en-US"/>
        </w:rPr>
        <w:t xml:space="preserve">have a publicized means for lawyers to contact it about interesting cases, </w:t>
      </w:r>
      <w:r w:rsidR="00D74A2D" w:rsidRPr="00683B48">
        <w:rPr>
          <w:rFonts w:cs="Arial"/>
          <w:sz w:val="24"/>
          <w:szCs w:val="24"/>
          <w:lang w:val="en-US"/>
        </w:rPr>
        <w:t xml:space="preserve">such </w:t>
      </w:r>
      <w:r w:rsidRPr="00683B48">
        <w:rPr>
          <w:rFonts w:cs="Arial"/>
          <w:sz w:val="24"/>
          <w:szCs w:val="24"/>
          <w:lang w:val="en-US"/>
        </w:rPr>
        <w:t>a</w:t>
      </w:r>
      <w:r w:rsidR="004D3111" w:rsidRPr="00683B48">
        <w:rPr>
          <w:rFonts w:cs="Arial"/>
          <w:sz w:val="24"/>
          <w:szCs w:val="24"/>
          <w:lang w:val="en-US"/>
        </w:rPr>
        <w:t>s a</w:t>
      </w:r>
      <w:r w:rsidRPr="00683B48">
        <w:rPr>
          <w:rFonts w:cs="Arial"/>
          <w:sz w:val="24"/>
          <w:szCs w:val="24"/>
          <w:lang w:val="en-US"/>
        </w:rPr>
        <w:t xml:space="preserve"> direct line to the lawyers at the equality body or a dedicated inbox</w:t>
      </w:r>
      <w:r w:rsidR="002D3CDA" w:rsidRPr="00683B48">
        <w:rPr>
          <w:rFonts w:cs="Arial"/>
          <w:sz w:val="24"/>
          <w:szCs w:val="24"/>
          <w:lang w:val="en-US"/>
        </w:rPr>
        <w:t>, and to communicate an interest in referrals to organizations such as bar associations</w:t>
      </w:r>
      <w:r w:rsidRPr="00683B48">
        <w:rPr>
          <w:rFonts w:cs="Arial"/>
          <w:sz w:val="24"/>
          <w:szCs w:val="24"/>
          <w:lang w:val="en-US"/>
        </w:rPr>
        <w:t xml:space="preserve">.  </w:t>
      </w:r>
    </w:p>
    <w:p w14:paraId="2EBA9B87" w14:textId="77777777" w:rsidR="00E86724" w:rsidRPr="00683B48" w:rsidRDefault="00FD4AC6" w:rsidP="00FD78A5">
      <w:pPr>
        <w:spacing w:before="100" w:beforeAutospacing="1"/>
        <w:jc w:val="both"/>
        <w:rPr>
          <w:rFonts w:cs="Arial"/>
          <w:sz w:val="24"/>
          <w:szCs w:val="24"/>
          <w:lang w:val="en-US"/>
        </w:rPr>
      </w:pPr>
      <w:r w:rsidRPr="00683B48">
        <w:rPr>
          <w:rFonts w:cs="Arial"/>
          <w:sz w:val="24"/>
          <w:szCs w:val="24"/>
          <w:lang w:val="en-US"/>
        </w:rPr>
        <w:lastRenderedPageBreak/>
        <w:t>It is also advisable to keep the process simple and not too onerous for the lawyers. A summary of the main issue</w:t>
      </w:r>
      <w:r w:rsidR="004D3111" w:rsidRPr="00683B48">
        <w:rPr>
          <w:rFonts w:cs="Arial"/>
          <w:sz w:val="24"/>
          <w:szCs w:val="24"/>
          <w:lang w:val="en-US"/>
        </w:rPr>
        <w:t>s</w:t>
      </w:r>
      <w:r w:rsidRPr="00683B48">
        <w:rPr>
          <w:rFonts w:cs="Arial"/>
          <w:sz w:val="24"/>
          <w:szCs w:val="24"/>
          <w:lang w:val="en-US"/>
        </w:rPr>
        <w:t xml:space="preserve"> in the case and the reason </w:t>
      </w:r>
      <w:r w:rsidR="004D3111" w:rsidRPr="00683B48">
        <w:rPr>
          <w:rFonts w:cs="Arial"/>
          <w:sz w:val="24"/>
          <w:szCs w:val="24"/>
          <w:lang w:val="en-US"/>
        </w:rPr>
        <w:t xml:space="preserve">why </w:t>
      </w:r>
      <w:r w:rsidRPr="00683B48">
        <w:rPr>
          <w:rFonts w:cs="Arial"/>
          <w:sz w:val="24"/>
          <w:szCs w:val="24"/>
          <w:lang w:val="en-US"/>
        </w:rPr>
        <w:t xml:space="preserve">the lawyer thinks it is strategic, and the stage the case has reached, should be sufficient to weed out those which will not be strategic, so that those cases which might be strategic can be given more attention. If a lawyer refers a case or a few cases which are not strategic, the equality body </w:t>
      </w:r>
      <w:r w:rsidR="004D3111" w:rsidRPr="00683B48">
        <w:rPr>
          <w:rFonts w:cs="Arial"/>
          <w:sz w:val="24"/>
          <w:szCs w:val="24"/>
          <w:lang w:val="en-US"/>
        </w:rPr>
        <w:t>could</w:t>
      </w:r>
      <w:r w:rsidRPr="00683B48">
        <w:rPr>
          <w:rFonts w:cs="Arial"/>
          <w:sz w:val="24"/>
          <w:szCs w:val="24"/>
          <w:lang w:val="en-US"/>
        </w:rPr>
        <w:t xml:space="preserve"> clearly explain why it did not consider the case strategic and encourage the lawyers to continue to refer cases. The experience for the lawyer should be a positive one, and not a deterrent </w:t>
      </w:r>
      <w:r w:rsidR="004D3111" w:rsidRPr="00683B48">
        <w:rPr>
          <w:rFonts w:cs="Arial"/>
          <w:sz w:val="24"/>
          <w:szCs w:val="24"/>
          <w:lang w:val="en-US"/>
        </w:rPr>
        <w:t>from</w:t>
      </w:r>
      <w:r w:rsidRPr="00683B48">
        <w:rPr>
          <w:rFonts w:cs="Arial"/>
          <w:sz w:val="24"/>
          <w:szCs w:val="24"/>
          <w:lang w:val="en-US"/>
        </w:rPr>
        <w:t xml:space="preserve"> referring more cases in the future, otherwise the equality body may miss out on great opportunities to further its strategic aims.  </w:t>
      </w:r>
      <w:r w:rsidR="004D3111" w:rsidRPr="00683B48">
        <w:rPr>
          <w:rFonts w:cs="Arial"/>
          <w:sz w:val="24"/>
          <w:szCs w:val="24"/>
          <w:lang w:val="en-US"/>
        </w:rPr>
        <w:t xml:space="preserve">   </w:t>
      </w:r>
    </w:p>
    <w:p w14:paraId="47ED440A" w14:textId="2C3D22D6" w:rsidR="00FD4AC6" w:rsidRPr="00683B48" w:rsidRDefault="00FD4AC6" w:rsidP="00FD78A5">
      <w:pPr>
        <w:spacing w:before="100" w:beforeAutospacing="1"/>
        <w:jc w:val="both"/>
        <w:rPr>
          <w:rFonts w:cs="Arial"/>
          <w:b/>
          <w:sz w:val="24"/>
          <w:szCs w:val="24"/>
          <w:lang w:val="en-US"/>
        </w:rPr>
      </w:pPr>
      <w:r w:rsidRPr="006F3139">
        <w:rPr>
          <w:rFonts w:cs="Arial"/>
          <w:b/>
          <w:sz w:val="24"/>
          <w:szCs w:val="24"/>
          <w:u w:val="single"/>
          <w:lang w:val="en-US"/>
        </w:rPr>
        <w:t>Media</w:t>
      </w:r>
    </w:p>
    <w:p w14:paraId="7457FDBC" w14:textId="77777777" w:rsidR="00FD4AC6" w:rsidRPr="00683B48" w:rsidRDefault="00FD4AC6" w:rsidP="00FD78A5">
      <w:pPr>
        <w:spacing w:before="100" w:beforeAutospacing="1"/>
        <w:jc w:val="both"/>
        <w:rPr>
          <w:rFonts w:cs="Arial"/>
          <w:sz w:val="24"/>
          <w:szCs w:val="24"/>
          <w:lang w:val="en-US"/>
        </w:rPr>
      </w:pPr>
      <w:r w:rsidRPr="00683B48">
        <w:rPr>
          <w:rFonts w:cs="Arial"/>
          <w:sz w:val="24"/>
          <w:szCs w:val="24"/>
          <w:lang w:val="en-US"/>
        </w:rPr>
        <w:t xml:space="preserve">News reports </w:t>
      </w:r>
      <w:r w:rsidR="00F54C3E" w:rsidRPr="00683B48">
        <w:rPr>
          <w:rFonts w:cs="Arial"/>
          <w:sz w:val="24"/>
          <w:szCs w:val="24"/>
          <w:lang w:val="en-US"/>
        </w:rPr>
        <w:t>in various forms of media</w:t>
      </w:r>
      <w:r w:rsidR="0067576A" w:rsidRPr="00683B48">
        <w:rPr>
          <w:rFonts w:cs="Arial"/>
          <w:sz w:val="24"/>
          <w:szCs w:val="24"/>
          <w:lang w:val="en-US"/>
        </w:rPr>
        <w:t>, particularly local media,</w:t>
      </w:r>
      <w:r w:rsidR="00F54C3E" w:rsidRPr="00683B48">
        <w:rPr>
          <w:rFonts w:cs="Arial"/>
          <w:sz w:val="24"/>
          <w:szCs w:val="24"/>
          <w:lang w:val="en-US"/>
        </w:rPr>
        <w:t xml:space="preserve"> can often provide</w:t>
      </w:r>
      <w:r w:rsidRPr="00683B48">
        <w:rPr>
          <w:rFonts w:cs="Arial"/>
          <w:sz w:val="24"/>
          <w:szCs w:val="24"/>
          <w:lang w:val="en-US"/>
        </w:rPr>
        <w:t xml:space="preserve"> </w:t>
      </w:r>
      <w:r w:rsidR="0067576A" w:rsidRPr="00683B48">
        <w:rPr>
          <w:rFonts w:cs="Arial"/>
          <w:sz w:val="24"/>
          <w:szCs w:val="24"/>
          <w:lang w:val="en-US"/>
        </w:rPr>
        <w:t xml:space="preserve">a </w:t>
      </w:r>
      <w:r w:rsidRPr="00683B48">
        <w:rPr>
          <w:rFonts w:cs="Arial"/>
          <w:sz w:val="24"/>
          <w:szCs w:val="24"/>
          <w:lang w:val="en-US"/>
        </w:rPr>
        <w:t xml:space="preserve">good source of strategic cases. </w:t>
      </w:r>
      <w:r w:rsidR="00F54C3E" w:rsidRPr="00683B48">
        <w:rPr>
          <w:rFonts w:cs="Arial"/>
          <w:sz w:val="24"/>
          <w:szCs w:val="24"/>
          <w:lang w:val="en-US"/>
        </w:rPr>
        <w:t>As it</w:t>
      </w:r>
      <w:r w:rsidRPr="00683B48">
        <w:rPr>
          <w:rFonts w:cs="Arial"/>
          <w:sz w:val="24"/>
          <w:szCs w:val="24"/>
          <w:lang w:val="en-US"/>
        </w:rPr>
        <w:t xml:space="preserve"> can be difficult to attract media attention to </w:t>
      </w:r>
      <w:r w:rsidR="00F54C3E" w:rsidRPr="00683B48">
        <w:rPr>
          <w:rFonts w:cs="Arial"/>
          <w:sz w:val="24"/>
          <w:szCs w:val="24"/>
          <w:lang w:val="en-US"/>
        </w:rPr>
        <w:t xml:space="preserve">individual </w:t>
      </w:r>
      <w:r w:rsidRPr="00683B48">
        <w:rPr>
          <w:rFonts w:cs="Arial"/>
          <w:sz w:val="24"/>
          <w:szCs w:val="24"/>
          <w:lang w:val="en-US"/>
        </w:rPr>
        <w:t>cases</w:t>
      </w:r>
      <w:r w:rsidR="00F54C3E" w:rsidRPr="00683B48">
        <w:rPr>
          <w:rFonts w:cs="Arial"/>
          <w:sz w:val="24"/>
          <w:szCs w:val="24"/>
          <w:lang w:val="en-US"/>
        </w:rPr>
        <w:t xml:space="preserve"> with short notice</w:t>
      </w:r>
      <w:r w:rsidRPr="00683B48">
        <w:rPr>
          <w:rFonts w:cs="Arial"/>
          <w:sz w:val="24"/>
          <w:szCs w:val="24"/>
          <w:lang w:val="en-US"/>
        </w:rPr>
        <w:t xml:space="preserve">, </w:t>
      </w:r>
      <w:r w:rsidR="00F54C3E" w:rsidRPr="00683B48">
        <w:rPr>
          <w:rFonts w:cs="Arial"/>
          <w:sz w:val="24"/>
          <w:szCs w:val="24"/>
          <w:lang w:val="en-US"/>
        </w:rPr>
        <w:t xml:space="preserve">contact and </w:t>
      </w:r>
      <w:r w:rsidRPr="00683B48">
        <w:rPr>
          <w:rFonts w:cs="Arial"/>
          <w:sz w:val="24"/>
          <w:szCs w:val="24"/>
          <w:lang w:val="en-US"/>
        </w:rPr>
        <w:t xml:space="preserve">cooperation with </w:t>
      </w:r>
      <w:r w:rsidR="00F54C3E" w:rsidRPr="00683B48">
        <w:rPr>
          <w:rFonts w:cs="Arial"/>
          <w:sz w:val="24"/>
          <w:szCs w:val="24"/>
          <w:lang w:val="en-US"/>
        </w:rPr>
        <w:t xml:space="preserve">journalists </w:t>
      </w:r>
      <w:r w:rsidRPr="00683B48">
        <w:rPr>
          <w:rFonts w:cs="Arial"/>
          <w:sz w:val="24"/>
          <w:szCs w:val="24"/>
          <w:lang w:val="en-US"/>
        </w:rPr>
        <w:t xml:space="preserve">at an early stage </w:t>
      </w:r>
      <w:r w:rsidR="00F54C3E" w:rsidRPr="00683B48">
        <w:rPr>
          <w:rFonts w:cs="Arial"/>
          <w:sz w:val="24"/>
          <w:szCs w:val="24"/>
          <w:lang w:val="en-US"/>
        </w:rPr>
        <w:t xml:space="preserve">may </w:t>
      </w:r>
      <w:r w:rsidRPr="00683B48">
        <w:rPr>
          <w:rFonts w:cs="Arial"/>
          <w:sz w:val="24"/>
          <w:szCs w:val="24"/>
          <w:lang w:val="en-US"/>
        </w:rPr>
        <w:t xml:space="preserve">be beneficial for later coverage on the subject.  </w:t>
      </w:r>
    </w:p>
    <w:p w14:paraId="6EAE07C9" w14:textId="406E34B9" w:rsidR="00FD4AC6" w:rsidRPr="00683B48" w:rsidRDefault="00FD4AC6" w:rsidP="00FD78A5">
      <w:pPr>
        <w:spacing w:before="100" w:beforeAutospacing="1"/>
        <w:jc w:val="both"/>
        <w:rPr>
          <w:rFonts w:cs="Arial"/>
          <w:b/>
          <w:sz w:val="24"/>
          <w:szCs w:val="24"/>
          <w:lang w:val="en-US"/>
        </w:rPr>
      </w:pPr>
      <w:r w:rsidRPr="006F3139">
        <w:rPr>
          <w:rFonts w:cs="Arial"/>
          <w:b/>
          <w:sz w:val="24"/>
          <w:szCs w:val="24"/>
          <w:u w:val="single"/>
          <w:lang w:val="en-US"/>
        </w:rPr>
        <w:t xml:space="preserve">Cooperation with </w:t>
      </w:r>
      <w:r w:rsidR="008F7489" w:rsidRPr="006F3139">
        <w:rPr>
          <w:rFonts w:cs="Arial"/>
          <w:b/>
          <w:sz w:val="24"/>
          <w:szCs w:val="24"/>
          <w:u w:val="single"/>
          <w:lang w:val="en-US"/>
        </w:rPr>
        <w:t>P</w:t>
      </w:r>
      <w:r w:rsidRPr="006F3139">
        <w:rPr>
          <w:rFonts w:cs="Arial"/>
          <w:b/>
          <w:sz w:val="24"/>
          <w:szCs w:val="24"/>
          <w:u w:val="single"/>
          <w:lang w:val="en-US"/>
        </w:rPr>
        <w:t xml:space="preserve">ublic </w:t>
      </w:r>
      <w:r w:rsidR="008F7489" w:rsidRPr="006F3139">
        <w:rPr>
          <w:rFonts w:cs="Arial"/>
          <w:b/>
          <w:sz w:val="24"/>
          <w:szCs w:val="24"/>
          <w:u w:val="single"/>
          <w:lang w:val="en-US"/>
        </w:rPr>
        <w:t>E</w:t>
      </w:r>
      <w:r w:rsidRPr="006F3139">
        <w:rPr>
          <w:rFonts w:cs="Arial"/>
          <w:b/>
          <w:sz w:val="24"/>
          <w:szCs w:val="24"/>
          <w:u w:val="single"/>
          <w:lang w:val="en-US"/>
        </w:rPr>
        <w:t>ntities</w:t>
      </w:r>
    </w:p>
    <w:p w14:paraId="256D98D7" w14:textId="77777777" w:rsidR="00FD4AC6" w:rsidRPr="00683B48" w:rsidRDefault="00FD4AC6" w:rsidP="00FD78A5">
      <w:pPr>
        <w:spacing w:before="100" w:beforeAutospacing="1"/>
        <w:jc w:val="both"/>
        <w:rPr>
          <w:rFonts w:cs="Arial"/>
          <w:sz w:val="24"/>
          <w:szCs w:val="24"/>
          <w:lang w:val="en-US"/>
        </w:rPr>
      </w:pPr>
      <w:r w:rsidRPr="00683B48">
        <w:rPr>
          <w:rFonts w:cs="Arial"/>
          <w:sz w:val="24"/>
          <w:szCs w:val="24"/>
          <w:lang w:val="en-US"/>
        </w:rPr>
        <w:t xml:space="preserve">In some instances, cooperation with public entities can provide a source of strategic cases. The primary advantage is that public authorities have access to data which is not publicly available or is available </w:t>
      </w:r>
      <w:r w:rsidR="00DC5F15" w:rsidRPr="00683B48">
        <w:rPr>
          <w:rFonts w:cs="Arial"/>
          <w:sz w:val="24"/>
          <w:szCs w:val="24"/>
          <w:lang w:val="en-US"/>
        </w:rPr>
        <w:t xml:space="preserve">only </w:t>
      </w:r>
      <w:r w:rsidRPr="00683B48">
        <w:rPr>
          <w:rFonts w:cs="Arial"/>
          <w:sz w:val="24"/>
          <w:szCs w:val="24"/>
          <w:lang w:val="en-US"/>
        </w:rPr>
        <w:t xml:space="preserve">with significant delay. </w:t>
      </w:r>
      <w:r w:rsidR="00E86724" w:rsidRPr="00683B48">
        <w:rPr>
          <w:rFonts w:cs="Arial"/>
          <w:sz w:val="24"/>
          <w:szCs w:val="24"/>
          <w:lang w:val="en-US"/>
        </w:rPr>
        <w:t xml:space="preserve"> </w:t>
      </w:r>
      <w:r w:rsidRPr="00683B48">
        <w:rPr>
          <w:rFonts w:cs="Arial"/>
          <w:sz w:val="24"/>
          <w:szCs w:val="24"/>
          <w:lang w:val="en-US"/>
        </w:rPr>
        <w:t xml:space="preserve"> </w:t>
      </w:r>
    </w:p>
    <w:p w14:paraId="788D3C74" w14:textId="77777777" w:rsidR="00647EA0" w:rsidRPr="00683B48" w:rsidRDefault="00647EA0" w:rsidP="00FD78A5">
      <w:pPr>
        <w:spacing w:after="0" w:line="240" w:lineRule="auto"/>
        <w:jc w:val="both"/>
        <w:rPr>
          <w:rFonts w:cs="Arial"/>
          <w:sz w:val="24"/>
          <w:szCs w:val="24"/>
        </w:rPr>
      </w:pPr>
      <w:r w:rsidRPr="00683B48">
        <w:rPr>
          <w:rFonts w:cs="Arial"/>
          <w:sz w:val="24"/>
          <w:szCs w:val="24"/>
        </w:rPr>
        <w:br w:type="page"/>
      </w:r>
    </w:p>
    <w:p w14:paraId="5D5531DD" w14:textId="77777777" w:rsidR="00647EA0" w:rsidRPr="00D27A66" w:rsidRDefault="00D27A66" w:rsidP="00FD78A5">
      <w:pPr>
        <w:jc w:val="both"/>
        <w:rPr>
          <w:rFonts w:cs="Arial"/>
          <w:b/>
          <w:sz w:val="36"/>
          <w:szCs w:val="36"/>
        </w:rPr>
      </w:pPr>
      <w:bookmarkStart w:id="7" w:name="chapter6"/>
      <w:r>
        <w:rPr>
          <w:rFonts w:cs="Arial"/>
          <w:b/>
          <w:sz w:val="36"/>
          <w:szCs w:val="36"/>
        </w:rPr>
        <w:lastRenderedPageBreak/>
        <w:t>CHAPTER 6:</w:t>
      </w:r>
      <w:r w:rsidR="00647EA0" w:rsidRPr="00D27A66">
        <w:rPr>
          <w:rFonts w:cs="Arial"/>
          <w:b/>
          <w:sz w:val="36"/>
          <w:szCs w:val="36"/>
        </w:rPr>
        <w:t xml:space="preserve"> M</w:t>
      </w:r>
      <w:r w:rsidR="0080333F" w:rsidRPr="00D27A66">
        <w:rPr>
          <w:rFonts w:cs="Arial"/>
          <w:b/>
          <w:sz w:val="36"/>
          <w:szCs w:val="36"/>
        </w:rPr>
        <w:t>EDIA WORK AND FOLLOW-UP ACTIVITIES</w:t>
      </w:r>
    </w:p>
    <w:bookmarkEnd w:id="7"/>
    <w:p w14:paraId="2866D1B7" w14:textId="3B18E880" w:rsidR="00647EA0" w:rsidRPr="00683B48" w:rsidRDefault="00784895" w:rsidP="00FD78A5">
      <w:pPr>
        <w:jc w:val="both"/>
        <w:rPr>
          <w:rFonts w:cs="Arial"/>
          <w:b/>
          <w:sz w:val="24"/>
          <w:szCs w:val="24"/>
        </w:rPr>
      </w:pPr>
      <w:r>
        <w:rPr>
          <w:rFonts w:cs="Arial"/>
          <w:b/>
          <w:sz w:val="24"/>
          <w:szCs w:val="24"/>
        </w:rPr>
        <w:t>HOW TO GAIN MAXIMUM IMPACT FROM YOUR STRATEGIC LITIGATION</w:t>
      </w:r>
      <w:r w:rsidR="00647EA0" w:rsidRPr="00683B48">
        <w:rPr>
          <w:rFonts w:cs="Arial"/>
          <w:b/>
          <w:sz w:val="24"/>
          <w:szCs w:val="24"/>
        </w:rPr>
        <w:t xml:space="preserve"> </w:t>
      </w:r>
    </w:p>
    <w:p w14:paraId="0B881893" w14:textId="77777777" w:rsidR="00647EA0" w:rsidRPr="006F3139" w:rsidRDefault="00BE7D66" w:rsidP="00FD78A5">
      <w:pPr>
        <w:jc w:val="both"/>
        <w:rPr>
          <w:rFonts w:cs="Arial"/>
          <w:b/>
          <w:sz w:val="24"/>
          <w:szCs w:val="24"/>
          <w:u w:val="single"/>
        </w:rPr>
      </w:pPr>
      <w:r w:rsidRPr="006F3139">
        <w:rPr>
          <w:rFonts w:cs="Arial"/>
          <w:b/>
          <w:sz w:val="24"/>
          <w:szCs w:val="24"/>
          <w:u w:val="single"/>
        </w:rPr>
        <w:t>Use of Media</w:t>
      </w:r>
    </w:p>
    <w:p w14:paraId="7F2370A0" w14:textId="77777777" w:rsidR="00647EA0" w:rsidRPr="00683B48" w:rsidRDefault="00647EA0" w:rsidP="00FD78A5">
      <w:pPr>
        <w:jc w:val="both"/>
        <w:rPr>
          <w:rFonts w:cs="Arial"/>
          <w:sz w:val="24"/>
          <w:szCs w:val="24"/>
        </w:rPr>
      </w:pPr>
      <w:r w:rsidRPr="00683B48">
        <w:rPr>
          <w:rFonts w:cs="Arial"/>
          <w:sz w:val="24"/>
          <w:szCs w:val="24"/>
        </w:rPr>
        <w:t xml:space="preserve">In </w:t>
      </w:r>
      <w:r w:rsidR="00E86724" w:rsidRPr="00683B48">
        <w:rPr>
          <w:rFonts w:cs="Arial"/>
          <w:sz w:val="24"/>
          <w:szCs w:val="24"/>
        </w:rPr>
        <w:t>earlier chapters</w:t>
      </w:r>
      <w:r w:rsidRPr="00683B48">
        <w:rPr>
          <w:rFonts w:cs="Arial"/>
          <w:sz w:val="24"/>
          <w:szCs w:val="24"/>
        </w:rPr>
        <w:t xml:space="preserve"> we discussed how </w:t>
      </w:r>
      <w:r w:rsidR="00DE1709" w:rsidRPr="00683B48">
        <w:rPr>
          <w:rFonts w:cs="Arial"/>
          <w:sz w:val="24"/>
          <w:szCs w:val="24"/>
        </w:rPr>
        <w:t xml:space="preserve">a </w:t>
      </w:r>
      <w:r w:rsidRPr="00683B48">
        <w:rPr>
          <w:rFonts w:cs="Arial"/>
          <w:sz w:val="24"/>
          <w:szCs w:val="24"/>
        </w:rPr>
        <w:t xml:space="preserve">case </w:t>
      </w:r>
      <w:r w:rsidR="00DE1709" w:rsidRPr="00683B48">
        <w:rPr>
          <w:rFonts w:cs="Arial"/>
          <w:sz w:val="24"/>
          <w:szCs w:val="24"/>
        </w:rPr>
        <w:t xml:space="preserve">might </w:t>
      </w:r>
      <w:r w:rsidRPr="00683B48">
        <w:rPr>
          <w:rFonts w:cs="Arial"/>
          <w:sz w:val="24"/>
          <w:szCs w:val="24"/>
        </w:rPr>
        <w:t xml:space="preserve">play out in the media and how </w:t>
      </w:r>
      <w:r w:rsidR="00DE1709" w:rsidRPr="00683B48">
        <w:rPr>
          <w:rFonts w:cs="Arial"/>
          <w:sz w:val="24"/>
          <w:szCs w:val="24"/>
        </w:rPr>
        <w:t xml:space="preserve">possible </w:t>
      </w:r>
      <w:r w:rsidRPr="00683B48">
        <w:rPr>
          <w:rFonts w:cs="Arial"/>
          <w:sz w:val="24"/>
          <w:szCs w:val="24"/>
        </w:rPr>
        <w:t xml:space="preserve">negative </w:t>
      </w:r>
      <w:r w:rsidR="00DE1709" w:rsidRPr="00683B48">
        <w:rPr>
          <w:rFonts w:cs="Arial"/>
          <w:sz w:val="24"/>
          <w:szCs w:val="24"/>
        </w:rPr>
        <w:t xml:space="preserve">publicity should </w:t>
      </w:r>
      <w:r w:rsidRPr="00683B48">
        <w:rPr>
          <w:rFonts w:cs="Arial"/>
          <w:sz w:val="24"/>
          <w:szCs w:val="24"/>
        </w:rPr>
        <w:t>be consider</w:t>
      </w:r>
      <w:r w:rsidR="00DE1709" w:rsidRPr="00683B48">
        <w:rPr>
          <w:rFonts w:cs="Arial"/>
          <w:sz w:val="24"/>
          <w:szCs w:val="24"/>
        </w:rPr>
        <w:t>ed</w:t>
      </w:r>
      <w:r w:rsidRPr="00683B48">
        <w:rPr>
          <w:rFonts w:cs="Arial"/>
          <w:sz w:val="24"/>
          <w:szCs w:val="24"/>
        </w:rPr>
        <w:t xml:space="preserve"> </w:t>
      </w:r>
      <w:r w:rsidR="00DE1709" w:rsidRPr="00683B48">
        <w:rPr>
          <w:rFonts w:cs="Arial"/>
          <w:sz w:val="24"/>
          <w:szCs w:val="24"/>
        </w:rPr>
        <w:t>when initially deciding whether a case</w:t>
      </w:r>
      <w:r w:rsidRPr="00683B48">
        <w:rPr>
          <w:rFonts w:cs="Arial"/>
          <w:sz w:val="24"/>
          <w:szCs w:val="24"/>
        </w:rPr>
        <w:t xml:space="preserve"> </w:t>
      </w:r>
      <w:r w:rsidR="00DE1709" w:rsidRPr="00683B48">
        <w:rPr>
          <w:rFonts w:cs="Arial"/>
          <w:sz w:val="24"/>
          <w:szCs w:val="24"/>
        </w:rPr>
        <w:t xml:space="preserve">is suitable for </w:t>
      </w:r>
      <w:r w:rsidRPr="00683B48">
        <w:rPr>
          <w:rFonts w:cs="Arial"/>
          <w:sz w:val="24"/>
          <w:szCs w:val="24"/>
        </w:rPr>
        <w:t>strategic</w:t>
      </w:r>
      <w:r w:rsidR="00DE1709" w:rsidRPr="00683B48">
        <w:rPr>
          <w:rFonts w:cs="Arial"/>
          <w:sz w:val="24"/>
          <w:szCs w:val="24"/>
        </w:rPr>
        <w:t xml:space="preserve"> litigation</w:t>
      </w:r>
      <w:r w:rsidRPr="00683B48">
        <w:rPr>
          <w:rFonts w:cs="Arial"/>
          <w:sz w:val="24"/>
          <w:szCs w:val="24"/>
        </w:rPr>
        <w:t xml:space="preserve">. </w:t>
      </w:r>
      <w:r w:rsidR="00DE1709" w:rsidRPr="00683B48">
        <w:rPr>
          <w:rFonts w:cs="Arial"/>
          <w:sz w:val="24"/>
          <w:szCs w:val="24"/>
        </w:rPr>
        <w:t xml:space="preserve">This chapter addresses </w:t>
      </w:r>
      <w:r w:rsidRPr="00683B48">
        <w:rPr>
          <w:rFonts w:cs="Arial"/>
          <w:sz w:val="24"/>
          <w:szCs w:val="24"/>
        </w:rPr>
        <w:t>the part of the</w:t>
      </w:r>
      <w:r w:rsidR="00DE1709" w:rsidRPr="00683B48">
        <w:rPr>
          <w:rFonts w:cs="Arial"/>
          <w:sz w:val="24"/>
          <w:szCs w:val="24"/>
        </w:rPr>
        <w:t xml:space="preserve"> strategic litigation</w:t>
      </w:r>
      <w:r w:rsidRPr="00683B48">
        <w:rPr>
          <w:rFonts w:cs="Arial"/>
          <w:sz w:val="24"/>
          <w:szCs w:val="24"/>
        </w:rPr>
        <w:t xml:space="preserve"> process where those considerations are put into practice. </w:t>
      </w:r>
    </w:p>
    <w:p w14:paraId="0DA4B74B" w14:textId="77777777" w:rsidR="00647EA0" w:rsidRPr="00683B48" w:rsidRDefault="00647EA0" w:rsidP="00FD78A5">
      <w:pPr>
        <w:jc w:val="both"/>
        <w:rPr>
          <w:rFonts w:cs="Arial"/>
          <w:sz w:val="24"/>
          <w:szCs w:val="24"/>
        </w:rPr>
      </w:pPr>
      <w:r w:rsidRPr="00683B48">
        <w:rPr>
          <w:rFonts w:cs="Arial"/>
          <w:sz w:val="24"/>
          <w:szCs w:val="24"/>
        </w:rPr>
        <w:t xml:space="preserve">As soon as the outcome of the case is known, and especially if the strategic </w:t>
      </w:r>
      <w:r w:rsidR="00DE1709" w:rsidRPr="00683B48">
        <w:rPr>
          <w:rFonts w:cs="Arial"/>
          <w:sz w:val="24"/>
          <w:szCs w:val="24"/>
        </w:rPr>
        <w:t xml:space="preserve">objective </w:t>
      </w:r>
      <w:r w:rsidRPr="00683B48">
        <w:rPr>
          <w:rFonts w:cs="Arial"/>
          <w:sz w:val="24"/>
          <w:szCs w:val="24"/>
        </w:rPr>
        <w:t xml:space="preserve">has been achieved, the </w:t>
      </w:r>
      <w:r w:rsidR="00874611" w:rsidRPr="00683B48">
        <w:rPr>
          <w:rFonts w:cs="Arial"/>
          <w:sz w:val="24"/>
          <w:szCs w:val="24"/>
        </w:rPr>
        <w:t xml:space="preserve">equality body </w:t>
      </w:r>
      <w:r w:rsidRPr="00683B48">
        <w:rPr>
          <w:rFonts w:cs="Arial"/>
          <w:sz w:val="24"/>
          <w:szCs w:val="24"/>
        </w:rPr>
        <w:t xml:space="preserve">will need to ensure </w:t>
      </w:r>
      <w:r w:rsidR="00DE1709" w:rsidRPr="00683B48">
        <w:rPr>
          <w:rFonts w:cs="Arial"/>
          <w:sz w:val="24"/>
          <w:szCs w:val="24"/>
        </w:rPr>
        <w:t xml:space="preserve">that the </w:t>
      </w:r>
      <w:r w:rsidRPr="00683B48">
        <w:rPr>
          <w:rFonts w:cs="Arial"/>
          <w:sz w:val="24"/>
          <w:szCs w:val="24"/>
        </w:rPr>
        <w:t xml:space="preserve">key messages are publicized as far and wide as possible. </w:t>
      </w:r>
    </w:p>
    <w:p w14:paraId="031873D1" w14:textId="459C54C3" w:rsidR="00647EA0" w:rsidRPr="006F3139" w:rsidRDefault="00647EA0" w:rsidP="00FD78A5">
      <w:pPr>
        <w:jc w:val="both"/>
        <w:rPr>
          <w:rFonts w:cs="Arial"/>
          <w:b/>
          <w:sz w:val="24"/>
          <w:szCs w:val="24"/>
          <w:u w:val="single"/>
        </w:rPr>
      </w:pPr>
      <w:r w:rsidRPr="006F3139">
        <w:rPr>
          <w:rFonts w:cs="Arial"/>
          <w:b/>
          <w:sz w:val="24"/>
          <w:szCs w:val="24"/>
          <w:u w:val="single"/>
        </w:rPr>
        <w:t xml:space="preserve">Communication </w:t>
      </w:r>
      <w:r w:rsidR="00654BD0" w:rsidRPr="006F3139">
        <w:rPr>
          <w:rFonts w:cs="Arial"/>
          <w:b/>
          <w:sz w:val="24"/>
          <w:szCs w:val="24"/>
          <w:u w:val="single"/>
        </w:rPr>
        <w:t>S</w:t>
      </w:r>
      <w:r w:rsidRPr="006F3139">
        <w:rPr>
          <w:rFonts w:cs="Arial"/>
          <w:b/>
          <w:sz w:val="24"/>
          <w:szCs w:val="24"/>
          <w:u w:val="single"/>
        </w:rPr>
        <w:t>trategy</w:t>
      </w:r>
    </w:p>
    <w:p w14:paraId="5C1FDBE9" w14:textId="77777777" w:rsidR="00647EA0" w:rsidRDefault="00F03074" w:rsidP="00FD78A5">
      <w:pPr>
        <w:jc w:val="both"/>
        <w:rPr>
          <w:rFonts w:cs="Arial"/>
          <w:sz w:val="24"/>
          <w:szCs w:val="24"/>
        </w:rPr>
      </w:pPr>
      <w:r w:rsidRPr="00683B48">
        <w:rPr>
          <w:rFonts w:cs="Arial"/>
          <w:sz w:val="24"/>
          <w:szCs w:val="24"/>
        </w:rPr>
        <w:t>For e</w:t>
      </w:r>
      <w:r w:rsidR="00647EA0" w:rsidRPr="00683B48">
        <w:rPr>
          <w:rFonts w:cs="Arial"/>
          <w:sz w:val="24"/>
          <w:szCs w:val="24"/>
        </w:rPr>
        <w:t xml:space="preserve">ach case a media strategy </w:t>
      </w:r>
      <w:r w:rsidRPr="00683B48">
        <w:rPr>
          <w:rFonts w:cs="Arial"/>
          <w:sz w:val="24"/>
          <w:szCs w:val="24"/>
        </w:rPr>
        <w:t xml:space="preserve">should be </w:t>
      </w:r>
      <w:r w:rsidR="00647EA0" w:rsidRPr="00683B48">
        <w:rPr>
          <w:rFonts w:cs="Arial"/>
          <w:sz w:val="24"/>
          <w:szCs w:val="24"/>
        </w:rPr>
        <w:t xml:space="preserve">developed in good time </w:t>
      </w:r>
      <w:r w:rsidRPr="00683B48">
        <w:rPr>
          <w:rFonts w:cs="Arial"/>
          <w:sz w:val="24"/>
          <w:szCs w:val="24"/>
        </w:rPr>
        <w:t xml:space="preserve">prior to </w:t>
      </w:r>
      <w:r w:rsidR="00647EA0" w:rsidRPr="00683B48">
        <w:rPr>
          <w:rFonts w:cs="Arial"/>
          <w:sz w:val="24"/>
          <w:szCs w:val="24"/>
        </w:rPr>
        <w:t xml:space="preserve">the </w:t>
      </w:r>
      <w:r w:rsidR="00FF45CC" w:rsidRPr="00683B48">
        <w:rPr>
          <w:rFonts w:cs="Arial"/>
          <w:sz w:val="24"/>
          <w:szCs w:val="24"/>
        </w:rPr>
        <w:t xml:space="preserve">court’s </w:t>
      </w:r>
      <w:r w:rsidR="007F07B9" w:rsidRPr="00683B48">
        <w:rPr>
          <w:rFonts w:cs="Arial"/>
          <w:sz w:val="24"/>
          <w:szCs w:val="24"/>
        </w:rPr>
        <w:t xml:space="preserve">delivery of its </w:t>
      </w:r>
      <w:r w:rsidR="00FF45CC" w:rsidRPr="00683B48">
        <w:rPr>
          <w:rFonts w:cs="Arial"/>
          <w:sz w:val="24"/>
          <w:szCs w:val="24"/>
        </w:rPr>
        <w:t>ruling</w:t>
      </w:r>
      <w:r w:rsidR="00647EA0" w:rsidRPr="00683B48">
        <w:rPr>
          <w:rFonts w:cs="Arial"/>
          <w:sz w:val="24"/>
          <w:szCs w:val="24"/>
        </w:rPr>
        <w:t>. A</w:t>
      </w:r>
      <w:r w:rsidR="007F07B9" w:rsidRPr="00683B48">
        <w:rPr>
          <w:rFonts w:cs="Arial"/>
          <w:sz w:val="24"/>
          <w:szCs w:val="24"/>
        </w:rPr>
        <w:t>t</w:t>
      </w:r>
      <w:r w:rsidR="00647EA0" w:rsidRPr="00683B48">
        <w:rPr>
          <w:rFonts w:cs="Arial"/>
          <w:sz w:val="24"/>
          <w:szCs w:val="24"/>
        </w:rPr>
        <w:t xml:space="preserve"> a minimum</w:t>
      </w:r>
      <w:r w:rsidR="007F07B9" w:rsidRPr="00683B48">
        <w:rPr>
          <w:rFonts w:cs="Arial"/>
          <w:sz w:val="24"/>
          <w:szCs w:val="24"/>
        </w:rPr>
        <w:t>,</w:t>
      </w:r>
      <w:r w:rsidR="00647EA0" w:rsidRPr="00683B48">
        <w:rPr>
          <w:rFonts w:cs="Arial"/>
          <w:sz w:val="24"/>
          <w:szCs w:val="24"/>
        </w:rPr>
        <w:t xml:space="preserve"> this </w:t>
      </w:r>
      <w:r w:rsidR="007F07B9" w:rsidRPr="00683B48">
        <w:rPr>
          <w:rFonts w:cs="Arial"/>
          <w:sz w:val="24"/>
          <w:szCs w:val="24"/>
        </w:rPr>
        <w:t xml:space="preserve">strategy </w:t>
      </w:r>
      <w:r w:rsidR="00647EA0" w:rsidRPr="00683B48">
        <w:rPr>
          <w:rFonts w:cs="Arial"/>
          <w:sz w:val="24"/>
          <w:szCs w:val="24"/>
        </w:rPr>
        <w:t xml:space="preserve">should include a statement that can be issued to the press </w:t>
      </w:r>
      <w:r w:rsidR="007F07B9" w:rsidRPr="00683B48">
        <w:rPr>
          <w:rFonts w:cs="Arial"/>
          <w:sz w:val="24"/>
          <w:szCs w:val="24"/>
        </w:rPr>
        <w:t xml:space="preserve">as well as </w:t>
      </w:r>
      <w:r w:rsidR="00647EA0" w:rsidRPr="00683B48">
        <w:rPr>
          <w:rFonts w:cs="Arial"/>
          <w:sz w:val="24"/>
          <w:szCs w:val="24"/>
        </w:rPr>
        <w:t xml:space="preserve">a statement to be placed on the front or news page of </w:t>
      </w:r>
      <w:r w:rsidR="007F07B9" w:rsidRPr="00683B48">
        <w:rPr>
          <w:rFonts w:cs="Arial"/>
          <w:sz w:val="24"/>
          <w:szCs w:val="24"/>
        </w:rPr>
        <w:t xml:space="preserve">the </w:t>
      </w:r>
      <w:r w:rsidR="00874611" w:rsidRPr="00683B48">
        <w:rPr>
          <w:rFonts w:cs="Arial"/>
          <w:sz w:val="24"/>
          <w:szCs w:val="24"/>
        </w:rPr>
        <w:t xml:space="preserve">equality body’s </w:t>
      </w:r>
      <w:r w:rsidR="00647EA0" w:rsidRPr="00683B48">
        <w:rPr>
          <w:rFonts w:cs="Arial"/>
          <w:sz w:val="24"/>
          <w:szCs w:val="24"/>
        </w:rPr>
        <w:t xml:space="preserve">website. A set of FAQ’s (frequently asked questions) is a good way to manage queries if the case is likely to attract a lot of </w:t>
      </w:r>
      <w:r w:rsidR="007F07B9" w:rsidRPr="00683B48">
        <w:rPr>
          <w:rFonts w:cs="Arial"/>
          <w:sz w:val="24"/>
          <w:szCs w:val="24"/>
        </w:rPr>
        <w:t xml:space="preserve">public and </w:t>
      </w:r>
      <w:r w:rsidR="00647EA0" w:rsidRPr="00683B48">
        <w:rPr>
          <w:rFonts w:cs="Arial"/>
          <w:sz w:val="24"/>
          <w:szCs w:val="24"/>
        </w:rPr>
        <w:t xml:space="preserve">media attention, and can also be </w:t>
      </w:r>
      <w:r w:rsidR="007F07B9" w:rsidRPr="00683B48">
        <w:rPr>
          <w:rFonts w:cs="Arial"/>
          <w:sz w:val="24"/>
          <w:szCs w:val="24"/>
        </w:rPr>
        <w:t xml:space="preserve">posted </w:t>
      </w:r>
      <w:r w:rsidR="00647EA0" w:rsidRPr="00683B48">
        <w:rPr>
          <w:rFonts w:cs="Arial"/>
          <w:sz w:val="24"/>
          <w:szCs w:val="24"/>
        </w:rPr>
        <w:t xml:space="preserve">on the website. </w:t>
      </w:r>
      <w:r w:rsidR="0054524D" w:rsidRPr="00683B48">
        <w:rPr>
          <w:rFonts w:cs="Arial"/>
          <w:sz w:val="24"/>
          <w:szCs w:val="24"/>
        </w:rPr>
        <w:t xml:space="preserve">If possible there </w:t>
      </w:r>
      <w:r w:rsidR="00647EA0" w:rsidRPr="00683B48">
        <w:rPr>
          <w:rFonts w:cs="Arial"/>
          <w:sz w:val="24"/>
          <w:szCs w:val="24"/>
        </w:rPr>
        <w:t xml:space="preserve">should also be a link to the judgement on the website so that those who are interested can </w:t>
      </w:r>
      <w:r w:rsidR="007F07B9" w:rsidRPr="00683B48">
        <w:rPr>
          <w:rFonts w:cs="Arial"/>
          <w:sz w:val="24"/>
          <w:szCs w:val="24"/>
        </w:rPr>
        <w:t xml:space="preserve">easily access and </w:t>
      </w:r>
      <w:r w:rsidR="00647EA0" w:rsidRPr="00683B48">
        <w:rPr>
          <w:rFonts w:cs="Arial"/>
          <w:sz w:val="24"/>
          <w:szCs w:val="24"/>
        </w:rPr>
        <w:t xml:space="preserve">read the entire judgement. </w:t>
      </w:r>
    </w:p>
    <w:p w14:paraId="4D446252" w14:textId="77777777" w:rsidR="00D43739" w:rsidRDefault="00D43739" w:rsidP="00D43739">
      <w:pPr>
        <w:jc w:val="both"/>
        <w:rPr>
          <w:rFonts w:cs="Arial"/>
          <w:sz w:val="24"/>
          <w:szCs w:val="24"/>
        </w:rPr>
      </w:pPr>
      <w:r w:rsidRPr="00D43739">
        <w:rPr>
          <w:rFonts w:cs="Arial"/>
          <w:sz w:val="24"/>
          <w:szCs w:val="24"/>
        </w:rPr>
        <w:t>In situation</w:t>
      </w:r>
      <w:r>
        <w:rPr>
          <w:rFonts w:cs="Arial"/>
          <w:sz w:val="24"/>
          <w:szCs w:val="24"/>
        </w:rPr>
        <w:t>s</w:t>
      </w:r>
      <w:r w:rsidRPr="00D43739">
        <w:rPr>
          <w:rFonts w:cs="Arial"/>
          <w:sz w:val="24"/>
          <w:szCs w:val="24"/>
        </w:rPr>
        <w:t xml:space="preserve"> when it is reasonably expected that the case might cause some amount of negative publicity, it is strategically useful for the equality body to prepare </w:t>
      </w:r>
      <w:r>
        <w:rPr>
          <w:rFonts w:cs="Arial"/>
          <w:sz w:val="24"/>
          <w:szCs w:val="24"/>
        </w:rPr>
        <w:t>a</w:t>
      </w:r>
      <w:r w:rsidRPr="00D43739">
        <w:rPr>
          <w:rFonts w:cs="Arial"/>
          <w:sz w:val="24"/>
          <w:szCs w:val="24"/>
        </w:rPr>
        <w:t xml:space="preserve"> communication plan. In such cases</w:t>
      </w:r>
      <w:r w:rsidR="00784895">
        <w:rPr>
          <w:rFonts w:cs="Arial"/>
          <w:sz w:val="24"/>
          <w:szCs w:val="24"/>
        </w:rPr>
        <w:t>,</w:t>
      </w:r>
      <w:r w:rsidRPr="00D43739">
        <w:rPr>
          <w:rFonts w:cs="Arial"/>
          <w:sz w:val="24"/>
          <w:szCs w:val="24"/>
        </w:rPr>
        <w:t xml:space="preserve"> time is usually of </w:t>
      </w:r>
      <w:r>
        <w:rPr>
          <w:rFonts w:cs="Arial"/>
          <w:sz w:val="24"/>
          <w:szCs w:val="24"/>
        </w:rPr>
        <w:t xml:space="preserve">the </w:t>
      </w:r>
      <w:r w:rsidRPr="00D43739">
        <w:rPr>
          <w:rFonts w:cs="Arial"/>
          <w:sz w:val="24"/>
          <w:szCs w:val="24"/>
        </w:rPr>
        <w:t>essence and it is beneficia</w:t>
      </w:r>
      <w:r>
        <w:rPr>
          <w:rFonts w:cs="Arial"/>
          <w:sz w:val="24"/>
          <w:szCs w:val="24"/>
        </w:rPr>
        <w:t xml:space="preserve">l to have ready statements in </w:t>
      </w:r>
      <w:r w:rsidRPr="00D43739">
        <w:rPr>
          <w:rFonts w:cs="Arial"/>
          <w:sz w:val="24"/>
          <w:szCs w:val="24"/>
        </w:rPr>
        <w:t>response to potential negative proclamations of the o</w:t>
      </w:r>
      <w:r>
        <w:rPr>
          <w:rFonts w:cs="Arial"/>
          <w:sz w:val="24"/>
          <w:szCs w:val="24"/>
        </w:rPr>
        <w:t>pposing</w:t>
      </w:r>
      <w:r w:rsidRPr="00D43739">
        <w:rPr>
          <w:rFonts w:cs="Arial"/>
          <w:sz w:val="24"/>
          <w:szCs w:val="24"/>
        </w:rPr>
        <w:t xml:space="preserve"> side. Often the effectiveness of the proper reply l</w:t>
      </w:r>
      <w:r>
        <w:rPr>
          <w:rFonts w:cs="Arial"/>
          <w:sz w:val="24"/>
          <w:szCs w:val="24"/>
        </w:rPr>
        <w:t>ies in its prompt publication.</w:t>
      </w:r>
    </w:p>
    <w:p w14:paraId="537CCB1D" w14:textId="77777777" w:rsidR="00D43739" w:rsidRPr="00D43739" w:rsidRDefault="00D43739" w:rsidP="00D43739">
      <w:pPr>
        <w:jc w:val="both"/>
        <w:rPr>
          <w:rFonts w:cs="Arial"/>
          <w:sz w:val="24"/>
          <w:szCs w:val="24"/>
        </w:rPr>
      </w:pPr>
      <w:r w:rsidRPr="00D43739">
        <w:rPr>
          <w:rFonts w:cs="Arial"/>
          <w:sz w:val="24"/>
          <w:szCs w:val="24"/>
        </w:rPr>
        <w:t xml:space="preserve">On the other hand, in certain situations </w:t>
      </w:r>
      <w:r>
        <w:rPr>
          <w:rFonts w:cs="Arial"/>
          <w:sz w:val="24"/>
          <w:szCs w:val="24"/>
        </w:rPr>
        <w:t xml:space="preserve">the </w:t>
      </w:r>
      <w:r w:rsidRPr="00D43739">
        <w:rPr>
          <w:rFonts w:cs="Arial"/>
          <w:sz w:val="24"/>
          <w:szCs w:val="24"/>
        </w:rPr>
        <w:t xml:space="preserve">equality body might estimate that negative publicity can be avoided or at least eased by anticipating the opposite side and coming out to </w:t>
      </w:r>
      <w:r w:rsidR="00784895">
        <w:rPr>
          <w:rFonts w:cs="Arial"/>
          <w:sz w:val="24"/>
          <w:szCs w:val="24"/>
        </w:rPr>
        <w:t xml:space="preserve">the </w:t>
      </w:r>
      <w:r w:rsidRPr="00D43739">
        <w:rPr>
          <w:rFonts w:cs="Arial"/>
          <w:sz w:val="24"/>
          <w:szCs w:val="24"/>
        </w:rPr>
        <w:t xml:space="preserve">public first, referring to </w:t>
      </w:r>
      <w:r>
        <w:rPr>
          <w:rFonts w:cs="Arial"/>
          <w:sz w:val="24"/>
          <w:szCs w:val="24"/>
        </w:rPr>
        <w:t xml:space="preserve">(and refuting) </w:t>
      </w:r>
      <w:r w:rsidRPr="00D43739">
        <w:rPr>
          <w:rFonts w:cs="Arial"/>
          <w:sz w:val="24"/>
          <w:szCs w:val="24"/>
        </w:rPr>
        <w:t>the same arguments that were expected to be used against the equality body. However, such actions should be carefully planned at the early stage of the case,</w:t>
      </w:r>
      <w:r>
        <w:rPr>
          <w:rFonts w:cs="Arial"/>
          <w:sz w:val="24"/>
          <w:szCs w:val="24"/>
        </w:rPr>
        <w:t xml:space="preserve"> not to cause more damage than</w:t>
      </w:r>
      <w:r w:rsidRPr="00D43739">
        <w:rPr>
          <w:rFonts w:cs="Arial"/>
          <w:sz w:val="24"/>
          <w:szCs w:val="24"/>
        </w:rPr>
        <w:t xml:space="preserve"> benefit </w:t>
      </w:r>
      <w:r>
        <w:rPr>
          <w:rFonts w:cs="Arial"/>
          <w:sz w:val="24"/>
          <w:szCs w:val="24"/>
        </w:rPr>
        <w:t>to</w:t>
      </w:r>
      <w:r w:rsidRPr="00D43739">
        <w:rPr>
          <w:rFonts w:cs="Arial"/>
          <w:sz w:val="24"/>
          <w:szCs w:val="24"/>
        </w:rPr>
        <w:t xml:space="preserve"> the equality body.</w:t>
      </w:r>
    </w:p>
    <w:p w14:paraId="758903E1" w14:textId="77777777" w:rsidR="00647EA0" w:rsidRDefault="00647EA0" w:rsidP="00FD78A5">
      <w:pPr>
        <w:jc w:val="both"/>
        <w:rPr>
          <w:rFonts w:cs="Arial"/>
          <w:sz w:val="24"/>
          <w:szCs w:val="24"/>
        </w:rPr>
      </w:pPr>
      <w:r w:rsidRPr="00683B48">
        <w:rPr>
          <w:rFonts w:cs="Arial"/>
          <w:sz w:val="24"/>
          <w:szCs w:val="24"/>
        </w:rPr>
        <w:t>Ideally the statement</w:t>
      </w:r>
      <w:r w:rsidR="002B2E00" w:rsidRPr="00683B48">
        <w:rPr>
          <w:rFonts w:cs="Arial"/>
          <w:sz w:val="24"/>
          <w:szCs w:val="24"/>
        </w:rPr>
        <w:t>s</w:t>
      </w:r>
      <w:r w:rsidRPr="00683B48">
        <w:rPr>
          <w:rFonts w:cs="Arial"/>
          <w:sz w:val="24"/>
          <w:szCs w:val="24"/>
        </w:rPr>
        <w:t xml:space="preserve"> will be short</w:t>
      </w:r>
      <w:r w:rsidR="002B2E00" w:rsidRPr="00683B48">
        <w:rPr>
          <w:rFonts w:cs="Arial"/>
          <w:sz w:val="24"/>
          <w:szCs w:val="24"/>
        </w:rPr>
        <w:t>,</w:t>
      </w:r>
      <w:r w:rsidRPr="00683B48">
        <w:rPr>
          <w:rFonts w:cs="Arial"/>
          <w:sz w:val="24"/>
          <w:szCs w:val="24"/>
        </w:rPr>
        <w:t xml:space="preserve"> punchy</w:t>
      </w:r>
      <w:r w:rsidR="002B2E00" w:rsidRPr="00683B48">
        <w:rPr>
          <w:rFonts w:cs="Arial"/>
          <w:sz w:val="24"/>
          <w:szCs w:val="24"/>
        </w:rPr>
        <w:t xml:space="preserve"> and easily accessible to all</w:t>
      </w:r>
      <w:r w:rsidRPr="00683B48">
        <w:rPr>
          <w:rFonts w:cs="Arial"/>
          <w:sz w:val="24"/>
          <w:szCs w:val="24"/>
        </w:rPr>
        <w:t xml:space="preserve">, </w:t>
      </w:r>
      <w:r w:rsidR="002B2E00" w:rsidRPr="00683B48">
        <w:rPr>
          <w:rFonts w:cs="Arial"/>
          <w:sz w:val="24"/>
          <w:szCs w:val="24"/>
        </w:rPr>
        <w:t xml:space="preserve">to ensure </w:t>
      </w:r>
      <w:r w:rsidRPr="00683B48">
        <w:rPr>
          <w:rFonts w:cs="Arial"/>
          <w:sz w:val="24"/>
          <w:szCs w:val="24"/>
        </w:rPr>
        <w:t>that key message</w:t>
      </w:r>
      <w:r w:rsidR="002B2E00" w:rsidRPr="00683B48">
        <w:rPr>
          <w:rFonts w:cs="Arial"/>
          <w:sz w:val="24"/>
          <w:szCs w:val="24"/>
        </w:rPr>
        <w:t>s</w:t>
      </w:r>
      <w:r w:rsidRPr="00683B48">
        <w:rPr>
          <w:rFonts w:cs="Arial"/>
          <w:sz w:val="24"/>
          <w:szCs w:val="24"/>
        </w:rPr>
        <w:t xml:space="preserve"> </w:t>
      </w:r>
      <w:r w:rsidR="002B2E00" w:rsidRPr="00683B48">
        <w:rPr>
          <w:rFonts w:cs="Arial"/>
          <w:sz w:val="24"/>
          <w:szCs w:val="24"/>
        </w:rPr>
        <w:t xml:space="preserve">are </w:t>
      </w:r>
      <w:r w:rsidRPr="00683B48">
        <w:rPr>
          <w:rFonts w:cs="Arial"/>
          <w:sz w:val="24"/>
          <w:szCs w:val="24"/>
        </w:rPr>
        <w:t>digested quickly by the readers</w:t>
      </w:r>
      <w:r w:rsidR="00D43739">
        <w:rPr>
          <w:rFonts w:cs="Arial"/>
          <w:sz w:val="24"/>
          <w:szCs w:val="24"/>
        </w:rPr>
        <w:t>, regardless of their background</w:t>
      </w:r>
      <w:r w:rsidR="002B2E00" w:rsidRPr="00683B48">
        <w:rPr>
          <w:rFonts w:cs="Arial"/>
          <w:sz w:val="24"/>
          <w:szCs w:val="24"/>
        </w:rPr>
        <w:t>. This is</w:t>
      </w:r>
      <w:r w:rsidRPr="00683B48">
        <w:rPr>
          <w:rFonts w:cs="Arial"/>
          <w:sz w:val="24"/>
          <w:szCs w:val="24"/>
        </w:rPr>
        <w:t xml:space="preserve"> especially </w:t>
      </w:r>
      <w:r w:rsidR="002B2E00" w:rsidRPr="00683B48">
        <w:rPr>
          <w:rFonts w:cs="Arial"/>
          <w:sz w:val="24"/>
          <w:szCs w:val="24"/>
        </w:rPr>
        <w:t xml:space="preserve">important for </w:t>
      </w:r>
      <w:r w:rsidRPr="00683B48">
        <w:rPr>
          <w:rFonts w:cs="Arial"/>
          <w:sz w:val="24"/>
          <w:szCs w:val="24"/>
        </w:rPr>
        <w:t>those</w:t>
      </w:r>
      <w:r w:rsidR="002B2E00" w:rsidRPr="00683B48">
        <w:rPr>
          <w:rFonts w:cs="Arial"/>
          <w:sz w:val="24"/>
          <w:szCs w:val="24"/>
        </w:rPr>
        <w:t xml:space="preserve"> individuals</w:t>
      </w:r>
      <w:r w:rsidRPr="00683B48">
        <w:rPr>
          <w:rFonts w:cs="Arial"/>
          <w:sz w:val="24"/>
          <w:szCs w:val="24"/>
        </w:rPr>
        <w:t xml:space="preserve"> who may not go on to read about the case in more detail.</w:t>
      </w:r>
    </w:p>
    <w:p w14:paraId="079E317F" w14:textId="77777777" w:rsidR="006F3139" w:rsidRPr="00683B48" w:rsidRDefault="006F3139" w:rsidP="00FD78A5">
      <w:pPr>
        <w:jc w:val="both"/>
        <w:rPr>
          <w:rFonts w:cs="Arial"/>
          <w:sz w:val="24"/>
          <w:szCs w:val="24"/>
        </w:rPr>
      </w:pPr>
    </w:p>
    <w:p w14:paraId="2466C19B" w14:textId="77777777" w:rsidR="00647EA0" w:rsidRPr="006F3139" w:rsidRDefault="00647EA0" w:rsidP="00FD78A5">
      <w:pPr>
        <w:jc w:val="both"/>
        <w:rPr>
          <w:rFonts w:cs="Arial"/>
          <w:b/>
          <w:sz w:val="24"/>
          <w:szCs w:val="24"/>
          <w:u w:val="single"/>
        </w:rPr>
      </w:pPr>
      <w:r w:rsidRPr="006F3139">
        <w:rPr>
          <w:rFonts w:cs="Arial"/>
          <w:b/>
          <w:sz w:val="24"/>
          <w:szCs w:val="24"/>
          <w:u w:val="single"/>
        </w:rPr>
        <w:lastRenderedPageBreak/>
        <w:t>Social Media</w:t>
      </w:r>
    </w:p>
    <w:p w14:paraId="151E1C52" w14:textId="77777777" w:rsidR="00647EA0" w:rsidRPr="00683B48" w:rsidRDefault="00647EA0" w:rsidP="00FD78A5">
      <w:pPr>
        <w:jc w:val="both"/>
        <w:rPr>
          <w:rFonts w:cs="Arial"/>
          <w:sz w:val="24"/>
          <w:szCs w:val="24"/>
        </w:rPr>
      </w:pPr>
      <w:r w:rsidRPr="00683B48">
        <w:rPr>
          <w:rFonts w:cs="Arial"/>
          <w:sz w:val="24"/>
          <w:szCs w:val="24"/>
        </w:rPr>
        <w:t xml:space="preserve">Social media can be a highly effective means of spreading </w:t>
      </w:r>
      <w:r w:rsidR="00AF4D22" w:rsidRPr="00683B48">
        <w:rPr>
          <w:rFonts w:cs="Arial"/>
          <w:sz w:val="24"/>
          <w:szCs w:val="24"/>
        </w:rPr>
        <w:t xml:space="preserve">key </w:t>
      </w:r>
      <w:r w:rsidRPr="00683B48">
        <w:rPr>
          <w:rFonts w:cs="Arial"/>
          <w:sz w:val="24"/>
          <w:szCs w:val="24"/>
        </w:rPr>
        <w:t>message</w:t>
      </w:r>
      <w:r w:rsidR="00AF4D22" w:rsidRPr="00683B48">
        <w:rPr>
          <w:rFonts w:cs="Arial"/>
          <w:sz w:val="24"/>
          <w:szCs w:val="24"/>
        </w:rPr>
        <w:t>s</w:t>
      </w:r>
      <w:r w:rsidRPr="00683B48">
        <w:rPr>
          <w:rFonts w:cs="Arial"/>
          <w:sz w:val="24"/>
          <w:szCs w:val="24"/>
        </w:rPr>
        <w:t xml:space="preserve">, particularly if the </w:t>
      </w:r>
      <w:r w:rsidR="00874611" w:rsidRPr="00683B48">
        <w:rPr>
          <w:rFonts w:cs="Arial"/>
          <w:sz w:val="24"/>
          <w:szCs w:val="24"/>
        </w:rPr>
        <w:t xml:space="preserve">equality body </w:t>
      </w:r>
      <w:r w:rsidRPr="00683B48">
        <w:rPr>
          <w:rFonts w:cs="Arial"/>
          <w:sz w:val="24"/>
          <w:szCs w:val="24"/>
        </w:rPr>
        <w:t>has its own social media accounts. Otherwise</w:t>
      </w:r>
      <w:r w:rsidR="00AF4D22" w:rsidRPr="00683B48">
        <w:rPr>
          <w:rFonts w:cs="Arial"/>
          <w:sz w:val="24"/>
          <w:szCs w:val="24"/>
        </w:rPr>
        <w:t xml:space="preserve"> or additionally</w:t>
      </w:r>
      <w:r w:rsidRPr="00683B48">
        <w:rPr>
          <w:rFonts w:cs="Arial"/>
          <w:sz w:val="24"/>
          <w:szCs w:val="24"/>
        </w:rPr>
        <w:t xml:space="preserve">, </w:t>
      </w:r>
      <w:r w:rsidR="00AF4D22" w:rsidRPr="00683B48">
        <w:rPr>
          <w:rFonts w:cs="Arial"/>
          <w:sz w:val="24"/>
          <w:szCs w:val="24"/>
        </w:rPr>
        <w:t xml:space="preserve">relevant </w:t>
      </w:r>
      <w:r w:rsidRPr="00683B48">
        <w:rPr>
          <w:rFonts w:cs="Arial"/>
          <w:sz w:val="24"/>
          <w:szCs w:val="24"/>
        </w:rPr>
        <w:t xml:space="preserve">NGOs, </w:t>
      </w:r>
      <w:r w:rsidR="00AF4D22" w:rsidRPr="00683B48">
        <w:rPr>
          <w:rFonts w:cs="Arial"/>
          <w:sz w:val="24"/>
          <w:szCs w:val="24"/>
        </w:rPr>
        <w:t>organizations</w:t>
      </w:r>
      <w:r w:rsidRPr="00683B48">
        <w:rPr>
          <w:rFonts w:cs="Arial"/>
          <w:sz w:val="24"/>
          <w:szCs w:val="24"/>
        </w:rPr>
        <w:t xml:space="preserve"> and </w:t>
      </w:r>
      <w:r w:rsidR="00AF4D22" w:rsidRPr="00683B48">
        <w:rPr>
          <w:rFonts w:cs="Arial"/>
          <w:sz w:val="24"/>
          <w:szCs w:val="24"/>
        </w:rPr>
        <w:t>public entities</w:t>
      </w:r>
      <w:r w:rsidRPr="00683B48">
        <w:rPr>
          <w:rFonts w:cs="Arial"/>
          <w:sz w:val="24"/>
          <w:szCs w:val="24"/>
        </w:rPr>
        <w:t xml:space="preserve"> can be invited to share the news </w:t>
      </w:r>
      <w:r w:rsidR="00AF4D22" w:rsidRPr="00683B48">
        <w:rPr>
          <w:rFonts w:cs="Arial"/>
          <w:sz w:val="24"/>
          <w:szCs w:val="24"/>
        </w:rPr>
        <w:t xml:space="preserve">through </w:t>
      </w:r>
      <w:r w:rsidRPr="00683B48">
        <w:rPr>
          <w:rFonts w:cs="Arial"/>
          <w:sz w:val="24"/>
          <w:szCs w:val="24"/>
        </w:rPr>
        <w:t xml:space="preserve">their own accounts to </w:t>
      </w:r>
      <w:r w:rsidR="00AF4D22" w:rsidRPr="00683B48">
        <w:rPr>
          <w:rFonts w:cs="Arial"/>
          <w:sz w:val="24"/>
          <w:szCs w:val="24"/>
        </w:rPr>
        <w:t>maximize out</w:t>
      </w:r>
      <w:r w:rsidRPr="00683B48">
        <w:rPr>
          <w:rFonts w:cs="Arial"/>
          <w:sz w:val="24"/>
          <w:szCs w:val="24"/>
        </w:rPr>
        <w:t xml:space="preserve">reach.  </w:t>
      </w:r>
    </w:p>
    <w:p w14:paraId="3F31346E" w14:textId="77777777" w:rsidR="00647EA0" w:rsidRPr="00683B48" w:rsidRDefault="00396EEF" w:rsidP="00FD78A5">
      <w:pPr>
        <w:jc w:val="both"/>
        <w:rPr>
          <w:rFonts w:cs="Arial"/>
          <w:sz w:val="24"/>
          <w:szCs w:val="24"/>
        </w:rPr>
      </w:pPr>
      <w:r w:rsidRPr="00683B48">
        <w:rPr>
          <w:rFonts w:cs="Arial"/>
          <w:sz w:val="24"/>
          <w:szCs w:val="24"/>
        </w:rPr>
        <w:t xml:space="preserve">This </w:t>
      </w:r>
      <w:r w:rsidR="00647EA0" w:rsidRPr="00683B48">
        <w:rPr>
          <w:rFonts w:cs="Arial"/>
          <w:sz w:val="24"/>
          <w:szCs w:val="24"/>
        </w:rPr>
        <w:t>is also a</w:t>
      </w:r>
      <w:r w:rsidRPr="00683B48">
        <w:rPr>
          <w:rFonts w:cs="Arial"/>
          <w:sz w:val="24"/>
          <w:szCs w:val="24"/>
        </w:rPr>
        <w:t>n</w:t>
      </w:r>
      <w:r w:rsidR="00647EA0" w:rsidRPr="00683B48">
        <w:rPr>
          <w:rFonts w:cs="Arial"/>
          <w:sz w:val="24"/>
          <w:szCs w:val="24"/>
        </w:rPr>
        <w:t xml:space="preserve"> </w:t>
      </w:r>
      <w:r w:rsidRPr="00683B48">
        <w:rPr>
          <w:rFonts w:cs="Arial"/>
          <w:sz w:val="24"/>
          <w:szCs w:val="24"/>
        </w:rPr>
        <w:t xml:space="preserve">easy </w:t>
      </w:r>
      <w:r w:rsidR="00647EA0" w:rsidRPr="00683B48">
        <w:rPr>
          <w:rFonts w:cs="Arial"/>
          <w:sz w:val="24"/>
          <w:szCs w:val="24"/>
        </w:rPr>
        <w:t xml:space="preserve">and </w:t>
      </w:r>
      <w:r w:rsidRPr="00683B48">
        <w:rPr>
          <w:rFonts w:cs="Arial"/>
          <w:sz w:val="24"/>
          <w:szCs w:val="24"/>
        </w:rPr>
        <w:t xml:space="preserve">cost efficient </w:t>
      </w:r>
      <w:r w:rsidR="00647EA0" w:rsidRPr="00683B48">
        <w:rPr>
          <w:rFonts w:cs="Arial"/>
          <w:sz w:val="24"/>
          <w:szCs w:val="24"/>
        </w:rPr>
        <w:t>method of keeping a case in the public eye. For example</w:t>
      </w:r>
      <w:r w:rsidRPr="00683B48">
        <w:rPr>
          <w:rFonts w:cs="Arial"/>
          <w:sz w:val="24"/>
          <w:szCs w:val="24"/>
        </w:rPr>
        <w:t>,</w:t>
      </w:r>
      <w:r w:rsidR="00647EA0" w:rsidRPr="00683B48">
        <w:rPr>
          <w:rFonts w:cs="Arial"/>
          <w:sz w:val="24"/>
          <w:szCs w:val="24"/>
        </w:rPr>
        <w:t xml:space="preserve"> the </w:t>
      </w:r>
      <w:r w:rsidR="00874611" w:rsidRPr="00683B48">
        <w:rPr>
          <w:rFonts w:cs="Arial"/>
          <w:sz w:val="24"/>
          <w:szCs w:val="24"/>
        </w:rPr>
        <w:t xml:space="preserve">equality body </w:t>
      </w:r>
      <w:r w:rsidRPr="00683B48">
        <w:rPr>
          <w:rFonts w:cs="Arial"/>
          <w:sz w:val="24"/>
          <w:szCs w:val="24"/>
        </w:rPr>
        <w:t>can post</w:t>
      </w:r>
      <w:r w:rsidR="00647EA0" w:rsidRPr="00683B48">
        <w:rPr>
          <w:rFonts w:cs="Arial"/>
          <w:sz w:val="24"/>
          <w:szCs w:val="24"/>
        </w:rPr>
        <w:t xml:space="preserve"> on social media </w:t>
      </w:r>
      <w:r w:rsidRPr="00683B48">
        <w:rPr>
          <w:rFonts w:cs="Arial"/>
          <w:sz w:val="24"/>
          <w:szCs w:val="24"/>
        </w:rPr>
        <w:t>informing of</w:t>
      </w:r>
      <w:r w:rsidR="00647EA0" w:rsidRPr="00683B48">
        <w:rPr>
          <w:rFonts w:cs="Arial"/>
          <w:sz w:val="24"/>
          <w:szCs w:val="24"/>
        </w:rPr>
        <w:t xml:space="preserve"> court </w:t>
      </w:r>
      <w:r w:rsidRPr="00683B48">
        <w:rPr>
          <w:rFonts w:cs="Arial"/>
          <w:sz w:val="24"/>
          <w:szCs w:val="24"/>
        </w:rPr>
        <w:t>dates,</w:t>
      </w:r>
      <w:r w:rsidR="00647EA0" w:rsidRPr="00683B48">
        <w:rPr>
          <w:rFonts w:cs="Arial"/>
          <w:sz w:val="24"/>
          <w:szCs w:val="24"/>
        </w:rPr>
        <w:t xml:space="preserve"> when the </w:t>
      </w:r>
      <w:r w:rsidRPr="00683B48">
        <w:rPr>
          <w:rFonts w:cs="Arial"/>
          <w:sz w:val="24"/>
          <w:szCs w:val="24"/>
        </w:rPr>
        <w:t xml:space="preserve">ruling will be delivered, and other developments </w:t>
      </w:r>
      <w:r w:rsidR="00143289" w:rsidRPr="00683B48">
        <w:rPr>
          <w:rFonts w:cs="Arial"/>
          <w:sz w:val="24"/>
          <w:szCs w:val="24"/>
        </w:rPr>
        <w:t xml:space="preserve">or milestones </w:t>
      </w:r>
      <w:r w:rsidRPr="00683B48">
        <w:rPr>
          <w:rFonts w:cs="Arial"/>
          <w:sz w:val="24"/>
          <w:szCs w:val="24"/>
        </w:rPr>
        <w:t>in a given case</w:t>
      </w:r>
      <w:r w:rsidR="00647EA0" w:rsidRPr="00683B48">
        <w:rPr>
          <w:rFonts w:cs="Arial"/>
          <w:sz w:val="24"/>
          <w:szCs w:val="24"/>
        </w:rPr>
        <w:t xml:space="preserve">. </w:t>
      </w:r>
    </w:p>
    <w:p w14:paraId="5DB5341B" w14:textId="77777777" w:rsidR="00647EA0" w:rsidRPr="006F3139" w:rsidRDefault="00647EA0" w:rsidP="00FD78A5">
      <w:pPr>
        <w:jc w:val="both"/>
        <w:rPr>
          <w:rFonts w:cs="Arial"/>
          <w:b/>
          <w:sz w:val="24"/>
          <w:szCs w:val="24"/>
          <w:u w:val="single"/>
        </w:rPr>
      </w:pPr>
      <w:r w:rsidRPr="006F3139">
        <w:rPr>
          <w:rFonts w:cs="Arial"/>
          <w:b/>
          <w:sz w:val="24"/>
          <w:szCs w:val="24"/>
          <w:u w:val="single"/>
        </w:rPr>
        <w:t xml:space="preserve">Mailing </w:t>
      </w:r>
      <w:r w:rsidR="00654BD0" w:rsidRPr="006F3139">
        <w:rPr>
          <w:rFonts w:cs="Arial"/>
          <w:b/>
          <w:sz w:val="24"/>
          <w:szCs w:val="24"/>
          <w:u w:val="single"/>
        </w:rPr>
        <w:t>L</w:t>
      </w:r>
      <w:r w:rsidRPr="006F3139">
        <w:rPr>
          <w:rFonts w:cs="Arial"/>
          <w:b/>
          <w:sz w:val="24"/>
          <w:szCs w:val="24"/>
          <w:u w:val="single"/>
        </w:rPr>
        <w:t xml:space="preserve">ist to </w:t>
      </w:r>
      <w:r w:rsidR="0058206F" w:rsidRPr="006F3139">
        <w:rPr>
          <w:rFonts w:cs="Arial"/>
          <w:b/>
          <w:sz w:val="24"/>
          <w:szCs w:val="24"/>
          <w:u w:val="single"/>
        </w:rPr>
        <w:t>Stakeholders and Cooperating Organizations</w:t>
      </w:r>
    </w:p>
    <w:p w14:paraId="0B9CC8FA" w14:textId="77777777" w:rsidR="00647EA0" w:rsidRPr="00683B48" w:rsidRDefault="005D48EB" w:rsidP="00FD78A5">
      <w:pPr>
        <w:jc w:val="both"/>
        <w:rPr>
          <w:rFonts w:cs="Arial"/>
          <w:sz w:val="24"/>
          <w:szCs w:val="24"/>
        </w:rPr>
      </w:pPr>
      <w:r w:rsidRPr="00683B48">
        <w:rPr>
          <w:rFonts w:cs="Arial"/>
          <w:sz w:val="24"/>
          <w:szCs w:val="24"/>
        </w:rPr>
        <w:t>A</w:t>
      </w:r>
      <w:r w:rsidR="00647EA0" w:rsidRPr="00683B48">
        <w:rPr>
          <w:rFonts w:cs="Arial"/>
          <w:sz w:val="24"/>
          <w:szCs w:val="24"/>
        </w:rPr>
        <w:t xml:space="preserve"> regular mailing list </w:t>
      </w:r>
      <w:r w:rsidRPr="00683B48">
        <w:rPr>
          <w:rFonts w:cs="Arial"/>
          <w:sz w:val="24"/>
          <w:szCs w:val="24"/>
        </w:rPr>
        <w:t>to the equality body’s</w:t>
      </w:r>
      <w:r w:rsidR="00647EA0" w:rsidRPr="00683B48">
        <w:rPr>
          <w:rFonts w:cs="Arial"/>
          <w:sz w:val="24"/>
          <w:szCs w:val="24"/>
        </w:rPr>
        <w:t xml:space="preserve"> </w:t>
      </w:r>
      <w:r w:rsidR="0058206F" w:rsidRPr="00683B48">
        <w:rPr>
          <w:rFonts w:cs="Arial"/>
          <w:sz w:val="24"/>
          <w:szCs w:val="24"/>
        </w:rPr>
        <w:t>various</w:t>
      </w:r>
      <w:r w:rsidR="00647EA0" w:rsidRPr="00683B48">
        <w:rPr>
          <w:rFonts w:cs="Arial"/>
          <w:sz w:val="24"/>
          <w:szCs w:val="24"/>
        </w:rPr>
        <w:t xml:space="preserve"> stakeholders, </w:t>
      </w:r>
      <w:r w:rsidR="0058206F" w:rsidRPr="00683B48">
        <w:rPr>
          <w:rFonts w:cs="Arial"/>
          <w:sz w:val="24"/>
          <w:szCs w:val="24"/>
        </w:rPr>
        <w:t>partner organizations</w:t>
      </w:r>
      <w:r w:rsidRPr="00683B48">
        <w:rPr>
          <w:rFonts w:cs="Arial"/>
          <w:sz w:val="24"/>
          <w:szCs w:val="24"/>
        </w:rPr>
        <w:t>,</w:t>
      </w:r>
      <w:r w:rsidR="0058206F" w:rsidRPr="00683B48">
        <w:rPr>
          <w:rFonts w:cs="Arial"/>
          <w:sz w:val="24"/>
          <w:szCs w:val="24"/>
        </w:rPr>
        <w:t xml:space="preserve"> </w:t>
      </w:r>
      <w:r w:rsidR="00647EA0" w:rsidRPr="00683B48">
        <w:rPr>
          <w:rFonts w:cs="Arial"/>
          <w:sz w:val="24"/>
          <w:szCs w:val="24"/>
        </w:rPr>
        <w:t>NGOs</w:t>
      </w:r>
      <w:r w:rsidRPr="00683B48">
        <w:rPr>
          <w:rFonts w:cs="Arial"/>
          <w:sz w:val="24"/>
          <w:szCs w:val="24"/>
        </w:rPr>
        <w:t>, etc,</w:t>
      </w:r>
      <w:r w:rsidR="00647EA0" w:rsidRPr="00683B48">
        <w:rPr>
          <w:rFonts w:cs="Arial"/>
          <w:sz w:val="24"/>
          <w:szCs w:val="24"/>
        </w:rPr>
        <w:t xml:space="preserve"> </w:t>
      </w:r>
      <w:r w:rsidRPr="00683B48">
        <w:rPr>
          <w:rFonts w:cs="Arial"/>
          <w:sz w:val="24"/>
          <w:szCs w:val="24"/>
        </w:rPr>
        <w:t xml:space="preserve">can be set up to share </w:t>
      </w:r>
      <w:r w:rsidR="00647EA0" w:rsidRPr="00683B48">
        <w:rPr>
          <w:rFonts w:cs="Arial"/>
          <w:sz w:val="24"/>
          <w:szCs w:val="24"/>
        </w:rPr>
        <w:t xml:space="preserve">up to date </w:t>
      </w:r>
      <w:r w:rsidRPr="00683B48">
        <w:rPr>
          <w:rFonts w:cs="Arial"/>
          <w:sz w:val="24"/>
          <w:szCs w:val="24"/>
        </w:rPr>
        <w:t xml:space="preserve">information </w:t>
      </w:r>
      <w:r w:rsidR="00647EA0" w:rsidRPr="00683B48">
        <w:rPr>
          <w:rFonts w:cs="Arial"/>
          <w:sz w:val="24"/>
          <w:szCs w:val="24"/>
        </w:rPr>
        <w:t xml:space="preserve">on its work, </w:t>
      </w:r>
      <w:r w:rsidRPr="00683B48">
        <w:rPr>
          <w:rFonts w:cs="Arial"/>
          <w:sz w:val="24"/>
          <w:szCs w:val="24"/>
        </w:rPr>
        <w:t>such as for example</w:t>
      </w:r>
      <w:r w:rsidR="00647EA0" w:rsidRPr="00683B48">
        <w:rPr>
          <w:rFonts w:cs="Arial"/>
          <w:sz w:val="24"/>
          <w:szCs w:val="24"/>
        </w:rPr>
        <w:t xml:space="preserve"> successful strategic litigation.</w:t>
      </w:r>
    </w:p>
    <w:p w14:paraId="18D6D825" w14:textId="77777777" w:rsidR="00647EA0" w:rsidRPr="006F3139" w:rsidRDefault="00647EA0" w:rsidP="00FD78A5">
      <w:pPr>
        <w:jc w:val="both"/>
        <w:rPr>
          <w:rFonts w:cs="Arial"/>
          <w:b/>
          <w:sz w:val="24"/>
          <w:szCs w:val="24"/>
          <w:u w:val="single"/>
        </w:rPr>
      </w:pPr>
      <w:r w:rsidRPr="006F3139">
        <w:rPr>
          <w:rFonts w:cs="Arial"/>
          <w:b/>
          <w:sz w:val="24"/>
          <w:szCs w:val="24"/>
          <w:u w:val="single"/>
        </w:rPr>
        <w:t xml:space="preserve">Trade </w:t>
      </w:r>
      <w:r w:rsidR="00654BD0" w:rsidRPr="006F3139">
        <w:rPr>
          <w:rFonts w:cs="Arial"/>
          <w:b/>
          <w:sz w:val="24"/>
          <w:szCs w:val="24"/>
          <w:u w:val="single"/>
        </w:rPr>
        <w:t>J</w:t>
      </w:r>
      <w:r w:rsidRPr="006F3139">
        <w:rPr>
          <w:rFonts w:cs="Arial"/>
          <w:b/>
          <w:sz w:val="24"/>
          <w:szCs w:val="24"/>
          <w:u w:val="single"/>
        </w:rPr>
        <w:t>ournals</w:t>
      </w:r>
    </w:p>
    <w:p w14:paraId="052EB533" w14:textId="77777777" w:rsidR="00647EA0" w:rsidRPr="00683B48" w:rsidRDefault="00AC1131" w:rsidP="00FD78A5">
      <w:pPr>
        <w:jc w:val="both"/>
        <w:rPr>
          <w:rFonts w:cs="Arial"/>
          <w:sz w:val="24"/>
          <w:szCs w:val="24"/>
        </w:rPr>
      </w:pPr>
      <w:r w:rsidRPr="00683B48">
        <w:rPr>
          <w:rFonts w:cs="Arial"/>
          <w:sz w:val="24"/>
          <w:szCs w:val="24"/>
        </w:rPr>
        <w:t xml:space="preserve">Although it is </w:t>
      </w:r>
      <w:r w:rsidR="00647EA0" w:rsidRPr="00683B48">
        <w:rPr>
          <w:rFonts w:cs="Arial"/>
          <w:sz w:val="24"/>
          <w:szCs w:val="24"/>
        </w:rPr>
        <w:t xml:space="preserve">helpful to </w:t>
      </w:r>
      <w:r w:rsidRPr="00683B48">
        <w:rPr>
          <w:rFonts w:cs="Arial"/>
          <w:sz w:val="24"/>
          <w:szCs w:val="24"/>
        </w:rPr>
        <w:t xml:space="preserve">receive </w:t>
      </w:r>
      <w:r w:rsidR="00647EA0" w:rsidRPr="00683B48">
        <w:rPr>
          <w:rFonts w:cs="Arial"/>
          <w:sz w:val="24"/>
          <w:szCs w:val="24"/>
        </w:rPr>
        <w:t xml:space="preserve">as much publicity as possible when the judgement is </w:t>
      </w:r>
      <w:r w:rsidRPr="00683B48">
        <w:rPr>
          <w:rFonts w:cs="Arial"/>
          <w:sz w:val="24"/>
          <w:szCs w:val="24"/>
        </w:rPr>
        <w:t xml:space="preserve">initially </w:t>
      </w:r>
      <w:r w:rsidR="00647EA0" w:rsidRPr="00683B48">
        <w:rPr>
          <w:rFonts w:cs="Arial"/>
          <w:sz w:val="24"/>
          <w:szCs w:val="24"/>
        </w:rPr>
        <w:t>released</w:t>
      </w:r>
      <w:r w:rsidRPr="00683B48">
        <w:rPr>
          <w:rFonts w:cs="Arial"/>
          <w:sz w:val="24"/>
          <w:szCs w:val="24"/>
        </w:rPr>
        <w:t>, there are also</w:t>
      </w:r>
      <w:r w:rsidR="00647EA0" w:rsidRPr="00683B48">
        <w:rPr>
          <w:rFonts w:cs="Arial"/>
          <w:sz w:val="24"/>
          <w:szCs w:val="24"/>
        </w:rPr>
        <w:t xml:space="preserve"> </w:t>
      </w:r>
      <w:r w:rsidRPr="00683B48">
        <w:rPr>
          <w:rFonts w:cs="Arial"/>
          <w:sz w:val="24"/>
          <w:szCs w:val="24"/>
        </w:rPr>
        <w:t>later</w:t>
      </w:r>
      <w:r w:rsidR="00647EA0" w:rsidRPr="00683B48">
        <w:rPr>
          <w:rFonts w:cs="Arial"/>
          <w:sz w:val="24"/>
          <w:szCs w:val="24"/>
        </w:rPr>
        <w:t xml:space="preserve"> opportunit</w:t>
      </w:r>
      <w:r w:rsidRPr="00683B48">
        <w:rPr>
          <w:rFonts w:cs="Arial"/>
          <w:sz w:val="24"/>
          <w:szCs w:val="24"/>
        </w:rPr>
        <w:t>ies</w:t>
      </w:r>
      <w:r w:rsidR="00647EA0" w:rsidRPr="00683B48">
        <w:rPr>
          <w:rFonts w:cs="Arial"/>
          <w:sz w:val="24"/>
          <w:szCs w:val="24"/>
        </w:rPr>
        <w:t xml:space="preserve"> to publicize the case. </w:t>
      </w:r>
    </w:p>
    <w:p w14:paraId="6BEA0A04" w14:textId="77777777" w:rsidR="00647EA0" w:rsidRPr="00683B48" w:rsidRDefault="00647EA0" w:rsidP="00FD78A5">
      <w:pPr>
        <w:jc w:val="both"/>
        <w:rPr>
          <w:rFonts w:cs="Arial"/>
          <w:sz w:val="24"/>
          <w:szCs w:val="24"/>
        </w:rPr>
      </w:pPr>
      <w:r w:rsidRPr="00683B48">
        <w:rPr>
          <w:rFonts w:cs="Arial"/>
          <w:sz w:val="24"/>
          <w:szCs w:val="24"/>
        </w:rPr>
        <w:t xml:space="preserve">Articles can be placed in legal or trade journals months after the </w:t>
      </w:r>
      <w:r w:rsidR="00AC1131" w:rsidRPr="00683B48">
        <w:rPr>
          <w:rFonts w:cs="Arial"/>
          <w:sz w:val="24"/>
          <w:szCs w:val="24"/>
        </w:rPr>
        <w:t>ruling is delivered</w:t>
      </w:r>
      <w:r w:rsidRPr="00683B48">
        <w:rPr>
          <w:rFonts w:cs="Arial"/>
          <w:sz w:val="24"/>
          <w:szCs w:val="24"/>
        </w:rPr>
        <w:t>, or whenever an opportunity arises, to maximize the impact of the case.  For example, an article about a discrimination case involving a restaurant could be placed in magazines and trade journals targeted at the hospitality industry</w:t>
      </w:r>
      <w:r w:rsidR="00AC1131" w:rsidRPr="00683B48">
        <w:rPr>
          <w:rFonts w:cs="Arial"/>
          <w:sz w:val="24"/>
          <w:szCs w:val="24"/>
        </w:rPr>
        <w:t xml:space="preserve"> and a</w:t>
      </w:r>
      <w:r w:rsidRPr="00683B48">
        <w:rPr>
          <w:rFonts w:cs="Arial"/>
          <w:sz w:val="24"/>
          <w:szCs w:val="24"/>
        </w:rPr>
        <w:t xml:space="preserve">n article about education cases could be placed in publications targeted at teachers. </w:t>
      </w:r>
    </w:p>
    <w:p w14:paraId="0C8F26E7" w14:textId="77777777" w:rsidR="00647EA0" w:rsidRPr="00683B48" w:rsidRDefault="00647EA0" w:rsidP="00FD78A5">
      <w:pPr>
        <w:jc w:val="both"/>
        <w:rPr>
          <w:rFonts w:cs="Arial"/>
          <w:sz w:val="24"/>
          <w:szCs w:val="24"/>
        </w:rPr>
      </w:pPr>
      <w:r w:rsidRPr="00683B48">
        <w:rPr>
          <w:rFonts w:cs="Arial"/>
          <w:sz w:val="24"/>
          <w:szCs w:val="24"/>
        </w:rPr>
        <w:t xml:space="preserve">Even unsuccessful litigation can result in positive gains if publicised in the right way. For example, a case which is shocking on its facts but </w:t>
      </w:r>
      <w:r w:rsidR="00AC1131" w:rsidRPr="00683B48">
        <w:rPr>
          <w:rFonts w:cs="Arial"/>
          <w:sz w:val="24"/>
          <w:szCs w:val="24"/>
        </w:rPr>
        <w:t xml:space="preserve">is </w:t>
      </w:r>
      <w:r w:rsidRPr="00683B48">
        <w:rPr>
          <w:rFonts w:cs="Arial"/>
          <w:sz w:val="24"/>
          <w:szCs w:val="24"/>
        </w:rPr>
        <w:t>los</w:t>
      </w:r>
      <w:r w:rsidR="00AC1131" w:rsidRPr="00683B48">
        <w:rPr>
          <w:rFonts w:cs="Arial"/>
          <w:sz w:val="24"/>
          <w:szCs w:val="24"/>
        </w:rPr>
        <w:t>t</w:t>
      </w:r>
      <w:r w:rsidRPr="00683B48">
        <w:rPr>
          <w:rFonts w:cs="Arial"/>
          <w:sz w:val="24"/>
          <w:szCs w:val="24"/>
        </w:rPr>
        <w:t xml:space="preserve"> in court, may serve to increase public awareness of a legal problem, or garner support for a change in the law. Therefore</w:t>
      </w:r>
      <w:r w:rsidR="00AC1131" w:rsidRPr="00683B48">
        <w:rPr>
          <w:rFonts w:cs="Arial"/>
          <w:sz w:val="24"/>
          <w:szCs w:val="24"/>
        </w:rPr>
        <w:t>,</w:t>
      </w:r>
      <w:r w:rsidRPr="00683B48">
        <w:rPr>
          <w:rFonts w:cs="Arial"/>
          <w:sz w:val="24"/>
          <w:szCs w:val="24"/>
        </w:rPr>
        <w:t xml:space="preserve"> consideration should be given to whether the case should be publicized </w:t>
      </w:r>
      <w:r w:rsidR="00AC1131" w:rsidRPr="00683B48">
        <w:rPr>
          <w:rFonts w:cs="Arial"/>
          <w:sz w:val="24"/>
          <w:szCs w:val="24"/>
        </w:rPr>
        <w:t>regardless of the outcome. Where the equality body wishes to keep a lower profile,</w:t>
      </w:r>
      <w:r w:rsidRPr="00683B48">
        <w:rPr>
          <w:rFonts w:cs="Arial"/>
          <w:sz w:val="24"/>
          <w:szCs w:val="24"/>
        </w:rPr>
        <w:t xml:space="preserve"> a statement on </w:t>
      </w:r>
      <w:r w:rsidR="00AC1131" w:rsidRPr="00683B48">
        <w:rPr>
          <w:rFonts w:cs="Arial"/>
          <w:sz w:val="24"/>
          <w:szCs w:val="24"/>
        </w:rPr>
        <w:t xml:space="preserve">its </w:t>
      </w:r>
      <w:r w:rsidRPr="00683B48">
        <w:rPr>
          <w:rFonts w:cs="Arial"/>
          <w:sz w:val="24"/>
          <w:szCs w:val="24"/>
        </w:rPr>
        <w:t>website but no press release</w:t>
      </w:r>
      <w:r w:rsidR="00AC1131" w:rsidRPr="00683B48">
        <w:rPr>
          <w:rFonts w:cs="Arial"/>
          <w:sz w:val="24"/>
          <w:szCs w:val="24"/>
        </w:rPr>
        <w:t xml:space="preserve"> may be an option which </w:t>
      </w:r>
      <w:r w:rsidRPr="00683B48">
        <w:rPr>
          <w:rFonts w:cs="Arial"/>
          <w:sz w:val="24"/>
          <w:szCs w:val="24"/>
        </w:rPr>
        <w:t>serve</w:t>
      </w:r>
      <w:r w:rsidR="00AC1131" w:rsidRPr="00683B48">
        <w:rPr>
          <w:rFonts w:cs="Arial"/>
          <w:sz w:val="24"/>
          <w:szCs w:val="24"/>
        </w:rPr>
        <w:t>s</w:t>
      </w:r>
      <w:r w:rsidRPr="00683B48">
        <w:rPr>
          <w:rFonts w:cs="Arial"/>
          <w:sz w:val="24"/>
          <w:szCs w:val="24"/>
        </w:rPr>
        <w:t xml:space="preserve"> the </w:t>
      </w:r>
      <w:r w:rsidR="00874611" w:rsidRPr="00683B48">
        <w:rPr>
          <w:rFonts w:cs="Arial"/>
          <w:sz w:val="24"/>
          <w:szCs w:val="24"/>
        </w:rPr>
        <w:t xml:space="preserve">equality body’s </w:t>
      </w:r>
      <w:r w:rsidR="00AC1131" w:rsidRPr="00683B48">
        <w:rPr>
          <w:rFonts w:cs="Arial"/>
          <w:sz w:val="24"/>
          <w:szCs w:val="24"/>
        </w:rPr>
        <w:t>objectives</w:t>
      </w:r>
      <w:r w:rsidRPr="00683B48">
        <w:rPr>
          <w:rFonts w:cs="Arial"/>
          <w:sz w:val="24"/>
          <w:szCs w:val="24"/>
        </w:rPr>
        <w:t xml:space="preserve">, whilst maintaining its credibility. </w:t>
      </w:r>
    </w:p>
    <w:p w14:paraId="6AD431AD" w14:textId="77777777" w:rsidR="00D43739" w:rsidRPr="006F3139" w:rsidRDefault="00D43739" w:rsidP="00D43739">
      <w:pPr>
        <w:jc w:val="both"/>
        <w:rPr>
          <w:rFonts w:cs="Arial"/>
          <w:b/>
          <w:sz w:val="24"/>
          <w:szCs w:val="24"/>
          <w:u w:val="single"/>
        </w:rPr>
      </w:pPr>
      <w:r w:rsidRPr="006F3139">
        <w:rPr>
          <w:rFonts w:cs="Arial"/>
          <w:b/>
          <w:sz w:val="24"/>
          <w:szCs w:val="24"/>
          <w:u w:val="single"/>
        </w:rPr>
        <w:t>The role of the victim</w:t>
      </w:r>
      <w:r w:rsidR="00B34557" w:rsidRPr="006F3139">
        <w:rPr>
          <w:rFonts w:cs="Arial"/>
          <w:b/>
          <w:sz w:val="24"/>
          <w:szCs w:val="24"/>
          <w:u w:val="single"/>
        </w:rPr>
        <w:t xml:space="preserve"> of discrimination</w:t>
      </w:r>
    </w:p>
    <w:p w14:paraId="698297CE" w14:textId="77777777" w:rsidR="00D43739" w:rsidRPr="00D43739" w:rsidRDefault="00D43739" w:rsidP="00D43739">
      <w:pPr>
        <w:jc w:val="both"/>
        <w:rPr>
          <w:rFonts w:cs="Arial"/>
          <w:sz w:val="24"/>
          <w:szCs w:val="24"/>
        </w:rPr>
      </w:pPr>
      <w:r w:rsidRPr="00D43739">
        <w:rPr>
          <w:rFonts w:cs="Arial"/>
          <w:sz w:val="24"/>
          <w:szCs w:val="24"/>
        </w:rPr>
        <w:t xml:space="preserve">In certain strategic cases, </w:t>
      </w:r>
      <w:r>
        <w:rPr>
          <w:rFonts w:cs="Arial"/>
          <w:sz w:val="24"/>
          <w:szCs w:val="24"/>
        </w:rPr>
        <w:t xml:space="preserve">the </w:t>
      </w:r>
      <w:r w:rsidRPr="00D43739">
        <w:rPr>
          <w:rFonts w:cs="Arial"/>
          <w:sz w:val="24"/>
          <w:szCs w:val="24"/>
        </w:rPr>
        <w:t xml:space="preserve">victim can play </w:t>
      </w:r>
      <w:r>
        <w:rPr>
          <w:rFonts w:cs="Arial"/>
          <w:sz w:val="24"/>
          <w:szCs w:val="24"/>
        </w:rPr>
        <w:t xml:space="preserve">a </w:t>
      </w:r>
      <w:r w:rsidRPr="00D43739">
        <w:rPr>
          <w:rFonts w:cs="Arial"/>
          <w:sz w:val="24"/>
          <w:szCs w:val="24"/>
        </w:rPr>
        <w:t>significant role in communicating key messages to the public. It can be especially gainful when the case involves s</w:t>
      </w:r>
      <w:r>
        <w:rPr>
          <w:rFonts w:cs="Arial"/>
          <w:sz w:val="24"/>
          <w:szCs w:val="24"/>
        </w:rPr>
        <w:t>h</w:t>
      </w:r>
      <w:r w:rsidRPr="00D43739">
        <w:rPr>
          <w:rFonts w:cs="Arial"/>
          <w:sz w:val="24"/>
          <w:szCs w:val="24"/>
        </w:rPr>
        <w:t xml:space="preserve">ocking facts and the public can relate with the victim who is often the best spokesman about certain problem. This is particularly the case if </w:t>
      </w:r>
      <w:r>
        <w:rPr>
          <w:rFonts w:cs="Arial"/>
          <w:sz w:val="24"/>
          <w:szCs w:val="24"/>
        </w:rPr>
        <w:t xml:space="preserve">the </w:t>
      </w:r>
      <w:r w:rsidRPr="00D43739">
        <w:rPr>
          <w:rFonts w:cs="Arial"/>
          <w:sz w:val="24"/>
          <w:szCs w:val="24"/>
        </w:rPr>
        <w:t xml:space="preserve">litigation had </w:t>
      </w:r>
      <w:r>
        <w:rPr>
          <w:rFonts w:cs="Arial"/>
          <w:sz w:val="24"/>
          <w:szCs w:val="24"/>
        </w:rPr>
        <w:t xml:space="preserve">a </w:t>
      </w:r>
      <w:r w:rsidRPr="00D43739">
        <w:rPr>
          <w:rFonts w:cs="Arial"/>
          <w:sz w:val="24"/>
          <w:szCs w:val="24"/>
        </w:rPr>
        <w:t xml:space="preserve">negative outcome but </w:t>
      </w:r>
      <w:r>
        <w:rPr>
          <w:rFonts w:cs="Arial"/>
          <w:sz w:val="24"/>
          <w:szCs w:val="24"/>
        </w:rPr>
        <w:t xml:space="preserve">it is hoped that this way </w:t>
      </w:r>
      <w:r w:rsidRPr="00D43739">
        <w:rPr>
          <w:rFonts w:cs="Arial"/>
          <w:sz w:val="24"/>
          <w:szCs w:val="24"/>
        </w:rPr>
        <w:t>the purpose of increasing public awareness about certain legal or social problem</w:t>
      </w:r>
      <w:r>
        <w:rPr>
          <w:rFonts w:cs="Arial"/>
          <w:sz w:val="24"/>
          <w:szCs w:val="24"/>
        </w:rPr>
        <w:t>s can still be reached</w:t>
      </w:r>
      <w:r w:rsidRPr="00D43739">
        <w:rPr>
          <w:rFonts w:cs="Arial"/>
          <w:sz w:val="24"/>
          <w:szCs w:val="24"/>
        </w:rPr>
        <w:t xml:space="preserve">. </w:t>
      </w:r>
    </w:p>
    <w:p w14:paraId="5206B1A5" w14:textId="77777777" w:rsidR="00D43739" w:rsidRPr="00D43739" w:rsidRDefault="00D43739" w:rsidP="00D43739">
      <w:pPr>
        <w:jc w:val="both"/>
        <w:rPr>
          <w:rFonts w:cs="Arial"/>
          <w:sz w:val="24"/>
          <w:szCs w:val="24"/>
        </w:rPr>
      </w:pPr>
      <w:r w:rsidRPr="00D43739">
        <w:rPr>
          <w:rFonts w:cs="Arial"/>
          <w:sz w:val="24"/>
          <w:szCs w:val="24"/>
        </w:rPr>
        <w:lastRenderedPageBreak/>
        <w:t>However, such arrangements shou</w:t>
      </w:r>
      <w:r>
        <w:rPr>
          <w:rFonts w:cs="Arial"/>
          <w:sz w:val="24"/>
          <w:szCs w:val="24"/>
        </w:rPr>
        <w:t>ld be previously agreed by both the</w:t>
      </w:r>
      <w:r w:rsidRPr="00D43739">
        <w:rPr>
          <w:rFonts w:cs="Arial"/>
          <w:sz w:val="24"/>
          <w:szCs w:val="24"/>
        </w:rPr>
        <w:t xml:space="preserve"> equality body and the victim, taking into account </w:t>
      </w:r>
      <w:r>
        <w:rPr>
          <w:rFonts w:cs="Arial"/>
          <w:sz w:val="24"/>
          <w:szCs w:val="24"/>
        </w:rPr>
        <w:t xml:space="preserve">the </w:t>
      </w:r>
      <w:r w:rsidRPr="00D43739">
        <w:rPr>
          <w:rFonts w:cs="Arial"/>
          <w:sz w:val="24"/>
          <w:szCs w:val="24"/>
        </w:rPr>
        <w:t xml:space="preserve">following criteria: </w:t>
      </w:r>
    </w:p>
    <w:p w14:paraId="65D9F1CA" w14:textId="77777777" w:rsidR="00D43739" w:rsidRPr="00D43739" w:rsidRDefault="00D43739" w:rsidP="006F3139">
      <w:pPr>
        <w:numPr>
          <w:ilvl w:val="0"/>
          <w:numId w:val="15"/>
        </w:numPr>
        <w:jc w:val="both"/>
        <w:rPr>
          <w:rFonts w:cs="Arial"/>
          <w:sz w:val="24"/>
          <w:szCs w:val="24"/>
        </w:rPr>
      </w:pPr>
      <w:r w:rsidRPr="00D43739">
        <w:rPr>
          <w:rFonts w:cs="Arial"/>
          <w:sz w:val="24"/>
          <w:szCs w:val="24"/>
        </w:rPr>
        <w:t xml:space="preserve">whether </w:t>
      </w:r>
      <w:r>
        <w:rPr>
          <w:rFonts w:cs="Arial"/>
          <w:sz w:val="24"/>
          <w:szCs w:val="24"/>
        </w:rPr>
        <w:t xml:space="preserve">the </w:t>
      </w:r>
      <w:r w:rsidRPr="00D43739">
        <w:rPr>
          <w:rFonts w:cs="Arial"/>
          <w:sz w:val="24"/>
          <w:szCs w:val="24"/>
        </w:rPr>
        <w:t>victim is familiarized with the potential consequences of such actions and is still willing to be involved in media work;</w:t>
      </w:r>
    </w:p>
    <w:p w14:paraId="751DACF8" w14:textId="77777777" w:rsidR="00D43739" w:rsidRPr="00D43739" w:rsidRDefault="00D43739" w:rsidP="006F3139">
      <w:pPr>
        <w:numPr>
          <w:ilvl w:val="0"/>
          <w:numId w:val="15"/>
        </w:numPr>
        <w:jc w:val="both"/>
        <w:rPr>
          <w:rFonts w:cs="Arial"/>
          <w:sz w:val="24"/>
          <w:szCs w:val="24"/>
        </w:rPr>
      </w:pPr>
      <w:r w:rsidRPr="00D43739">
        <w:rPr>
          <w:rFonts w:cs="Arial"/>
          <w:sz w:val="24"/>
          <w:szCs w:val="24"/>
        </w:rPr>
        <w:t xml:space="preserve">whether </w:t>
      </w:r>
      <w:r>
        <w:rPr>
          <w:rFonts w:cs="Arial"/>
          <w:sz w:val="24"/>
          <w:szCs w:val="24"/>
        </w:rPr>
        <w:t xml:space="preserve">the </w:t>
      </w:r>
      <w:r w:rsidRPr="00D43739">
        <w:rPr>
          <w:rFonts w:cs="Arial"/>
          <w:sz w:val="24"/>
          <w:szCs w:val="24"/>
        </w:rPr>
        <w:t xml:space="preserve">victim </w:t>
      </w:r>
      <w:r>
        <w:rPr>
          <w:rFonts w:cs="Arial"/>
          <w:sz w:val="24"/>
          <w:szCs w:val="24"/>
        </w:rPr>
        <w:t>can deal with the</w:t>
      </w:r>
      <w:r w:rsidRPr="00D43739">
        <w:rPr>
          <w:rFonts w:cs="Arial"/>
          <w:sz w:val="24"/>
          <w:szCs w:val="24"/>
        </w:rPr>
        <w:t xml:space="preserve"> psychological </w:t>
      </w:r>
      <w:r>
        <w:rPr>
          <w:rFonts w:cs="Arial"/>
          <w:sz w:val="24"/>
          <w:szCs w:val="24"/>
        </w:rPr>
        <w:t>burden of</w:t>
      </w:r>
      <w:r w:rsidRPr="00D43739">
        <w:rPr>
          <w:rFonts w:cs="Arial"/>
          <w:sz w:val="24"/>
          <w:szCs w:val="24"/>
        </w:rPr>
        <w:t xml:space="preserve"> deal</w:t>
      </w:r>
      <w:r>
        <w:rPr>
          <w:rFonts w:cs="Arial"/>
          <w:sz w:val="24"/>
          <w:szCs w:val="24"/>
        </w:rPr>
        <w:t>ing</w:t>
      </w:r>
      <w:r w:rsidRPr="00D43739">
        <w:rPr>
          <w:rFonts w:cs="Arial"/>
          <w:sz w:val="24"/>
          <w:szCs w:val="24"/>
        </w:rPr>
        <w:t xml:space="preserve"> with </w:t>
      </w:r>
      <w:r>
        <w:rPr>
          <w:rFonts w:cs="Arial"/>
          <w:sz w:val="24"/>
          <w:szCs w:val="24"/>
        </w:rPr>
        <w:t xml:space="preserve">the </w:t>
      </w:r>
      <w:r w:rsidRPr="00D43739">
        <w:rPr>
          <w:rFonts w:cs="Arial"/>
          <w:sz w:val="24"/>
          <w:szCs w:val="24"/>
        </w:rPr>
        <w:t xml:space="preserve">media and </w:t>
      </w:r>
      <w:r>
        <w:rPr>
          <w:rFonts w:cs="Arial"/>
          <w:sz w:val="24"/>
          <w:szCs w:val="24"/>
        </w:rPr>
        <w:t xml:space="preserve">the </w:t>
      </w:r>
      <w:r w:rsidRPr="00D43739">
        <w:rPr>
          <w:rFonts w:cs="Arial"/>
          <w:sz w:val="24"/>
          <w:szCs w:val="24"/>
        </w:rPr>
        <w:t xml:space="preserve">public; </w:t>
      </w:r>
    </w:p>
    <w:p w14:paraId="0E819717" w14:textId="77777777" w:rsidR="00D43739" w:rsidRPr="00D43739" w:rsidRDefault="00D43739" w:rsidP="006F3139">
      <w:pPr>
        <w:numPr>
          <w:ilvl w:val="0"/>
          <w:numId w:val="15"/>
        </w:numPr>
        <w:jc w:val="both"/>
        <w:rPr>
          <w:rFonts w:cs="Arial"/>
          <w:sz w:val="24"/>
          <w:szCs w:val="24"/>
        </w:rPr>
      </w:pPr>
      <w:r w:rsidRPr="00D43739">
        <w:rPr>
          <w:rFonts w:cs="Arial"/>
          <w:sz w:val="24"/>
          <w:szCs w:val="24"/>
        </w:rPr>
        <w:t xml:space="preserve">if there is complete </w:t>
      </w:r>
      <w:r>
        <w:rPr>
          <w:rFonts w:cs="Arial"/>
          <w:sz w:val="24"/>
          <w:szCs w:val="24"/>
        </w:rPr>
        <w:t xml:space="preserve">trust and agreement </w:t>
      </w:r>
      <w:r w:rsidRPr="00D43739">
        <w:rPr>
          <w:rFonts w:cs="Arial"/>
          <w:sz w:val="24"/>
          <w:szCs w:val="24"/>
        </w:rPr>
        <w:t xml:space="preserve">between </w:t>
      </w:r>
      <w:r>
        <w:rPr>
          <w:rFonts w:cs="Arial"/>
          <w:sz w:val="24"/>
          <w:szCs w:val="24"/>
        </w:rPr>
        <w:t xml:space="preserve">the </w:t>
      </w:r>
      <w:r w:rsidRPr="00D43739">
        <w:rPr>
          <w:rFonts w:cs="Arial"/>
          <w:sz w:val="24"/>
          <w:szCs w:val="24"/>
        </w:rPr>
        <w:t xml:space="preserve">equality body and </w:t>
      </w:r>
      <w:r>
        <w:rPr>
          <w:rFonts w:cs="Arial"/>
          <w:sz w:val="24"/>
          <w:szCs w:val="24"/>
        </w:rPr>
        <w:t xml:space="preserve">the </w:t>
      </w:r>
      <w:r w:rsidRPr="00D43739">
        <w:rPr>
          <w:rFonts w:cs="Arial"/>
          <w:sz w:val="24"/>
          <w:szCs w:val="24"/>
        </w:rPr>
        <w:t xml:space="preserve">victim </w:t>
      </w:r>
      <w:r w:rsidR="00B34557">
        <w:rPr>
          <w:rFonts w:cs="Arial"/>
          <w:sz w:val="24"/>
          <w:szCs w:val="24"/>
        </w:rPr>
        <w:t>regarding</w:t>
      </w:r>
      <w:r w:rsidRPr="00D43739">
        <w:rPr>
          <w:rFonts w:cs="Arial"/>
          <w:sz w:val="24"/>
          <w:szCs w:val="24"/>
        </w:rPr>
        <w:t xml:space="preserve"> all aspects of the case and the strategy </w:t>
      </w:r>
      <w:r w:rsidR="00B34557">
        <w:rPr>
          <w:rFonts w:cs="Arial"/>
          <w:sz w:val="24"/>
          <w:szCs w:val="24"/>
        </w:rPr>
        <w:t xml:space="preserve">of </w:t>
      </w:r>
      <w:r w:rsidRPr="00D43739">
        <w:rPr>
          <w:rFonts w:cs="Arial"/>
          <w:sz w:val="24"/>
          <w:szCs w:val="24"/>
        </w:rPr>
        <w:t>deal</w:t>
      </w:r>
      <w:r w:rsidR="00B34557">
        <w:rPr>
          <w:rFonts w:cs="Arial"/>
          <w:sz w:val="24"/>
          <w:szCs w:val="24"/>
        </w:rPr>
        <w:t>ing</w:t>
      </w:r>
      <w:r w:rsidRPr="00D43739">
        <w:rPr>
          <w:rFonts w:cs="Arial"/>
          <w:sz w:val="24"/>
          <w:szCs w:val="24"/>
        </w:rPr>
        <w:t xml:space="preserve"> with media. </w:t>
      </w:r>
    </w:p>
    <w:p w14:paraId="1C8DFD89" w14:textId="196C83A6" w:rsidR="00D43739" w:rsidRPr="00D43739" w:rsidRDefault="00D43739" w:rsidP="00D43739">
      <w:pPr>
        <w:jc w:val="both"/>
        <w:rPr>
          <w:rFonts w:cs="Arial"/>
          <w:sz w:val="24"/>
          <w:szCs w:val="24"/>
        </w:rPr>
      </w:pPr>
      <w:r w:rsidRPr="00D43739">
        <w:rPr>
          <w:rFonts w:cs="Arial"/>
          <w:sz w:val="24"/>
          <w:szCs w:val="24"/>
        </w:rPr>
        <w:t>However, even in situation</w:t>
      </w:r>
      <w:r w:rsidR="00784895">
        <w:rPr>
          <w:rFonts w:cs="Arial"/>
          <w:sz w:val="24"/>
          <w:szCs w:val="24"/>
        </w:rPr>
        <w:t>s</w:t>
      </w:r>
      <w:r w:rsidRPr="00D43739">
        <w:rPr>
          <w:rFonts w:cs="Arial"/>
          <w:sz w:val="24"/>
          <w:szCs w:val="24"/>
        </w:rPr>
        <w:t xml:space="preserve"> when all foregoing criteria are fulfilled, if the circumstances of the case are such that </w:t>
      </w:r>
      <w:r>
        <w:rPr>
          <w:rFonts w:cs="Arial"/>
          <w:sz w:val="24"/>
          <w:szCs w:val="24"/>
        </w:rPr>
        <w:t xml:space="preserve">it </w:t>
      </w:r>
      <w:r w:rsidRPr="00D43739">
        <w:rPr>
          <w:rFonts w:cs="Arial"/>
          <w:sz w:val="24"/>
          <w:szCs w:val="24"/>
        </w:rPr>
        <w:t xml:space="preserve">is highly possible </w:t>
      </w:r>
      <w:r>
        <w:rPr>
          <w:rFonts w:cs="Arial"/>
          <w:sz w:val="24"/>
          <w:szCs w:val="24"/>
        </w:rPr>
        <w:t xml:space="preserve">that </w:t>
      </w:r>
      <w:r w:rsidRPr="00D43739">
        <w:rPr>
          <w:rFonts w:cs="Arial"/>
          <w:sz w:val="24"/>
          <w:szCs w:val="24"/>
        </w:rPr>
        <w:t xml:space="preserve">the person concerned will be victimized </w:t>
      </w:r>
      <w:r>
        <w:rPr>
          <w:rFonts w:cs="Arial"/>
          <w:sz w:val="24"/>
          <w:szCs w:val="24"/>
        </w:rPr>
        <w:t>for</w:t>
      </w:r>
      <w:r w:rsidRPr="00D43739">
        <w:rPr>
          <w:rFonts w:cs="Arial"/>
          <w:sz w:val="24"/>
          <w:szCs w:val="24"/>
        </w:rPr>
        <w:t xml:space="preserve"> dealing with the media, the equality body should </w:t>
      </w:r>
      <w:r w:rsidR="00784895">
        <w:rPr>
          <w:rFonts w:cs="Arial"/>
          <w:sz w:val="24"/>
          <w:szCs w:val="24"/>
        </w:rPr>
        <w:t>re</w:t>
      </w:r>
      <w:r w:rsidRPr="00D43739">
        <w:rPr>
          <w:rFonts w:cs="Arial"/>
          <w:sz w:val="24"/>
          <w:szCs w:val="24"/>
        </w:rPr>
        <w:t>consider such</w:t>
      </w:r>
      <w:r w:rsidR="00784895">
        <w:rPr>
          <w:rFonts w:cs="Arial"/>
          <w:sz w:val="24"/>
          <w:szCs w:val="24"/>
        </w:rPr>
        <w:t xml:space="preserve"> an</w:t>
      </w:r>
      <w:r w:rsidRPr="00D43739">
        <w:rPr>
          <w:rFonts w:cs="Arial"/>
          <w:sz w:val="24"/>
          <w:szCs w:val="24"/>
        </w:rPr>
        <w:t xml:space="preserve"> option. On the other hand, if the victim does not want to be involved in any kind of media work, regardless the circumstances of the case, it should be absolutely respected by the equality body. </w:t>
      </w:r>
    </w:p>
    <w:p w14:paraId="0E4442BF" w14:textId="77777777" w:rsidR="00647EA0" w:rsidRPr="006F3139" w:rsidRDefault="00647EA0" w:rsidP="00FD78A5">
      <w:pPr>
        <w:jc w:val="both"/>
        <w:rPr>
          <w:rFonts w:cs="Arial"/>
          <w:sz w:val="24"/>
          <w:szCs w:val="24"/>
          <w:u w:val="single"/>
        </w:rPr>
      </w:pPr>
      <w:r w:rsidRPr="006F3139">
        <w:rPr>
          <w:rFonts w:cs="Arial"/>
          <w:b/>
          <w:sz w:val="24"/>
          <w:szCs w:val="24"/>
          <w:u w:val="single"/>
        </w:rPr>
        <w:t>Follow</w:t>
      </w:r>
      <w:r w:rsidR="00654BD0" w:rsidRPr="006F3139">
        <w:rPr>
          <w:rFonts w:cs="Arial"/>
          <w:b/>
          <w:sz w:val="24"/>
          <w:szCs w:val="24"/>
          <w:u w:val="single"/>
        </w:rPr>
        <w:t>-</w:t>
      </w:r>
      <w:r w:rsidRPr="006F3139">
        <w:rPr>
          <w:rFonts w:cs="Arial"/>
          <w:b/>
          <w:sz w:val="24"/>
          <w:szCs w:val="24"/>
          <w:u w:val="single"/>
        </w:rPr>
        <w:t>Up Work</w:t>
      </w:r>
    </w:p>
    <w:p w14:paraId="6BC141EC" w14:textId="77777777" w:rsidR="00647EA0" w:rsidRPr="00683B48" w:rsidRDefault="00647EA0" w:rsidP="00FD78A5">
      <w:pPr>
        <w:jc w:val="both"/>
        <w:rPr>
          <w:rFonts w:cs="Arial"/>
          <w:sz w:val="24"/>
          <w:szCs w:val="24"/>
        </w:rPr>
      </w:pPr>
      <w:r w:rsidRPr="00683B48">
        <w:rPr>
          <w:rFonts w:cs="Arial"/>
          <w:sz w:val="24"/>
          <w:szCs w:val="24"/>
        </w:rPr>
        <w:t xml:space="preserve">The aim of strategic litigation is to have a wider impact on law and society beyond those involved in </w:t>
      </w:r>
      <w:r w:rsidR="00AF6478" w:rsidRPr="00683B48">
        <w:rPr>
          <w:rFonts w:cs="Arial"/>
          <w:sz w:val="24"/>
          <w:szCs w:val="24"/>
        </w:rPr>
        <w:t xml:space="preserve">an individual </w:t>
      </w:r>
      <w:r w:rsidRPr="00683B48">
        <w:rPr>
          <w:rFonts w:cs="Arial"/>
          <w:sz w:val="24"/>
          <w:szCs w:val="24"/>
        </w:rPr>
        <w:t>case. In order to ensure that</w:t>
      </w:r>
      <w:r w:rsidR="00784895">
        <w:rPr>
          <w:rFonts w:cs="Arial"/>
          <w:sz w:val="24"/>
          <w:szCs w:val="24"/>
        </w:rPr>
        <w:t xml:space="preserve"> the</w:t>
      </w:r>
      <w:r w:rsidRPr="00683B48">
        <w:rPr>
          <w:rFonts w:cs="Arial"/>
          <w:sz w:val="24"/>
          <w:szCs w:val="24"/>
        </w:rPr>
        <w:t xml:space="preserve"> impact is meaningful and effective, the </w:t>
      </w:r>
      <w:r w:rsidR="00874611" w:rsidRPr="00683B48">
        <w:rPr>
          <w:rFonts w:cs="Arial"/>
          <w:sz w:val="24"/>
          <w:szCs w:val="24"/>
        </w:rPr>
        <w:t xml:space="preserve">equality body </w:t>
      </w:r>
      <w:r w:rsidRPr="00683B48">
        <w:rPr>
          <w:rFonts w:cs="Arial"/>
          <w:sz w:val="24"/>
          <w:szCs w:val="24"/>
        </w:rPr>
        <w:t xml:space="preserve">should follow up on the case. Depending on </w:t>
      </w:r>
      <w:r w:rsidR="00AF6478" w:rsidRPr="00683B48">
        <w:rPr>
          <w:rFonts w:cs="Arial"/>
          <w:sz w:val="24"/>
          <w:szCs w:val="24"/>
        </w:rPr>
        <w:t xml:space="preserve">the subject matter of </w:t>
      </w:r>
      <w:r w:rsidRPr="00683B48">
        <w:rPr>
          <w:rFonts w:cs="Arial"/>
          <w:sz w:val="24"/>
          <w:szCs w:val="24"/>
        </w:rPr>
        <w:t>the case, and the extent to which it was successful, this could involve</w:t>
      </w:r>
      <w:r w:rsidR="00AF6478" w:rsidRPr="00683B48">
        <w:rPr>
          <w:rFonts w:cs="Arial"/>
          <w:sz w:val="24"/>
          <w:szCs w:val="24"/>
        </w:rPr>
        <w:t xml:space="preserve"> </w:t>
      </w:r>
      <w:r w:rsidRPr="00683B48">
        <w:rPr>
          <w:rFonts w:cs="Arial"/>
          <w:sz w:val="24"/>
          <w:szCs w:val="24"/>
        </w:rPr>
        <w:t xml:space="preserve">writing to the losing party to check whether they have taken action to remedy the discrimination at the heart of the case; following up with politicians to ensure that laws are changed or enforced; </w:t>
      </w:r>
      <w:r w:rsidR="00AF6478" w:rsidRPr="00683B48">
        <w:rPr>
          <w:rFonts w:cs="Arial"/>
          <w:sz w:val="24"/>
          <w:szCs w:val="24"/>
        </w:rPr>
        <w:t xml:space="preserve">or </w:t>
      </w:r>
      <w:r w:rsidRPr="00683B48">
        <w:rPr>
          <w:rFonts w:cs="Arial"/>
          <w:sz w:val="24"/>
          <w:szCs w:val="24"/>
        </w:rPr>
        <w:t xml:space="preserve">monitoring complaints </w:t>
      </w:r>
      <w:r w:rsidR="00AF6478" w:rsidRPr="00683B48">
        <w:rPr>
          <w:rFonts w:cs="Arial"/>
          <w:sz w:val="24"/>
          <w:szCs w:val="24"/>
        </w:rPr>
        <w:t xml:space="preserve">regarding </w:t>
      </w:r>
      <w:r w:rsidRPr="00683B48">
        <w:rPr>
          <w:rFonts w:cs="Arial"/>
          <w:sz w:val="24"/>
          <w:szCs w:val="24"/>
        </w:rPr>
        <w:t xml:space="preserve">the same issue to ensure that the problem the case sought to address does not persist </w:t>
      </w:r>
      <w:r w:rsidR="00AF6478" w:rsidRPr="00683B48">
        <w:rPr>
          <w:rFonts w:cs="Arial"/>
          <w:sz w:val="24"/>
          <w:szCs w:val="24"/>
        </w:rPr>
        <w:t>when the case</w:t>
      </w:r>
      <w:r w:rsidRPr="00683B48">
        <w:rPr>
          <w:rFonts w:cs="Arial"/>
          <w:sz w:val="24"/>
          <w:szCs w:val="24"/>
        </w:rPr>
        <w:t xml:space="preserve"> is no longer in the public eye. If the issue persists</w:t>
      </w:r>
      <w:r w:rsidR="00DC5990" w:rsidRPr="00683B48">
        <w:rPr>
          <w:rFonts w:cs="Arial"/>
          <w:sz w:val="24"/>
          <w:szCs w:val="24"/>
        </w:rPr>
        <w:t>,</w:t>
      </w:r>
      <w:r w:rsidRPr="00683B48">
        <w:rPr>
          <w:rFonts w:cs="Arial"/>
          <w:sz w:val="24"/>
          <w:szCs w:val="24"/>
        </w:rPr>
        <w:t xml:space="preserve"> the </w:t>
      </w:r>
      <w:r w:rsidR="00DC5990" w:rsidRPr="00683B48">
        <w:rPr>
          <w:rFonts w:cs="Arial"/>
          <w:sz w:val="24"/>
          <w:szCs w:val="24"/>
        </w:rPr>
        <w:t xml:space="preserve">outcome of the </w:t>
      </w:r>
      <w:r w:rsidRPr="00683B48">
        <w:rPr>
          <w:rFonts w:cs="Arial"/>
          <w:sz w:val="24"/>
          <w:szCs w:val="24"/>
        </w:rPr>
        <w:t>strategic case can be used to show offenders that they can be brought before court and will lose if the</w:t>
      </w:r>
      <w:r w:rsidR="00FD4AC6" w:rsidRPr="00683B48">
        <w:rPr>
          <w:rFonts w:cs="Arial"/>
          <w:sz w:val="24"/>
          <w:szCs w:val="24"/>
        </w:rPr>
        <w:t xml:space="preserve">y do not </w:t>
      </w:r>
      <w:r w:rsidR="00DC5990" w:rsidRPr="00683B48">
        <w:rPr>
          <w:rFonts w:cs="Arial"/>
          <w:sz w:val="24"/>
          <w:szCs w:val="24"/>
        </w:rPr>
        <w:t>cease to commit discriminatory acts</w:t>
      </w:r>
      <w:r w:rsidRPr="00683B48">
        <w:rPr>
          <w:rFonts w:cs="Arial"/>
          <w:sz w:val="24"/>
          <w:szCs w:val="24"/>
        </w:rPr>
        <w:t xml:space="preserve">.  </w:t>
      </w:r>
    </w:p>
    <w:p w14:paraId="700ADED6" w14:textId="77777777" w:rsidR="00691940" w:rsidRPr="00683B48" w:rsidRDefault="00647EA0" w:rsidP="00FD78A5">
      <w:pPr>
        <w:jc w:val="both"/>
        <w:rPr>
          <w:rFonts w:cs="Arial"/>
          <w:sz w:val="24"/>
          <w:szCs w:val="24"/>
        </w:rPr>
      </w:pPr>
      <w:r w:rsidRPr="00683B48">
        <w:rPr>
          <w:rFonts w:cs="Arial"/>
          <w:sz w:val="24"/>
          <w:szCs w:val="24"/>
        </w:rPr>
        <w:t xml:space="preserve">Whatever the situation, it is important that the </w:t>
      </w:r>
      <w:r w:rsidR="00874611" w:rsidRPr="00683B48">
        <w:rPr>
          <w:rFonts w:cs="Arial"/>
          <w:sz w:val="24"/>
          <w:szCs w:val="24"/>
        </w:rPr>
        <w:t xml:space="preserve">equality body </w:t>
      </w:r>
      <w:r w:rsidRPr="00683B48">
        <w:rPr>
          <w:rFonts w:cs="Arial"/>
          <w:sz w:val="24"/>
          <w:szCs w:val="24"/>
        </w:rPr>
        <w:t>can demonstrate that it did everything in its power to ensure that the strategic litigation ha</w:t>
      </w:r>
      <w:r w:rsidR="000A3D3E" w:rsidRPr="00683B48">
        <w:rPr>
          <w:rFonts w:cs="Arial"/>
          <w:sz w:val="24"/>
          <w:szCs w:val="24"/>
        </w:rPr>
        <w:t>d</w:t>
      </w:r>
      <w:r w:rsidR="00FF243C" w:rsidRPr="00683B48">
        <w:rPr>
          <w:rFonts w:cs="Arial"/>
          <w:sz w:val="24"/>
          <w:szCs w:val="24"/>
        </w:rPr>
        <w:t xml:space="preserve"> the desired effect.</w:t>
      </w:r>
    </w:p>
    <w:sectPr w:rsidR="00691940" w:rsidRPr="00683B48" w:rsidSect="00D27A6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3B95A" w14:textId="77777777" w:rsidR="00A82F43" w:rsidRDefault="00A82F43" w:rsidP="00647EA0">
      <w:pPr>
        <w:spacing w:after="0" w:line="240" w:lineRule="auto"/>
      </w:pPr>
      <w:r>
        <w:separator/>
      </w:r>
    </w:p>
  </w:endnote>
  <w:endnote w:type="continuationSeparator" w:id="0">
    <w:p w14:paraId="59B1CDFB" w14:textId="77777777" w:rsidR="00A82F43" w:rsidRDefault="00A82F43" w:rsidP="0064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407A" w14:textId="77777777" w:rsidR="00A82F43" w:rsidRDefault="00A82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5330"/>
      <w:docPartObj>
        <w:docPartGallery w:val="Page Numbers (Bottom of Page)"/>
        <w:docPartUnique/>
      </w:docPartObj>
    </w:sdtPr>
    <w:sdtEndPr>
      <w:rPr>
        <w:noProof/>
      </w:rPr>
    </w:sdtEndPr>
    <w:sdtContent>
      <w:p w14:paraId="060C21D4" w14:textId="77777777" w:rsidR="00A82F43" w:rsidRDefault="00A82F43">
        <w:pPr>
          <w:pStyle w:val="Footer"/>
          <w:jc w:val="right"/>
        </w:pPr>
        <w:r>
          <w:fldChar w:fldCharType="begin"/>
        </w:r>
        <w:r>
          <w:instrText xml:space="preserve"> PAGE   \* MERGEFORMAT </w:instrText>
        </w:r>
        <w:r>
          <w:fldChar w:fldCharType="separate"/>
        </w:r>
        <w:r w:rsidR="000B357C">
          <w:rPr>
            <w:noProof/>
          </w:rPr>
          <w:t>31</w:t>
        </w:r>
        <w:r>
          <w:rPr>
            <w:noProof/>
          </w:rPr>
          <w:fldChar w:fldCharType="end"/>
        </w:r>
      </w:p>
    </w:sdtContent>
  </w:sdt>
  <w:p w14:paraId="1A7A805C" w14:textId="77777777" w:rsidR="00A82F43" w:rsidRDefault="00A82F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E913" w14:textId="77777777" w:rsidR="00A82F43" w:rsidRDefault="00A82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4527" w14:textId="77777777" w:rsidR="00A82F43" w:rsidRDefault="00A82F43" w:rsidP="00647EA0">
      <w:pPr>
        <w:spacing w:after="0" w:line="240" w:lineRule="auto"/>
      </w:pPr>
      <w:r>
        <w:separator/>
      </w:r>
    </w:p>
  </w:footnote>
  <w:footnote w:type="continuationSeparator" w:id="0">
    <w:p w14:paraId="45585F0B" w14:textId="77777777" w:rsidR="00A82F43" w:rsidRDefault="00A82F43" w:rsidP="00647EA0">
      <w:pPr>
        <w:spacing w:after="0" w:line="240" w:lineRule="auto"/>
      </w:pPr>
      <w:r>
        <w:continuationSeparator/>
      </w:r>
    </w:p>
  </w:footnote>
  <w:footnote w:id="1">
    <w:p w14:paraId="4F9D215A" w14:textId="77777777" w:rsidR="00A82F43" w:rsidRPr="00A830E3" w:rsidRDefault="00A82F43">
      <w:pPr>
        <w:pStyle w:val="FootnoteText"/>
        <w:rPr>
          <w:lang w:val="en-US"/>
        </w:rPr>
      </w:pPr>
      <w:r>
        <w:rPr>
          <w:rStyle w:val="FootnoteReference"/>
        </w:rPr>
        <w:footnoteRef/>
      </w:r>
      <w:r>
        <w:t xml:space="preserve"> </w:t>
      </w:r>
      <w:r w:rsidRPr="00A830E3">
        <w:t>Directive 2000/43/EC (the so-called Race Directive), Directive 2004/113/EC (the so-called Gender Goods and Services Directive) and Directive 2006/54/EC (the so called Gender Recast Directive)</w:t>
      </w:r>
    </w:p>
  </w:footnote>
  <w:footnote w:id="2">
    <w:p w14:paraId="5A155422" w14:textId="77777777" w:rsidR="00A82F43" w:rsidRPr="00C42991" w:rsidRDefault="00A82F43" w:rsidP="00C42991">
      <w:pPr>
        <w:pStyle w:val="FootnoteText"/>
        <w:jc w:val="both"/>
        <w:rPr>
          <w:lang w:val="en-US"/>
        </w:rPr>
      </w:pPr>
      <w:r>
        <w:rPr>
          <w:rStyle w:val="FootnoteReference"/>
        </w:rPr>
        <w:footnoteRef/>
      </w:r>
      <w:r>
        <w:t xml:space="preserve"> </w:t>
      </w:r>
      <w:r>
        <w:rPr>
          <w:lang w:val="en-GB"/>
        </w:rPr>
        <w:t>It is important to note that t</w:t>
      </w:r>
      <w:r w:rsidRPr="00C42991">
        <w:rPr>
          <w:lang w:val="en-GB"/>
        </w:rPr>
        <w:t>he decided outcome of this case effectively undermined existing legislation which allowed protection from discrimination ‘for reasons related to a disability’. In Great Britain the law was subsequently changed to ensure that protections for disabled people were not lessened. However in Northern Ireland the legislation was</w:t>
      </w:r>
      <w:r>
        <w:rPr>
          <w:lang w:val="en-GB"/>
        </w:rPr>
        <w:t xml:space="preserve"> not similarly changed. As Northern Ireland </w:t>
      </w:r>
      <w:r w:rsidRPr="00C42991">
        <w:rPr>
          <w:lang w:val="en-GB"/>
        </w:rPr>
        <w:t xml:space="preserve">common law follows </w:t>
      </w:r>
      <w:r>
        <w:rPr>
          <w:lang w:val="en-GB"/>
        </w:rPr>
        <w:t>British case precedent,</w:t>
      </w:r>
      <w:r w:rsidRPr="00C42991">
        <w:rPr>
          <w:lang w:val="en-GB"/>
        </w:rPr>
        <w:t xml:space="preserve"> the protections for disabled people in </w:t>
      </w:r>
      <w:r>
        <w:rPr>
          <w:lang w:val="en-GB"/>
        </w:rPr>
        <w:t>Northern Ireland</w:t>
      </w:r>
      <w:r w:rsidRPr="00C42991">
        <w:rPr>
          <w:lang w:val="en-GB"/>
        </w:rPr>
        <w:t xml:space="preserve"> remain depleted as a result of this case.</w:t>
      </w:r>
    </w:p>
  </w:footnote>
  <w:footnote w:id="3">
    <w:p w14:paraId="7F497F67" w14:textId="77777777" w:rsidR="00A82F43" w:rsidRPr="00CE0CB2" w:rsidRDefault="00A82F43" w:rsidP="00647EA0">
      <w:pPr>
        <w:pStyle w:val="FootnoteText"/>
        <w:rPr>
          <w:lang w:val="en-US"/>
        </w:rPr>
      </w:pPr>
      <w:r>
        <w:rPr>
          <w:rStyle w:val="FootnoteReference"/>
        </w:rPr>
        <w:footnoteRef/>
      </w:r>
      <w:r>
        <w:t xml:space="preserve"> </w:t>
      </w:r>
      <w:hyperlink r:id="rId1" w:history="1">
        <w:r w:rsidRPr="00F663DF">
          <w:rPr>
            <w:rStyle w:val="Hyperlink"/>
          </w:rPr>
          <w:t>http://www.equineteurope.org/-Members-Directory-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4955" w14:textId="77777777" w:rsidR="00A82F43" w:rsidRDefault="00A82F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8B93" w14:textId="2965AFA2" w:rsidR="00A82F43" w:rsidRDefault="00A82F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CCCF4" w14:textId="77777777" w:rsidR="00A82F43" w:rsidRDefault="00A82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191C"/>
    <w:multiLevelType w:val="hybridMultilevel"/>
    <w:tmpl w:val="E3B652B4"/>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2BE28D5"/>
    <w:multiLevelType w:val="hybridMultilevel"/>
    <w:tmpl w:val="364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0567F8"/>
    <w:multiLevelType w:val="hybridMultilevel"/>
    <w:tmpl w:val="0A1298FE"/>
    <w:lvl w:ilvl="0" w:tplc="D5DAB4B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4310CBC"/>
    <w:multiLevelType w:val="hybridMultilevel"/>
    <w:tmpl w:val="7F84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3F50A4"/>
    <w:multiLevelType w:val="hybridMultilevel"/>
    <w:tmpl w:val="592A39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73D2A80"/>
    <w:multiLevelType w:val="hybridMultilevel"/>
    <w:tmpl w:val="777C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DE6158"/>
    <w:multiLevelType w:val="hybridMultilevel"/>
    <w:tmpl w:val="62887C18"/>
    <w:lvl w:ilvl="0" w:tplc="601C8E44">
      <w:numFmt w:val="bullet"/>
      <w:lvlText w:val="-"/>
      <w:lvlJc w:val="left"/>
      <w:pPr>
        <w:ind w:left="720" w:hanging="360"/>
      </w:pPr>
      <w:rPr>
        <w:rFonts w:ascii="Calibri" w:eastAsiaTheme="minorHAns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EA60425"/>
    <w:multiLevelType w:val="hybridMultilevel"/>
    <w:tmpl w:val="3EF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E3451"/>
    <w:multiLevelType w:val="hybridMultilevel"/>
    <w:tmpl w:val="6FF4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466072"/>
    <w:multiLevelType w:val="hybridMultilevel"/>
    <w:tmpl w:val="9048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681FF4"/>
    <w:multiLevelType w:val="hybridMultilevel"/>
    <w:tmpl w:val="F3D6E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811022"/>
    <w:multiLevelType w:val="hybridMultilevel"/>
    <w:tmpl w:val="428C6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79C6244"/>
    <w:multiLevelType w:val="hybridMultilevel"/>
    <w:tmpl w:val="4838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6767D4"/>
    <w:multiLevelType w:val="hybridMultilevel"/>
    <w:tmpl w:val="031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4"/>
  </w:num>
  <w:num w:numId="5">
    <w:abstractNumId w:val="13"/>
  </w:num>
  <w:num w:numId="6">
    <w:abstractNumId w:val="11"/>
  </w:num>
  <w:num w:numId="7">
    <w:abstractNumId w:val="12"/>
  </w:num>
  <w:num w:numId="8">
    <w:abstractNumId w:val="3"/>
  </w:num>
  <w:num w:numId="9">
    <w:abstractNumId w:val="8"/>
  </w:num>
  <w:num w:numId="10">
    <w:abstractNumId w:val="10"/>
  </w:num>
  <w:num w:numId="11">
    <w:abstractNumId w:val="5"/>
  </w:num>
  <w:num w:numId="12">
    <w:abstractNumId w:val="6"/>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A0"/>
    <w:rsid w:val="0000035B"/>
    <w:rsid w:val="00004E4D"/>
    <w:rsid w:val="00026913"/>
    <w:rsid w:val="00030633"/>
    <w:rsid w:val="00037489"/>
    <w:rsid w:val="00040E39"/>
    <w:rsid w:val="000446D8"/>
    <w:rsid w:val="000539EC"/>
    <w:rsid w:val="00054B32"/>
    <w:rsid w:val="00056526"/>
    <w:rsid w:val="00061FA2"/>
    <w:rsid w:val="00073576"/>
    <w:rsid w:val="0008012F"/>
    <w:rsid w:val="000857ED"/>
    <w:rsid w:val="000879F4"/>
    <w:rsid w:val="000920D2"/>
    <w:rsid w:val="000A3D3E"/>
    <w:rsid w:val="000A4480"/>
    <w:rsid w:val="000B357C"/>
    <w:rsid w:val="000B5C73"/>
    <w:rsid w:val="000C55D1"/>
    <w:rsid w:val="000D223F"/>
    <w:rsid w:val="000D3860"/>
    <w:rsid w:val="000D4C5F"/>
    <w:rsid w:val="000E04F4"/>
    <w:rsid w:val="000E326C"/>
    <w:rsid w:val="000F07BF"/>
    <w:rsid w:val="00107240"/>
    <w:rsid w:val="0011302E"/>
    <w:rsid w:val="00115872"/>
    <w:rsid w:val="001251A2"/>
    <w:rsid w:val="00130C52"/>
    <w:rsid w:val="001409FE"/>
    <w:rsid w:val="00143289"/>
    <w:rsid w:val="0014673F"/>
    <w:rsid w:val="00151887"/>
    <w:rsid w:val="00152970"/>
    <w:rsid w:val="001530D7"/>
    <w:rsid w:val="001549AB"/>
    <w:rsid w:val="00164853"/>
    <w:rsid w:val="00166716"/>
    <w:rsid w:val="00166890"/>
    <w:rsid w:val="0017426A"/>
    <w:rsid w:val="00174511"/>
    <w:rsid w:val="00176326"/>
    <w:rsid w:val="001A72A7"/>
    <w:rsid w:val="001B23DF"/>
    <w:rsid w:val="001D5574"/>
    <w:rsid w:val="001D71AC"/>
    <w:rsid w:val="001D7C9C"/>
    <w:rsid w:val="001E6B83"/>
    <w:rsid w:val="001F07FA"/>
    <w:rsid w:val="00220123"/>
    <w:rsid w:val="002275C5"/>
    <w:rsid w:val="00230369"/>
    <w:rsid w:val="00230758"/>
    <w:rsid w:val="00231119"/>
    <w:rsid w:val="00232409"/>
    <w:rsid w:val="00233DC4"/>
    <w:rsid w:val="00236AE6"/>
    <w:rsid w:val="00237C87"/>
    <w:rsid w:val="002444FC"/>
    <w:rsid w:val="00257890"/>
    <w:rsid w:val="00260BE2"/>
    <w:rsid w:val="00283EA5"/>
    <w:rsid w:val="00283F0F"/>
    <w:rsid w:val="00292EEB"/>
    <w:rsid w:val="002951F3"/>
    <w:rsid w:val="002B070C"/>
    <w:rsid w:val="002B2E00"/>
    <w:rsid w:val="002C0451"/>
    <w:rsid w:val="002C0FD9"/>
    <w:rsid w:val="002D2AD8"/>
    <w:rsid w:val="002D3CDA"/>
    <w:rsid w:val="002F3634"/>
    <w:rsid w:val="002F531B"/>
    <w:rsid w:val="002F6987"/>
    <w:rsid w:val="003069B9"/>
    <w:rsid w:val="00316A3B"/>
    <w:rsid w:val="00321305"/>
    <w:rsid w:val="003278E7"/>
    <w:rsid w:val="0033597F"/>
    <w:rsid w:val="00337027"/>
    <w:rsid w:val="003405DF"/>
    <w:rsid w:val="00343C46"/>
    <w:rsid w:val="00371327"/>
    <w:rsid w:val="00377629"/>
    <w:rsid w:val="00390F83"/>
    <w:rsid w:val="003931D4"/>
    <w:rsid w:val="00394CC6"/>
    <w:rsid w:val="00396EEF"/>
    <w:rsid w:val="003A17BD"/>
    <w:rsid w:val="003A52E1"/>
    <w:rsid w:val="003B1986"/>
    <w:rsid w:val="003C5B9B"/>
    <w:rsid w:val="003D3CC0"/>
    <w:rsid w:val="003E2B8A"/>
    <w:rsid w:val="004003B7"/>
    <w:rsid w:val="004018C5"/>
    <w:rsid w:val="00402583"/>
    <w:rsid w:val="004161B7"/>
    <w:rsid w:val="00420235"/>
    <w:rsid w:val="00422874"/>
    <w:rsid w:val="00425A33"/>
    <w:rsid w:val="00427E30"/>
    <w:rsid w:val="00435A4F"/>
    <w:rsid w:val="00443B48"/>
    <w:rsid w:val="00455232"/>
    <w:rsid w:val="0046467C"/>
    <w:rsid w:val="0046472F"/>
    <w:rsid w:val="00464830"/>
    <w:rsid w:val="0046613E"/>
    <w:rsid w:val="004724A0"/>
    <w:rsid w:val="00477D5D"/>
    <w:rsid w:val="00480E5E"/>
    <w:rsid w:val="004850ED"/>
    <w:rsid w:val="004A012A"/>
    <w:rsid w:val="004A6813"/>
    <w:rsid w:val="004B2432"/>
    <w:rsid w:val="004C1FBD"/>
    <w:rsid w:val="004D3111"/>
    <w:rsid w:val="004D7AB0"/>
    <w:rsid w:val="00501ABB"/>
    <w:rsid w:val="005021EB"/>
    <w:rsid w:val="005026C9"/>
    <w:rsid w:val="00504985"/>
    <w:rsid w:val="00511FC9"/>
    <w:rsid w:val="0053719A"/>
    <w:rsid w:val="0054524D"/>
    <w:rsid w:val="005476C1"/>
    <w:rsid w:val="00550429"/>
    <w:rsid w:val="005530B7"/>
    <w:rsid w:val="00553472"/>
    <w:rsid w:val="00561136"/>
    <w:rsid w:val="00572C1A"/>
    <w:rsid w:val="00575055"/>
    <w:rsid w:val="0058206F"/>
    <w:rsid w:val="00582862"/>
    <w:rsid w:val="00586348"/>
    <w:rsid w:val="00593778"/>
    <w:rsid w:val="005D48EB"/>
    <w:rsid w:val="005E2B8D"/>
    <w:rsid w:val="005E584E"/>
    <w:rsid w:val="005E7C22"/>
    <w:rsid w:val="005F7762"/>
    <w:rsid w:val="00600DF1"/>
    <w:rsid w:val="00602124"/>
    <w:rsid w:val="00604183"/>
    <w:rsid w:val="006041D9"/>
    <w:rsid w:val="006064B2"/>
    <w:rsid w:val="0061062B"/>
    <w:rsid w:val="00612212"/>
    <w:rsid w:val="00616B89"/>
    <w:rsid w:val="00623682"/>
    <w:rsid w:val="00624443"/>
    <w:rsid w:val="00627A82"/>
    <w:rsid w:val="00641341"/>
    <w:rsid w:val="00647EA0"/>
    <w:rsid w:val="00654BD0"/>
    <w:rsid w:val="00655248"/>
    <w:rsid w:val="00656D86"/>
    <w:rsid w:val="00665AFE"/>
    <w:rsid w:val="006679AF"/>
    <w:rsid w:val="0067576A"/>
    <w:rsid w:val="00677A0D"/>
    <w:rsid w:val="0068353C"/>
    <w:rsid w:val="00683B48"/>
    <w:rsid w:val="00691940"/>
    <w:rsid w:val="00695C28"/>
    <w:rsid w:val="006A0A76"/>
    <w:rsid w:val="006B0182"/>
    <w:rsid w:val="006B1F89"/>
    <w:rsid w:val="006B238D"/>
    <w:rsid w:val="006B61D8"/>
    <w:rsid w:val="006C0D3E"/>
    <w:rsid w:val="006C3DAE"/>
    <w:rsid w:val="006D2A34"/>
    <w:rsid w:val="006D5692"/>
    <w:rsid w:val="006E3E31"/>
    <w:rsid w:val="006F3139"/>
    <w:rsid w:val="006F3CCB"/>
    <w:rsid w:val="006F508A"/>
    <w:rsid w:val="00712801"/>
    <w:rsid w:val="007129B0"/>
    <w:rsid w:val="00715248"/>
    <w:rsid w:val="0071766D"/>
    <w:rsid w:val="00717B98"/>
    <w:rsid w:val="007279E6"/>
    <w:rsid w:val="00731171"/>
    <w:rsid w:val="00731730"/>
    <w:rsid w:val="00732ACF"/>
    <w:rsid w:val="00732E78"/>
    <w:rsid w:val="007343E5"/>
    <w:rsid w:val="00740ABC"/>
    <w:rsid w:val="007421B1"/>
    <w:rsid w:val="00750926"/>
    <w:rsid w:val="00761777"/>
    <w:rsid w:val="0076364F"/>
    <w:rsid w:val="0077782D"/>
    <w:rsid w:val="00782F56"/>
    <w:rsid w:val="00784895"/>
    <w:rsid w:val="00793A1A"/>
    <w:rsid w:val="007965FC"/>
    <w:rsid w:val="007A6868"/>
    <w:rsid w:val="007A68A0"/>
    <w:rsid w:val="007B05DC"/>
    <w:rsid w:val="007B4B87"/>
    <w:rsid w:val="007B5705"/>
    <w:rsid w:val="007B5CEB"/>
    <w:rsid w:val="007B6410"/>
    <w:rsid w:val="007B7E7D"/>
    <w:rsid w:val="007C5797"/>
    <w:rsid w:val="007D2C17"/>
    <w:rsid w:val="007E642A"/>
    <w:rsid w:val="007F07B9"/>
    <w:rsid w:val="007F3B84"/>
    <w:rsid w:val="007F6BE6"/>
    <w:rsid w:val="007F7B74"/>
    <w:rsid w:val="0080333F"/>
    <w:rsid w:val="00807382"/>
    <w:rsid w:val="0081212E"/>
    <w:rsid w:val="008122F0"/>
    <w:rsid w:val="00813E6D"/>
    <w:rsid w:val="00814585"/>
    <w:rsid w:val="00815564"/>
    <w:rsid w:val="008174C1"/>
    <w:rsid w:val="00821469"/>
    <w:rsid w:val="00834A22"/>
    <w:rsid w:val="00836544"/>
    <w:rsid w:val="00836EBF"/>
    <w:rsid w:val="0084145F"/>
    <w:rsid w:val="00854B02"/>
    <w:rsid w:val="00863636"/>
    <w:rsid w:val="00867083"/>
    <w:rsid w:val="00872D62"/>
    <w:rsid w:val="00874611"/>
    <w:rsid w:val="00891FE2"/>
    <w:rsid w:val="00895D47"/>
    <w:rsid w:val="008967AB"/>
    <w:rsid w:val="008A0FCE"/>
    <w:rsid w:val="008A4495"/>
    <w:rsid w:val="008A49DF"/>
    <w:rsid w:val="008B2C7C"/>
    <w:rsid w:val="008B5C7F"/>
    <w:rsid w:val="008B5D37"/>
    <w:rsid w:val="008C3A18"/>
    <w:rsid w:val="008D005C"/>
    <w:rsid w:val="008D141E"/>
    <w:rsid w:val="008E6BD3"/>
    <w:rsid w:val="008F2056"/>
    <w:rsid w:val="008F2EFF"/>
    <w:rsid w:val="008F69CA"/>
    <w:rsid w:val="008F7489"/>
    <w:rsid w:val="00911223"/>
    <w:rsid w:val="00942DC0"/>
    <w:rsid w:val="00950EB1"/>
    <w:rsid w:val="00951A61"/>
    <w:rsid w:val="00957DDD"/>
    <w:rsid w:val="00963673"/>
    <w:rsid w:val="0096762D"/>
    <w:rsid w:val="00971CDE"/>
    <w:rsid w:val="00973E34"/>
    <w:rsid w:val="00973F94"/>
    <w:rsid w:val="0098044D"/>
    <w:rsid w:val="00995C55"/>
    <w:rsid w:val="009A1DC2"/>
    <w:rsid w:val="009A3190"/>
    <w:rsid w:val="009A5E01"/>
    <w:rsid w:val="009A7ADB"/>
    <w:rsid w:val="009B27EF"/>
    <w:rsid w:val="009B5E19"/>
    <w:rsid w:val="009B7605"/>
    <w:rsid w:val="009C492D"/>
    <w:rsid w:val="009D3AC5"/>
    <w:rsid w:val="009D48F8"/>
    <w:rsid w:val="009D69E3"/>
    <w:rsid w:val="009E3364"/>
    <w:rsid w:val="009F474C"/>
    <w:rsid w:val="00A13880"/>
    <w:rsid w:val="00A14055"/>
    <w:rsid w:val="00A179E4"/>
    <w:rsid w:val="00A20DA6"/>
    <w:rsid w:val="00A220AC"/>
    <w:rsid w:val="00A2543E"/>
    <w:rsid w:val="00A34C5B"/>
    <w:rsid w:val="00A5053D"/>
    <w:rsid w:val="00A55B17"/>
    <w:rsid w:val="00A62007"/>
    <w:rsid w:val="00A727E3"/>
    <w:rsid w:val="00A73EFE"/>
    <w:rsid w:val="00A82F43"/>
    <w:rsid w:val="00A830E3"/>
    <w:rsid w:val="00A95CE9"/>
    <w:rsid w:val="00AB2269"/>
    <w:rsid w:val="00AB38AC"/>
    <w:rsid w:val="00AB48D1"/>
    <w:rsid w:val="00AB5406"/>
    <w:rsid w:val="00AC1131"/>
    <w:rsid w:val="00AC424D"/>
    <w:rsid w:val="00AD460B"/>
    <w:rsid w:val="00AE269A"/>
    <w:rsid w:val="00AF32C1"/>
    <w:rsid w:val="00AF3BC9"/>
    <w:rsid w:val="00AF4D22"/>
    <w:rsid w:val="00AF6478"/>
    <w:rsid w:val="00B00112"/>
    <w:rsid w:val="00B00B70"/>
    <w:rsid w:val="00B1211F"/>
    <w:rsid w:val="00B139C1"/>
    <w:rsid w:val="00B153C0"/>
    <w:rsid w:val="00B17DCC"/>
    <w:rsid w:val="00B34557"/>
    <w:rsid w:val="00B359FB"/>
    <w:rsid w:val="00B410F6"/>
    <w:rsid w:val="00B529A0"/>
    <w:rsid w:val="00B60847"/>
    <w:rsid w:val="00B7641D"/>
    <w:rsid w:val="00B77EEB"/>
    <w:rsid w:val="00B90E03"/>
    <w:rsid w:val="00B91F42"/>
    <w:rsid w:val="00B94BF2"/>
    <w:rsid w:val="00BA6CDA"/>
    <w:rsid w:val="00BB4FD4"/>
    <w:rsid w:val="00BE726E"/>
    <w:rsid w:val="00BE7D66"/>
    <w:rsid w:val="00BF0286"/>
    <w:rsid w:val="00BF1A09"/>
    <w:rsid w:val="00BF547D"/>
    <w:rsid w:val="00C00FED"/>
    <w:rsid w:val="00C01CF6"/>
    <w:rsid w:val="00C022DA"/>
    <w:rsid w:val="00C06064"/>
    <w:rsid w:val="00C15A67"/>
    <w:rsid w:val="00C23703"/>
    <w:rsid w:val="00C371B2"/>
    <w:rsid w:val="00C42991"/>
    <w:rsid w:val="00C54D43"/>
    <w:rsid w:val="00C6350E"/>
    <w:rsid w:val="00C71BC5"/>
    <w:rsid w:val="00C772BF"/>
    <w:rsid w:val="00C81397"/>
    <w:rsid w:val="00C817BB"/>
    <w:rsid w:val="00C83B02"/>
    <w:rsid w:val="00C92901"/>
    <w:rsid w:val="00C94C8A"/>
    <w:rsid w:val="00CA09FC"/>
    <w:rsid w:val="00CA2B3C"/>
    <w:rsid w:val="00CA316A"/>
    <w:rsid w:val="00CA5D22"/>
    <w:rsid w:val="00CB02CD"/>
    <w:rsid w:val="00CB7316"/>
    <w:rsid w:val="00CC2050"/>
    <w:rsid w:val="00CD4720"/>
    <w:rsid w:val="00CE135B"/>
    <w:rsid w:val="00CE7BA8"/>
    <w:rsid w:val="00CF2476"/>
    <w:rsid w:val="00D055BC"/>
    <w:rsid w:val="00D05F34"/>
    <w:rsid w:val="00D12EE7"/>
    <w:rsid w:val="00D145D9"/>
    <w:rsid w:val="00D1676C"/>
    <w:rsid w:val="00D23855"/>
    <w:rsid w:val="00D27A66"/>
    <w:rsid w:val="00D3210F"/>
    <w:rsid w:val="00D33A4D"/>
    <w:rsid w:val="00D43739"/>
    <w:rsid w:val="00D54A41"/>
    <w:rsid w:val="00D55202"/>
    <w:rsid w:val="00D61F54"/>
    <w:rsid w:val="00D701FB"/>
    <w:rsid w:val="00D71C71"/>
    <w:rsid w:val="00D74A2D"/>
    <w:rsid w:val="00D76B62"/>
    <w:rsid w:val="00D76E7F"/>
    <w:rsid w:val="00D95A7E"/>
    <w:rsid w:val="00DA2953"/>
    <w:rsid w:val="00DA3192"/>
    <w:rsid w:val="00DA4070"/>
    <w:rsid w:val="00DB06FD"/>
    <w:rsid w:val="00DB32FB"/>
    <w:rsid w:val="00DB4546"/>
    <w:rsid w:val="00DB4AEE"/>
    <w:rsid w:val="00DC5990"/>
    <w:rsid w:val="00DC5F15"/>
    <w:rsid w:val="00DC7C56"/>
    <w:rsid w:val="00DE1709"/>
    <w:rsid w:val="00DE281B"/>
    <w:rsid w:val="00DE44C2"/>
    <w:rsid w:val="00DE6D74"/>
    <w:rsid w:val="00DE7A51"/>
    <w:rsid w:val="00DF36A9"/>
    <w:rsid w:val="00E0130D"/>
    <w:rsid w:val="00E02978"/>
    <w:rsid w:val="00E03A9F"/>
    <w:rsid w:val="00E04CC6"/>
    <w:rsid w:val="00E0518E"/>
    <w:rsid w:val="00E11071"/>
    <w:rsid w:val="00E11E79"/>
    <w:rsid w:val="00E23760"/>
    <w:rsid w:val="00E24AB6"/>
    <w:rsid w:val="00E24D1B"/>
    <w:rsid w:val="00E26CF8"/>
    <w:rsid w:val="00E32F5C"/>
    <w:rsid w:val="00E35991"/>
    <w:rsid w:val="00E422DC"/>
    <w:rsid w:val="00E43DB4"/>
    <w:rsid w:val="00E50B8D"/>
    <w:rsid w:val="00E641AD"/>
    <w:rsid w:val="00E67805"/>
    <w:rsid w:val="00E76F4C"/>
    <w:rsid w:val="00E80088"/>
    <w:rsid w:val="00E8122F"/>
    <w:rsid w:val="00E86724"/>
    <w:rsid w:val="00E8679C"/>
    <w:rsid w:val="00EA0367"/>
    <w:rsid w:val="00EA3BF9"/>
    <w:rsid w:val="00EA4FC0"/>
    <w:rsid w:val="00EA76AA"/>
    <w:rsid w:val="00EB27C4"/>
    <w:rsid w:val="00EC0387"/>
    <w:rsid w:val="00EC0BA2"/>
    <w:rsid w:val="00EC20F6"/>
    <w:rsid w:val="00EC235A"/>
    <w:rsid w:val="00EC2468"/>
    <w:rsid w:val="00EE0B1C"/>
    <w:rsid w:val="00EE1573"/>
    <w:rsid w:val="00EF4965"/>
    <w:rsid w:val="00EF60C1"/>
    <w:rsid w:val="00F00C08"/>
    <w:rsid w:val="00F03074"/>
    <w:rsid w:val="00F0420E"/>
    <w:rsid w:val="00F05EC4"/>
    <w:rsid w:val="00F07BA4"/>
    <w:rsid w:val="00F24B72"/>
    <w:rsid w:val="00F25B97"/>
    <w:rsid w:val="00F3159D"/>
    <w:rsid w:val="00F3294D"/>
    <w:rsid w:val="00F330EF"/>
    <w:rsid w:val="00F3376D"/>
    <w:rsid w:val="00F34719"/>
    <w:rsid w:val="00F349AE"/>
    <w:rsid w:val="00F407F5"/>
    <w:rsid w:val="00F41288"/>
    <w:rsid w:val="00F43238"/>
    <w:rsid w:val="00F52E33"/>
    <w:rsid w:val="00F54C3E"/>
    <w:rsid w:val="00F65727"/>
    <w:rsid w:val="00F67648"/>
    <w:rsid w:val="00F72547"/>
    <w:rsid w:val="00F75DAF"/>
    <w:rsid w:val="00F814D3"/>
    <w:rsid w:val="00F82411"/>
    <w:rsid w:val="00F90303"/>
    <w:rsid w:val="00F93A34"/>
    <w:rsid w:val="00F9649B"/>
    <w:rsid w:val="00F968A5"/>
    <w:rsid w:val="00FA7CF5"/>
    <w:rsid w:val="00FB4F95"/>
    <w:rsid w:val="00FD233A"/>
    <w:rsid w:val="00FD4AC6"/>
    <w:rsid w:val="00FD78A5"/>
    <w:rsid w:val="00FE29D2"/>
    <w:rsid w:val="00FF1FB8"/>
    <w:rsid w:val="00FF243C"/>
    <w:rsid w:val="00FF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167C8"/>
  <w15:docId w15:val="{72798593-D31D-444C-BD9C-1B51DE80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EA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647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EA0"/>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47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EA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647EA0"/>
    <w:rPr>
      <w:sz w:val="16"/>
      <w:szCs w:val="16"/>
    </w:rPr>
  </w:style>
  <w:style w:type="paragraph" w:styleId="CommentText">
    <w:name w:val="annotation text"/>
    <w:basedOn w:val="Normal"/>
    <w:link w:val="CommentTextChar"/>
    <w:uiPriority w:val="99"/>
    <w:semiHidden/>
    <w:unhideWhenUsed/>
    <w:rsid w:val="00647EA0"/>
    <w:pPr>
      <w:spacing w:line="240" w:lineRule="auto"/>
    </w:pPr>
    <w:rPr>
      <w:sz w:val="20"/>
      <w:szCs w:val="20"/>
      <w:lang w:val="fi-FI"/>
    </w:rPr>
  </w:style>
  <w:style w:type="character" w:customStyle="1" w:styleId="CommentTextChar">
    <w:name w:val="Comment Text Char"/>
    <w:basedOn w:val="DefaultParagraphFont"/>
    <w:link w:val="CommentText"/>
    <w:uiPriority w:val="99"/>
    <w:semiHidden/>
    <w:rsid w:val="00647EA0"/>
    <w:rPr>
      <w:rFonts w:asciiTheme="minorHAnsi" w:eastAsiaTheme="minorHAnsi" w:hAnsiTheme="minorHAnsi" w:cstheme="minorBidi"/>
      <w:lang w:val="fi-FI" w:eastAsia="en-US"/>
    </w:rPr>
  </w:style>
  <w:style w:type="paragraph" w:styleId="FootnoteText">
    <w:name w:val="footnote text"/>
    <w:basedOn w:val="Normal"/>
    <w:link w:val="FootnoteTextChar"/>
    <w:uiPriority w:val="99"/>
    <w:semiHidden/>
    <w:unhideWhenUsed/>
    <w:rsid w:val="00647EA0"/>
    <w:pPr>
      <w:spacing w:after="0" w:line="240" w:lineRule="auto"/>
    </w:pPr>
    <w:rPr>
      <w:sz w:val="20"/>
      <w:szCs w:val="20"/>
      <w:lang w:val="fi-FI"/>
    </w:rPr>
  </w:style>
  <w:style w:type="character" w:customStyle="1" w:styleId="FootnoteTextChar">
    <w:name w:val="Footnote Text Char"/>
    <w:basedOn w:val="DefaultParagraphFont"/>
    <w:link w:val="FootnoteText"/>
    <w:uiPriority w:val="99"/>
    <w:semiHidden/>
    <w:rsid w:val="00647EA0"/>
    <w:rPr>
      <w:rFonts w:asciiTheme="minorHAnsi" w:eastAsiaTheme="minorHAnsi" w:hAnsiTheme="minorHAnsi" w:cstheme="minorBidi"/>
      <w:lang w:val="fi-FI" w:eastAsia="en-US"/>
    </w:rPr>
  </w:style>
  <w:style w:type="character" w:styleId="FootnoteReference">
    <w:name w:val="footnote reference"/>
    <w:basedOn w:val="DefaultParagraphFont"/>
    <w:uiPriority w:val="99"/>
    <w:semiHidden/>
    <w:unhideWhenUsed/>
    <w:rsid w:val="00647EA0"/>
    <w:rPr>
      <w:vertAlign w:val="superscript"/>
    </w:rPr>
  </w:style>
  <w:style w:type="paragraph" w:styleId="BalloonText">
    <w:name w:val="Balloon Text"/>
    <w:basedOn w:val="Normal"/>
    <w:link w:val="BalloonTextChar"/>
    <w:uiPriority w:val="99"/>
    <w:semiHidden/>
    <w:unhideWhenUsed/>
    <w:rsid w:val="0064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EA0"/>
    <w:rPr>
      <w:rFonts w:ascii="Tahoma" w:eastAsiaTheme="minorHAnsi" w:hAnsi="Tahoma" w:cs="Tahoma"/>
      <w:sz w:val="16"/>
      <w:szCs w:val="16"/>
      <w:lang w:eastAsia="en-US"/>
    </w:rPr>
  </w:style>
  <w:style w:type="character" w:customStyle="1" w:styleId="shorttext">
    <w:name w:val="short_text"/>
    <w:basedOn w:val="DefaultParagraphFont"/>
    <w:rsid w:val="009B7605"/>
  </w:style>
  <w:style w:type="paragraph" w:styleId="CommentSubject">
    <w:name w:val="annotation subject"/>
    <w:basedOn w:val="CommentText"/>
    <w:next w:val="CommentText"/>
    <w:link w:val="CommentSubjectChar"/>
    <w:uiPriority w:val="99"/>
    <w:semiHidden/>
    <w:unhideWhenUsed/>
    <w:rsid w:val="00F407F5"/>
    <w:rPr>
      <w:b/>
      <w:bCs/>
      <w:lang w:val="en-GB"/>
    </w:rPr>
  </w:style>
  <w:style w:type="character" w:customStyle="1" w:styleId="CommentSubjectChar">
    <w:name w:val="Comment Subject Char"/>
    <w:basedOn w:val="CommentTextChar"/>
    <w:link w:val="CommentSubject"/>
    <w:uiPriority w:val="99"/>
    <w:semiHidden/>
    <w:rsid w:val="00F407F5"/>
    <w:rPr>
      <w:rFonts w:asciiTheme="minorHAnsi" w:eastAsiaTheme="minorHAnsi" w:hAnsiTheme="minorHAnsi" w:cstheme="minorBidi"/>
      <w:b/>
      <w:bCs/>
      <w:lang w:val="fi-FI" w:eastAsia="en-US"/>
    </w:rPr>
  </w:style>
  <w:style w:type="paragraph" w:styleId="TOCHeading">
    <w:name w:val="TOC Heading"/>
    <w:basedOn w:val="Heading1"/>
    <w:next w:val="Normal"/>
    <w:uiPriority w:val="39"/>
    <w:unhideWhenUsed/>
    <w:qFormat/>
    <w:rsid w:val="00230369"/>
    <w:pPr>
      <w:spacing w:after="0"/>
      <w:outlineLvl w:val="9"/>
    </w:pPr>
    <w:rPr>
      <w:rFonts w:asciiTheme="majorHAnsi" w:eastAsiaTheme="majorEastAsia" w:hAnsiTheme="majorHAnsi" w:cstheme="majorBidi"/>
      <w:color w:val="365F91" w:themeColor="accent1" w:themeShade="BF"/>
      <w:sz w:val="28"/>
      <w:lang w:val="en-US" w:eastAsia="ja-JP"/>
    </w:rPr>
  </w:style>
  <w:style w:type="character" w:customStyle="1" w:styleId="NoSpacingChar">
    <w:name w:val="No Spacing Char"/>
    <w:basedOn w:val="DefaultParagraphFont"/>
    <w:link w:val="NoSpacing"/>
    <w:uiPriority w:val="1"/>
    <w:rsid w:val="00D27A66"/>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2228">
      <w:bodyDiv w:val="1"/>
      <w:marLeft w:val="0"/>
      <w:marRight w:val="0"/>
      <w:marTop w:val="0"/>
      <w:marBottom w:val="0"/>
      <w:divBdr>
        <w:top w:val="none" w:sz="0" w:space="0" w:color="auto"/>
        <w:left w:val="none" w:sz="0" w:space="0" w:color="auto"/>
        <w:bottom w:val="none" w:sz="0" w:space="0" w:color="auto"/>
        <w:right w:val="none" w:sz="0" w:space="0" w:color="auto"/>
      </w:divBdr>
    </w:div>
    <w:div w:id="907502017">
      <w:bodyDiv w:val="1"/>
      <w:marLeft w:val="0"/>
      <w:marRight w:val="0"/>
      <w:marTop w:val="0"/>
      <w:marBottom w:val="0"/>
      <w:divBdr>
        <w:top w:val="none" w:sz="0" w:space="0" w:color="auto"/>
        <w:left w:val="none" w:sz="0" w:space="0" w:color="auto"/>
        <w:bottom w:val="none" w:sz="0" w:space="0" w:color="auto"/>
        <w:right w:val="none" w:sz="0" w:space="0" w:color="auto"/>
      </w:divBdr>
    </w:div>
    <w:div w:id="1243025140">
      <w:bodyDiv w:val="1"/>
      <w:marLeft w:val="0"/>
      <w:marRight w:val="0"/>
      <w:marTop w:val="0"/>
      <w:marBottom w:val="0"/>
      <w:divBdr>
        <w:top w:val="none" w:sz="0" w:space="0" w:color="auto"/>
        <w:left w:val="none" w:sz="0" w:space="0" w:color="auto"/>
        <w:bottom w:val="none" w:sz="0" w:space="0" w:color="auto"/>
        <w:right w:val="none" w:sz="0" w:space="0" w:color="auto"/>
      </w:divBdr>
    </w:div>
    <w:div w:id="1271278392">
      <w:bodyDiv w:val="1"/>
      <w:marLeft w:val="0"/>
      <w:marRight w:val="0"/>
      <w:marTop w:val="0"/>
      <w:marBottom w:val="0"/>
      <w:divBdr>
        <w:top w:val="none" w:sz="0" w:space="0" w:color="auto"/>
        <w:left w:val="none" w:sz="0" w:space="0" w:color="auto"/>
        <w:bottom w:val="none" w:sz="0" w:space="0" w:color="auto"/>
        <w:right w:val="none" w:sz="0" w:space="0" w:color="auto"/>
      </w:divBdr>
    </w:div>
    <w:div w:id="1361056255">
      <w:bodyDiv w:val="1"/>
      <w:marLeft w:val="0"/>
      <w:marRight w:val="0"/>
      <w:marTop w:val="0"/>
      <w:marBottom w:val="0"/>
      <w:divBdr>
        <w:top w:val="none" w:sz="0" w:space="0" w:color="auto"/>
        <w:left w:val="none" w:sz="0" w:space="0" w:color="auto"/>
        <w:bottom w:val="none" w:sz="0" w:space="0" w:color="auto"/>
        <w:right w:val="none" w:sz="0" w:space="0" w:color="auto"/>
      </w:divBdr>
    </w:div>
    <w:div w:id="1542093430">
      <w:bodyDiv w:val="1"/>
      <w:marLeft w:val="0"/>
      <w:marRight w:val="0"/>
      <w:marTop w:val="0"/>
      <w:marBottom w:val="0"/>
      <w:divBdr>
        <w:top w:val="none" w:sz="0" w:space="0" w:color="auto"/>
        <w:left w:val="none" w:sz="0" w:space="0" w:color="auto"/>
        <w:bottom w:val="none" w:sz="0" w:space="0" w:color="auto"/>
        <w:right w:val="none" w:sz="0" w:space="0" w:color="auto"/>
      </w:divBdr>
    </w:div>
    <w:div w:id="1556426446">
      <w:bodyDiv w:val="1"/>
      <w:marLeft w:val="0"/>
      <w:marRight w:val="0"/>
      <w:marTop w:val="0"/>
      <w:marBottom w:val="0"/>
      <w:divBdr>
        <w:top w:val="none" w:sz="0" w:space="0" w:color="auto"/>
        <w:left w:val="none" w:sz="0" w:space="0" w:color="auto"/>
        <w:bottom w:val="none" w:sz="0" w:space="0" w:color="auto"/>
        <w:right w:val="none" w:sz="0" w:space="0" w:color="auto"/>
      </w:divBdr>
    </w:div>
    <w:div w:id="1593854943">
      <w:bodyDiv w:val="1"/>
      <w:marLeft w:val="0"/>
      <w:marRight w:val="0"/>
      <w:marTop w:val="0"/>
      <w:marBottom w:val="0"/>
      <w:divBdr>
        <w:top w:val="none" w:sz="0" w:space="0" w:color="auto"/>
        <w:left w:val="none" w:sz="0" w:space="0" w:color="auto"/>
        <w:bottom w:val="none" w:sz="0" w:space="0" w:color="auto"/>
        <w:right w:val="none" w:sz="0" w:space="0" w:color="auto"/>
      </w:divBdr>
    </w:div>
    <w:div w:id="2012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quineteurope.org/-Members-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64E3AB-FE90-4139-ABF8-93F106F0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11644</Words>
  <Characters>66373</Characters>
  <Application>Microsoft Office Word</Application>
  <DocSecurity>0</DocSecurity>
  <Lines>553</Lines>
  <Paragraphs>155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equinet Handbook on strategic litigation</vt:lpstr>
      <vt:lpstr>equinet Handbook on strategic litigation</vt:lpstr>
    </vt:vector>
  </TitlesOfParts>
  <Company>Equinet, European Network of Equality Bodies</Company>
  <LinksUpToDate>false</LinksUpToDate>
  <CharactersWithSpaces>77862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equinet Handbook on strategic litigation</dc:title>
  <dc:creator>Cluster on Strategic Litigation</dc:creator>
  <cp:lastModifiedBy>Tamas Kadar</cp:lastModifiedBy>
  <cp:revision>5</cp:revision>
  <cp:lastPrinted>2017-11-28T14:22:00Z</cp:lastPrinted>
  <dcterms:created xsi:type="dcterms:W3CDTF">2018-02-27T16:50:00Z</dcterms:created>
  <dcterms:modified xsi:type="dcterms:W3CDTF">2018-02-27T20:25:00Z</dcterms:modified>
</cp:coreProperties>
</file>