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CC0FB" w14:textId="72FA190E" w:rsidR="00103F19" w:rsidRPr="00887914" w:rsidRDefault="00690A2C" w:rsidP="00690A2C">
      <w:pPr>
        <w:rPr>
          <w:rFonts w:cstheme="minorHAnsi"/>
          <w:lang w:val="en-US"/>
        </w:rPr>
      </w:pPr>
      <w:r w:rsidRPr="00887914">
        <w:rPr>
          <w:rFonts w:cstheme="minorHAnsi"/>
          <w:noProof/>
          <w:highlight w:val="yellow"/>
          <w:lang w:eastAsia="fr-BE"/>
        </w:rPr>
        <w:drawing>
          <wp:anchor distT="0" distB="0" distL="114300" distR="114300" simplePos="0" relativeHeight="251655680" behindDoc="0" locked="0" layoutInCell="1" allowOverlap="1" wp14:anchorId="1FD3AC3F" wp14:editId="33882158">
            <wp:simplePos x="0" y="0"/>
            <wp:positionH relativeFrom="margin">
              <wp:posOffset>-918845</wp:posOffset>
            </wp:positionH>
            <wp:positionV relativeFrom="margin">
              <wp:posOffset>-2366645</wp:posOffset>
            </wp:positionV>
            <wp:extent cx="7591425" cy="368427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 Focus (2).png"/>
                    <pic:cNvPicPr/>
                  </pic:nvPicPr>
                  <pic:blipFill>
                    <a:blip r:embed="rId9">
                      <a:extLst>
                        <a:ext uri="{28A0092B-C50C-407E-A947-70E740481C1C}">
                          <a14:useLocalDpi xmlns:a14="http://schemas.microsoft.com/office/drawing/2010/main" val="0"/>
                        </a:ext>
                      </a:extLst>
                    </a:blip>
                    <a:stretch>
                      <a:fillRect/>
                    </a:stretch>
                  </pic:blipFill>
                  <pic:spPr>
                    <a:xfrm>
                      <a:off x="0" y="0"/>
                      <a:ext cx="7591425" cy="368427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774" w:type="dxa"/>
        <w:tblInd w:w="-7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774"/>
      </w:tblGrid>
      <w:tr w:rsidR="0013782D" w:rsidRPr="002D2506" w14:paraId="44279F71" w14:textId="77777777" w:rsidTr="00690A2C">
        <w:tc>
          <w:tcPr>
            <w:tcW w:w="10774" w:type="dxa"/>
          </w:tcPr>
          <w:p w14:paraId="3F1C8898" w14:textId="44B10131" w:rsidR="0013782D" w:rsidRPr="00C35D40" w:rsidRDefault="0013782D" w:rsidP="002641AA">
            <w:pPr>
              <w:jc w:val="both"/>
              <w:rPr>
                <w:rFonts w:cstheme="minorHAnsi"/>
                <w:b/>
                <w:noProof/>
                <w:color w:val="0070C0"/>
                <w:sz w:val="24"/>
                <w:szCs w:val="24"/>
                <w:lang w:val="en-GB"/>
              </w:rPr>
            </w:pPr>
            <w:r w:rsidRPr="00C35D40">
              <w:rPr>
                <w:rFonts w:cstheme="minorHAnsi"/>
                <w:b/>
                <w:noProof/>
                <w:color w:val="0070C0"/>
                <w:sz w:val="24"/>
                <w:szCs w:val="24"/>
                <w:lang w:val="en-GB"/>
              </w:rPr>
              <w:t>Work Life Balance: a gender issue</w:t>
            </w:r>
          </w:p>
          <w:p w14:paraId="558783B3" w14:textId="77777777" w:rsidR="0013782D" w:rsidRDefault="0013782D" w:rsidP="002641AA">
            <w:pPr>
              <w:jc w:val="both"/>
              <w:rPr>
                <w:rFonts w:cstheme="minorHAnsi"/>
                <w:b/>
                <w:noProof/>
                <w:color w:val="4F81BD" w:themeColor="accent1"/>
                <w:sz w:val="24"/>
                <w:szCs w:val="24"/>
                <w:lang w:val="en-GB"/>
              </w:rPr>
            </w:pPr>
          </w:p>
          <w:p w14:paraId="784E4CB6" w14:textId="1A883B1F" w:rsidR="0013782D" w:rsidRDefault="0013782D" w:rsidP="0013782D">
            <w:pPr>
              <w:jc w:val="both"/>
              <w:rPr>
                <w:rFonts w:cstheme="minorHAnsi"/>
                <w:noProof/>
                <w:lang w:val="en-GB"/>
              </w:rPr>
            </w:pPr>
            <w:r>
              <w:rPr>
                <w:rFonts w:cstheme="minorHAnsi"/>
                <w:b/>
                <w:noProof/>
                <w:lang w:val="en-GB"/>
              </w:rPr>
              <w:t xml:space="preserve">Work </w:t>
            </w:r>
            <w:r w:rsidRPr="009C07EB">
              <w:rPr>
                <w:rFonts w:cstheme="minorHAnsi"/>
                <w:b/>
                <w:noProof/>
                <w:lang w:val="en-GB"/>
              </w:rPr>
              <w:t>life balance</w:t>
            </w:r>
            <w:r w:rsidRPr="009C07EB">
              <w:rPr>
                <w:rFonts w:cstheme="minorHAnsi"/>
                <w:noProof/>
                <w:lang w:val="en-GB"/>
              </w:rPr>
              <w:t xml:space="preserve"> is about the </w:t>
            </w:r>
            <w:r w:rsidRPr="009C07EB">
              <w:rPr>
                <w:rFonts w:cstheme="minorHAnsi"/>
                <w:b/>
                <w:noProof/>
                <w:lang w:val="en-GB"/>
              </w:rPr>
              <w:t>division of one's time and focus between work and family or leisure</w:t>
            </w:r>
            <w:r w:rsidRPr="009C07EB">
              <w:rPr>
                <w:rFonts w:cstheme="minorHAnsi"/>
                <w:noProof/>
                <w:lang w:val="en-GB"/>
              </w:rPr>
              <w:t xml:space="preserve"> </w:t>
            </w:r>
            <w:r w:rsidRPr="009C07EB">
              <w:rPr>
                <w:rFonts w:cstheme="minorHAnsi"/>
                <w:b/>
                <w:noProof/>
                <w:lang w:val="en-GB"/>
              </w:rPr>
              <w:t>activities.</w:t>
            </w:r>
            <w:r w:rsidRPr="009C07EB">
              <w:rPr>
                <w:rFonts w:cstheme="minorHAnsi"/>
                <w:noProof/>
                <w:lang w:val="en-GB"/>
              </w:rPr>
              <w:t xml:space="preserve"> </w:t>
            </w:r>
            <w:r w:rsidR="00653C38" w:rsidRPr="00653C38">
              <w:rPr>
                <w:rFonts w:cstheme="minorHAnsi"/>
                <w:noProof/>
                <w:lang w:val="en-GB"/>
              </w:rPr>
              <w:t>There are a number of public policies</w:t>
            </w:r>
            <w:r w:rsidR="002D2506">
              <w:rPr>
                <w:rFonts w:cstheme="minorHAnsi"/>
                <w:noProof/>
                <w:lang w:val="en-GB"/>
              </w:rPr>
              <w:t xml:space="preserve"> and legislation affecting work </w:t>
            </w:r>
            <w:r w:rsidR="00653C38" w:rsidRPr="00653C38">
              <w:rPr>
                <w:rFonts w:cstheme="minorHAnsi"/>
                <w:noProof/>
                <w:lang w:val="en-GB"/>
              </w:rPr>
              <w:t xml:space="preserve">life balance for workers across Europe. These especially relate to birth, parental and carer’s </w:t>
            </w:r>
            <w:r w:rsidR="00653C38" w:rsidRPr="00653C38">
              <w:rPr>
                <w:rFonts w:cstheme="minorHAnsi"/>
                <w:b/>
                <w:noProof/>
                <w:lang w:val="en-GB"/>
              </w:rPr>
              <w:t>leave,</w:t>
            </w:r>
            <w:r w:rsidR="00653C38" w:rsidRPr="00653C38">
              <w:rPr>
                <w:rFonts w:cstheme="minorHAnsi"/>
                <w:noProof/>
                <w:lang w:val="en-GB"/>
              </w:rPr>
              <w:t xml:space="preserve"> flexible </w:t>
            </w:r>
            <w:r w:rsidR="00653C38" w:rsidRPr="00653C38">
              <w:rPr>
                <w:rFonts w:cstheme="minorHAnsi"/>
                <w:b/>
                <w:noProof/>
                <w:lang w:val="en-GB"/>
              </w:rPr>
              <w:t>working hours</w:t>
            </w:r>
            <w:r w:rsidR="00653C38" w:rsidRPr="00653C38">
              <w:rPr>
                <w:rFonts w:cstheme="minorHAnsi"/>
                <w:noProof/>
                <w:lang w:val="en-GB"/>
              </w:rPr>
              <w:t xml:space="preserve"> and </w:t>
            </w:r>
            <w:r w:rsidR="00653C38" w:rsidRPr="00653C38">
              <w:rPr>
                <w:rFonts w:cstheme="minorHAnsi"/>
                <w:b/>
                <w:noProof/>
                <w:lang w:val="en-GB"/>
              </w:rPr>
              <w:t xml:space="preserve">accommodation </w:t>
            </w:r>
            <w:r w:rsidR="00653C38" w:rsidRPr="00653C38">
              <w:rPr>
                <w:rFonts w:cstheme="minorHAnsi"/>
                <w:noProof/>
                <w:lang w:val="en-GB"/>
              </w:rPr>
              <w:t xml:space="preserve">of working hours and duties, </w:t>
            </w:r>
            <w:r w:rsidR="00653C38" w:rsidRPr="00653C38">
              <w:rPr>
                <w:rFonts w:cstheme="minorHAnsi"/>
                <w:b/>
                <w:noProof/>
                <w:lang w:val="en-GB"/>
              </w:rPr>
              <w:t>child care</w:t>
            </w:r>
            <w:r w:rsidR="00653C38" w:rsidRPr="00653C38">
              <w:rPr>
                <w:rFonts w:cstheme="minorHAnsi"/>
                <w:noProof/>
                <w:lang w:val="en-GB"/>
              </w:rPr>
              <w:t xml:space="preserve"> and </w:t>
            </w:r>
            <w:r w:rsidR="00653C38" w:rsidRPr="00653C38">
              <w:rPr>
                <w:rFonts w:cstheme="minorHAnsi"/>
                <w:b/>
                <w:noProof/>
                <w:lang w:val="en-GB"/>
              </w:rPr>
              <w:t>tax benefit</w:t>
            </w:r>
            <w:r w:rsidR="00653C38" w:rsidRPr="00653C38">
              <w:rPr>
                <w:rFonts w:cstheme="minorHAnsi"/>
                <w:noProof/>
                <w:lang w:val="en-GB"/>
              </w:rPr>
              <w:t xml:space="preserve"> systems.  </w:t>
            </w:r>
          </w:p>
          <w:p w14:paraId="6EE1DAAD" w14:textId="55CD4F53" w:rsidR="0013782D" w:rsidRDefault="00653C38" w:rsidP="0013782D">
            <w:pPr>
              <w:jc w:val="both"/>
              <w:rPr>
                <w:rFonts w:cstheme="minorHAnsi"/>
                <w:noProof/>
                <w:lang w:val="en-GB"/>
              </w:rPr>
            </w:pPr>
            <w:r>
              <w:rPr>
                <w:rFonts w:cstheme="minorHAnsi"/>
                <w:noProof/>
                <w:lang w:val="en-GB"/>
              </w:rPr>
              <w:t xml:space="preserve">Work life balance </w:t>
            </w:r>
            <w:r w:rsidR="0013782D" w:rsidRPr="009C07EB">
              <w:rPr>
                <w:rFonts w:cstheme="minorHAnsi"/>
                <w:noProof/>
                <w:lang w:val="en-GB"/>
              </w:rPr>
              <w:t xml:space="preserve">affects </w:t>
            </w:r>
            <w:r w:rsidR="0013782D" w:rsidRPr="009C07EB">
              <w:rPr>
                <w:rFonts w:cstheme="minorHAnsi"/>
                <w:b/>
                <w:noProof/>
                <w:lang w:val="en-GB"/>
              </w:rPr>
              <w:t xml:space="preserve">gender equality </w:t>
            </w:r>
            <w:r w:rsidR="0013782D" w:rsidRPr="009C07EB">
              <w:rPr>
                <w:rFonts w:cstheme="minorHAnsi"/>
                <w:noProof/>
                <w:lang w:val="en-GB"/>
              </w:rPr>
              <w:t xml:space="preserve">in many ways, and in particular when it comes to the role of </w:t>
            </w:r>
            <w:r w:rsidR="00D94433">
              <w:rPr>
                <w:rFonts w:cstheme="minorHAnsi"/>
                <w:noProof/>
                <w:lang w:val="en-GB"/>
              </w:rPr>
              <w:t>parents</w:t>
            </w:r>
            <w:r w:rsidR="0013782D" w:rsidRPr="009C07EB">
              <w:rPr>
                <w:rFonts w:cstheme="minorHAnsi"/>
                <w:noProof/>
                <w:lang w:val="en-GB"/>
              </w:rPr>
              <w:t xml:space="preserve">. For example, if there is no accessible child care or working hours are rigid, one of the parents might find it necessary to work part time or not work at all to take care of home and children. </w:t>
            </w:r>
          </w:p>
          <w:p w14:paraId="7989FC19" w14:textId="77777777" w:rsidR="0013782D" w:rsidRPr="009C07EB" w:rsidRDefault="0013782D" w:rsidP="0013782D">
            <w:pPr>
              <w:jc w:val="both"/>
              <w:rPr>
                <w:rFonts w:cstheme="minorHAnsi"/>
                <w:noProof/>
                <w:lang w:val="en-GB"/>
              </w:rPr>
            </w:pPr>
          </w:p>
          <w:p w14:paraId="6914EA76" w14:textId="4068F68C" w:rsidR="002A2BC5" w:rsidRDefault="002A2BC5" w:rsidP="002A2BC5">
            <w:pPr>
              <w:jc w:val="both"/>
              <w:rPr>
                <w:rFonts w:cstheme="minorHAnsi"/>
                <w:noProof/>
                <w:lang w:val="en-GB"/>
              </w:rPr>
            </w:pPr>
            <w:r w:rsidRPr="009C07EB">
              <w:rPr>
                <w:rFonts w:cstheme="minorHAnsi"/>
                <w:noProof/>
                <w:lang w:val="en-GB"/>
              </w:rPr>
              <w:t xml:space="preserve">Work life balance measures </w:t>
            </w:r>
            <w:r>
              <w:rPr>
                <w:rFonts w:cstheme="minorHAnsi"/>
                <w:noProof/>
                <w:lang w:val="en-GB"/>
              </w:rPr>
              <w:t xml:space="preserve">also affect </w:t>
            </w:r>
            <w:r w:rsidR="009C49A8" w:rsidRPr="009C49A8">
              <w:rPr>
                <w:rFonts w:cstheme="minorHAnsi"/>
                <w:b/>
                <w:noProof/>
                <w:lang w:val="en-GB"/>
              </w:rPr>
              <w:t>religious</w:t>
            </w:r>
            <w:r w:rsidR="009C49A8">
              <w:rPr>
                <w:rFonts w:cstheme="minorHAnsi"/>
                <w:noProof/>
                <w:lang w:val="en-GB"/>
              </w:rPr>
              <w:t xml:space="preserve"> </w:t>
            </w:r>
            <w:r w:rsidRPr="009C07EB">
              <w:rPr>
                <w:rFonts w:cstheme="minorHAnsi"/>
                <w:b/>
                <w:noProof/>
                <w:lang w:val="en-GB"/>
              </w:rPr>
              <w:t xml:space="preserve">employees </w:t>
            </w:r>
            <w:r w:rsidR="009C49A8">
              <w:rPr>
                <w:rFonts w:cstheme="minorHAnsi"/>
                <w:b/>
                <w:noProof/>
                <w:lang w:val="en-GB"/>
              </w:rPr>
              <w:t xml:space="preserve">or employees </w:t>
            </w:r>
            <w:r w:rsidRPr="009C07EB">
              <w:rPr>
                <w:rFonts w:cstheme="minorHAnsi"/>
                <w:b/>
                <w:noProof/>
                <w:lang w:val="en-GB"/>
              </w:rPr>
              <w:t>with disabilities and parents of children with disabilities</w:t>
            </w:r>
            <w:r w:rsidRPr="009C07EB">
              <w:rPr>
                <w:rFonts w:cstheme="minorHAnsi"/>
                <w:noProof/>
                <w:lang w:val="en-GB"/>
              </w:rPr>
              <w:t xml:space="preserve">, because they may be in particular need of flexibility and accommodation in their work situation. Furthermore, employees with </w:t>
            </w:r>
            <w:r w:rsidRPr="009C07EB">
              <w:rPr>
                <w:rFonts w:cstheme="minorHAnsi"/>
                <w:b/>
                <w:noProof/>
                <w:lang w:val="en-GB"/>
              </w:rPr>
              <w:t>responsibility for elderly family members</w:t>
            </w:r>
            <w:r w:rsidRPr="009C07EB">
              <w:rPr>
                <w:rFonts w:cstheme="minorHAnsi"/>
                <w:noProof/>
                <w:lang w:val="en-GB"/>
              </w:rPr>
              <w:t xml:space="preserve"> or others in need of care can also benefit from good work life balance policies. </w:t>
            </w:r>
          </w:p>
          <w:p w14:paraId="6273A574" w14:textId="77777777" w:rsidR="002A2BC5" w:rsidRPr="009C07EB" w:rsidRDefault="002A2BC5" w:rsidP="002A2BC5">
            <w:pPr>
              <w:jc w:val="both"/>
              <w:rPr>
                <w:rFonts w:cstheme="minorHAnsi"/>
                <w:noProof/>
                <w:lang w:val="en-GB"/>
              </w:rPr>
            </w:pPr>
          </w:p>
          <w:p w14:paraId="7B353B0F" w14:textId="035CD406" w:rsidR="0013782D" w:rsidRPr="0013782D" w:rsidRDefault="0013782D" w:rsidP="00003AB8">
            <w:pPr>
              <w:jc w:val="both"/>
              <w:rPr>
                <w:rFonts w:cstheme="minorHAnsi"/>
                <w:b/>
                <w:noProof/>
                <w:color w:val="4F81BD" w:themeColor="accent1"/>
                <w:sz w:val="24"/>
                <w:szCs w:val="24"/>
                <w:lang w:val="en-GB"/>
              </w:rPr>
            </w:pPr>
            <w:r w:rsidRPr="009C07EB">
              <w:rPr>
                <w:rFonts w:cstheme="minorHAnsi"/>
                <w:noProof/>
                <w:lang w:val="en-GB"/>
              </w:rPr>
              <w:t xml:space="preserve">Due to </w:t>
            </w:r>
            <w:r w:rsidRPr="009C07EB">
              <w:rPr>
                <w:rFonts w:cstheme="minorHAnsi"/>
                <w:b/>
                <w:noProof/>
                <w:lang w:val="en-GB"/>
              </w:rPr>
              <w:t>traditional gender norms</w:t>
            </w:r>
            <w:r w:rsidR="002A2BC5">
              <w:rPr>
                <w:rFonts w:cstheme="minorHAnsi"/>
                <w:b/>
                <w:noProof/>
                <w:lang w:val="en-GB"/>
              </w:rPr>
              <w:t xml:space="preserve">, caring responsibilities are </w:t>
            </w:r>
            <w:r w:rsidR="004A7C2C">
              <w:rPr>
                <w:rFonts w:cstheme="minorHAnsi"/>
                <w:b/>
                <w:noProof/>
                <w:lang w:val="en-GB"/>
              </w:rPr>
              <w:t xml:space="preserve">very often </w:t>
            </w:r>
            <w:r w:rsidR="002A2BC5">
              <w:rPr>
                <w:rFonts w:cstheme="minorHAnsi"/>
                <w:b/>
                <w:noProof/>
                <w:lang w:val="en-GB"/>
              </w:rPr>
              <w:t>taken up by women</w:t>
            </w:r>
            <w:r w:rsidRPr="009C07EB">
              <w:rPr>
                <w:rFonts w:cstheme="minorHAnsi"/>
                <w:noProof/>
                <w:lang w:val="en-GB"/>
              </w:rPr>
              <w:t xml:space="preserve">. </w:t>
            </w:r>
            <w:r w:rsidR="004A7C2C">
              <w:rPr>
                <w:rFonts w:cstheme="minorHAnsi"/>
                <w:noProof/>
                <w:lang w:val="en-GB"/>
              </w:rPr>
              <w:t xml:space="preserve">This </w:t>
            </w:r>
            <w:r w:rsidR="00577975">
              <w:rPr>
                <w:rFonts w:cstheme="minorHAnsi"/>
                <w:noProof/>
                <w:lang w:val="en-GB"/>
              </w:rPr>
              <w:t>impacts</w:t>
            </w:r>
            <w:r w:rsidR="002A2BC5">
              <w:rPr>
                <w:rFonts w:cstheme="minorHAnsi"/>
                <w:noProof/>
                <w:lang w:val="en-GB"/>
              </w:rPr>
              <w:t xml:space="preserve"> on their access to</w:t>
            </w:r>
            <w:r w:rsidR="00163399">
              <w:rPr>
                <w:rFonts w:cstheme="minorHAnsi"/>
                <w:noProof/>
                <w:lang w:val="en-GB"/>
              </w:rPr>
              <w:t xml:space="preserve"> the</w:t>
            </w:r>
            <w:r w:rsidR="002A2BC5">
              <w:rPr>
                <w:rFonts w:cstheme="minorHAnsi"/>
                <w:noProof/>
                <w:lang w:val="en-GB"/>
              </w:rPr>
              <w:t xml:space="preserve"> labour market</w:t>
            </w:r>
            <w:r w:rsidR="00163399">
              <w:rPr>
                <w:rFonts w:cstheme="minorHAnsi"/>
                <w:noProof/>
                <w:lang w:val="en-GB"/>
              </w:rPr>
              <w:t xml:space="preserve"> and paid employment</w:t>
            </w:r>
            <w:r w:rsidR="002A2BC5">
              <w:rPr>
                <w:rFonts w:cstheme="minorHAnsi"/>
                <w:noProof/>
                <w:lang w:val="en-GB"/>
              </w:rPr>
              <w:t>, career progression, economic independence</w:t>
            </w:r>
            <w:r w:rsidR="00163399">
              <w:rPr>
                <w:rFonts w:cstheme="minorHAnsi"/>
                <w:noProof/>
                <w:lang w:val="en-GB"/>
              </w:rPr>
              <w:t>, equal pay</w:t>
            </w:r>
            <w:r w:rsidR="002A2BC5">
              <w:rPr>
                <w:rFonts w:cstheme="minorHAnsi"/>
                <w:noProof/>
                <w:lang w:val="en-GB"/>
              </w:rPr>
              <w:t xml:space="preserve"> and equal participation </w:t>
            </w:r>
            <w:r w:rsidR="00163399">
              <w:rPr>
                <w:rFonts w:cstheme="minorHAnsi"/>
                <w:noProof/>
                <w:lang w:val="en-GB"/>
              </w:rPr>
              <w:t>in</w:t>
            </w:r>
            <w:r w:rsidR="002A2BC5">
              <w:rPr>
                <w:rFonts w:cstheme="minorHAnsi"/>
                <w:noProof/>
                <w:lang w:val="en-GB"/>
              </w:rPr>
              <w:t xml:space="preserve"> </w:t>
            </w:r>
            <w:r w:rsidR="00163399">
              <w:rPr>
                <w:rFonts w:cstheme="minorHAnsi"/>
                <w:noProof/>
                <w:lang w:val="en-GB"/>
              </w:rPr>
              <w:t xml:space="preserve">decision-making and </w:t>
            </w:r>
            <w:r w:rsidR="002A2BC5">
              <w:rPr>
                <w:rFonts w:cstheme="minorHAnsi"/>
                <w:noProof/>
                <w:lang w:val="en-GB"/>
              </w:rPr>
              <w:t>society</w:t>
            </w:r>
            <w:r w:rsidR="00163399">
              <w:rPr>
                <w:rFonts w:cstheme="minorHAnsi"/>
                <w:noProof/>
                <w:lang w:val="en-GB"/>
              </w:rPr>
              <w:t xml:space="preserve"> at large</w:t>
            </w:r>
            <w:r w:rsidR="002A2BC5">
              <w:rPr>
                <w:rFonts w:cstheme="minorHAnsi"/>
                <w:noProof/>
                <w:lang w:val="en-GB"/>
              </w:rPr>
              <w:t xml:space="preserve">. </w:t>
            </w:r>
          </w:p>
        </w:tc>
      </w:tr>
    </w:tbl>
    <w:p w14:paraId="108B21BF" w14:textId="27ECCEAD" w:rsidR="0013782D" w:rsidRDefault="0013782D" w:rsidP="007D2162">
      <w:pPr>
        <w:pStyle w:val="NoSpacing"/>
        <w:rPr>
          <w:noProof/>
          <w:lang w:val="en-GB"/>
        </w:rPr>
      </w:pPr>
    </w:p>
    <w:tbl>
      <w:tblPr>
        <w:tblStyle w:val="TableGrid"/>
        <w:tblW w:w="10774" w:type="dxa"/>
        <w:tblInd w:w="-743" w:type="dxa"/>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0774"/>
      </w:tblGrid>
      <w:tr w:rsidR="002A2BC5" w:rsidRPr="002D2506" w14:paraId="1939AC46" w14:textId="77777777" w:rsidTr="00F825B2">
        <w:tc>
          <w:tcPr>
            <w:tcW w:w="10774" w:type="dxa"/>
          </w:tcPr>
          <w:p w14:paraId="02FD1331" w14:textId="496B8C11" w:rsidR="00690A2C" w:rsidRDefault="00690A2C" w:rsidP="00690A2C">
            <w:pPr>
              <w:jc w:val="both"/>
              <w:rPr>
                <w:rFonts w:cstheme="minorHAnsi"/>
                <w:b/>
                <w:noProof/>
                <w:color w:val="0070C0"/>
                <w:sz w:val="24"/>
                <w:szCs w:val="24"/>
                <w:lang w:val="en-GB"/>
              </w:rPr>
            </w:pPr>
            <w:r>
              <w:rPr>
                <w:rFonts w:cstheme="minorHAnsi"/>
                <w:b/>
                <w:noProof/>
                <w:color w:val="0070C0"/>
                <w:sz w:val="24"/>
                <w:szCs w:val="24"/>
                <w:lang w:val="en-GB"/>
              </w:rPr>
              <w:t>Figures</w:t>
            </w:r>
          </w:p>
          <w:p w14:paraId="6074654C" w14:textId="77777777" w:rsidR="00F825B2" w:rsidRDefault="00F825B2" w:rsidP="00690A2C">
            <w:pPr>
              <w:jc w:val="both"/>
              <w:rPr>
                <w:rFonts w:cstheme="minorHAnsi"/>
                <w:b/>
                <w:noProof/>
                <w:color w:val="0070C0"/>
                <w:sz w:val="24"/>
                <w:szCs w:val="24"/>
                <w:lang w:val="en-GB"/>
              </w:rPr>
            </w:pPr>
          </w:p>
          <w:p w14:paraId="6C5F0C58" w14:textId="1CDA0C92" w:rsidR="00F825B2" w:rsidRDefault="00DC3403" w:rsidP="00DC3403">
            <w:pPr>
              <w:pStyle w:val="ListParagraph"/>
              <w:numPr>
                <w:ilvl w:val="0"/>
                <w:numId w:val="15"/>
              </w:numPr>
              <w:jc w:val="both"/>
              <w:rPr>
                <w:rFonts w:cstheme="minorHAnsi"/>
                <w:noProof/>
                <w:szCs w:val="24"/>
                <w:lang w:val="en-GB"/>
              </w:rPr>
            </w:pPr>
            <w:r w:rsidRPr="00DC3403">
              <w:rPr>
                <w:rFonts w:cstheme="minorHAnsi"/>
                <w:noProof/>
                <w:szCs w:val="24"/>
                <w:lang w:val="en-GB"/>
              </w:rPr>
              <w:t xml:space="preserve">In 2015, in the EU, </w:t>
            </w:r>
            <w:r w:rsidR="004A7C2C" w:rsidRPr="00DC3403">
              <w:rPr>
                <w:rFonts w:cstheme="minorHAnsi"/>
                <w:noProof/>
                <w:szCs w:val="24"/>
                <w:lang w:val="en-GB"/>
              </w:rPr>
              <w:t>every day</w:t>
            </w:r>
            <w:r w:rsidR="004A7C2C" w:rsidRPr="00DC3403">
              <w:rPr>
                <w:rFonts w:cstheme="minorHAnsi"/>
                <w:b/>
                <w:noProof/>
                <w:szCs w:val="24"/>
                <w:lang w:val="en-GB"/>
              </w:rPr>
              <w:t xml:space="preserve"> </w:t>
            </w:r>
            <w:r w:rsidRPr="00DC3403">
              <w:rPr>
                <w:rFonts w:cstheme="minorHAnsi"/>
                <w:b/>
                <w:noProof/>
                <w:szCs w:val="24"/>
                <w:lang w:val="en-GB"/>
              </w:rPr>
              <w:t>37,5% of women</w:t>
            </w:r>
            <w:r>
              <w:rPr>
                <w:rFonts w:cstheme="minorHAnsi"/>
                <w:noProof/>
                <w:szCs w:val="24"/>
                <w:lang w:val="en-GB"/>
              </w:rPr>
              <w:t xml:space="preserve"> and 24,7% of men care</w:t>
            </w:r>
            <w:r w:rsidRPr="00DC3403">
              <w:rPr>
                <w:rFonts w:cstheme="minorHAnsi"/>
                <w:noProof/>
                <w:szCs w:val="24"/>
                <w:lang w:val="en-GB"/>
              </w:rPr>
              <w:t xml:space="preserve"> for and </w:t>
            </w:r>
            <w:r w:rsidR="004A7C2C" w:rsidRPr="00DC3403">
              <w:rPr>
                <w:rFonts w:cstheme="minorHAnsi"/>
                <w:noProof/>
                <w:szCs w:val="24"/>
                <w:lang w:val="en-GB"/>
              </w:rPr>
              <w:t>educat</w:t>
            </w:r>
            <w:r w:rsidR="004A7C2C">
              <w:rPr>
                <w:rFonts w:cstheme="minorHAnsi"/>
                <w:noProof/>
                <w:szCs w:val="24"/>
                <w:lang w:val="en-GB"/>
              </w:rPr>
              <w:t>e</w:t>
            </w:r>
            <w:r w:rsidR="004A7C2C" w:rsidRPr="00DC3403">
              <w:rPr>
                <w:rFonts w:cstheme="minorHAnsi"/>
                <w:noProof/>
                <w:szCs w:val="24"/>
                <w:lang w:val="en-GB"/>
              </w:rPr>
              <w:t xml:space="preserve"> </w:t>
            </w:r>
            <w:r w:rsidRPr="00DC3403">
              <w:rPr>
                <w:rFonts w:cstheme="minorHAnsi"/>
                <w:noProof/>
                <w:szCs w:val="24"/>
                <w:lang w:val="en-GB"/>
              </w:rPr>
              <w:t>their children or grandchildren, elderly or people with disabilities</w:t>
            </w:r>
            <w:r w:rsidR="00003AB8">
              <w:rPr>
                <w:rStyle w:val="FootnoteReference"/>
                <w:rFonts w:cstheme="minorHAnsi"/>
                <w:noProof/>
                <w:szCs w:val="24"/>
                <w:lang w:val="en-GB"/>
              </w:rPr>
              <w:footnoteReference w:id="1"/>
            </w:r>
            <w:r w:rsidR="004A7C2C">
              <w:rPr>
                <w:rFonts w:cstheme="minorHAnsi"/>
                <w:noProof/>
                <w:szCs w:val="24"/>
                <w:lang w:val="en-GB"/>
              </w:rPr>
              <w:t>.</w:t>
            </w:r>
          </w:p>
          <w:p w14:paraId="5A7564EF" w14:textId="5ACFD1E0" w:rsidR="00DC3403" w:rsidRDefault="00020F80" w:rsidP="00020F80">
            <w:pPr>
              <w:pStyle w:val="ListParagraph"/>
              <w:numPr>
                <w:ilvl w:val="0"/>
                <w:numId w:val="15"/>
              </w:numPr>
              <w:jc w:val="both"/>
              <w:rPr>
                <w:rFonts w:cstheme="minorHAnsi"/>
                <w:noProof/>
                <w:szCs w:val="24"/>
                <w:lang w:val="en-GB"/>
              </w:rPr>
            </w:pPr>
            <w:r w:rsidRPr="00020F80">
              <w:rPr>
                <w:rFonts w:cstheme="minorHAnsi"/>
                <w:noProof/>
                <w:szCs w:val="24"/>
                <w:lang w:val="en-GB"/>
              </w:rPr>
              <w:t xml:space="preserve">Mothers are </w:t>
            </w:r>
            <w:r w:rsidRPr="00020F80">
              <w:rPr>
                <w:rFonts w:cstheme="minorHAnsi"/>
                <w:b/>
                <w:noProof/>
                <w:szCs w:val="24"/>
                <w:lang w:val="en-GB"/>
              </w:rPr>
              <w:t>8 times more likely to work part time than fathers</w:t>
            </w:r>
            <w:r w:rsidR="00003AB8">
              <w:rPr>
                <w:rStyle w:val="FootnoteReference"/>
                <w:rFonts w:cstheme="minorHAnsi"/>
                <w:b/>
                <w:noProof/>
                <w:szCs w:val="24"/>
                <w:lang w:val="en-GB"/>
              </w:rPr>
              <w:footnoteReference w:id="2"/>
            </w:r>
            <w:r w:rsidR="004A7C2C">
              <w:rPr>
                <w:rFonts w:cstheme="minorHAnsi"/>
                <w:noProof/>
                <w:szCs w:val="24"/>
                <w:lang w:val="en-GB"/>
              </w:rPr>
              <w:t>.</w:t>
            </w:r>
          </w:p>
          <w:p w14:paraId="7E0ECF75" w14:textId="0B534B2B" w:rsidR="002A2BC5" w:rsidRPr="00020F80" w:rsidRDefault="00020F80" w:rsidP="00003AB8">
            <w:pPr>
              <w:pStyle w:val="ListParagraph"/>
              <w:numPr>
                <w:ilvl w:val="0"/>
                <w:numId w:val="15"/>
              </w:numPr>
              <w:jc w:val="both"/>
              <w:rPr>
                <w:rFonts w:cstheme="minorHAnsi"/>
                <w:noProof/>
                <w:szCs w:val="24"/>
                <w:lang w:val="en-GB"/>
              </w:rPr>
            </w:pPr>
            <w:r w:rsidRPr="00E1247F">
              <w:rPr>
                <w:rFonts w:cstheme="minorHAnsi"/>
                <w:b/>
                <w:noProof/>
                <w:szCs w:val="24"/>
                <w:lang w:val="en-GB"/>
              </w:rPr>
              <w:t>Caring responsibilities</w:t>
            </w:r>
            <w:r w:rsidRPr="00020F80">
              <w:rPr>
                <w:rFonts w:cstheme="minorHAnsi"/>
                <w:noProof/>
                <w:szCs w:val="24"/>
                <w:lang w:val="en-GB"/>
              </w:rPr>
              <w:t xml:space="preserve"> </w:t>
            </w:r>
            <w:r w:rsidR="004A7C2C">
              <w:rPr>
                <w:rFonts w:cstheme="minorHAnsi"/>
                <w:noProof/>
                <w:szCs w:val="24"/>
                <w:lang w:val="en-GB"/>
              </w:rPr>
              <w:t>explain</w:t>
            </w:r>
            <w:r w:rsidRPr="00020F80">
              <w:rPr>
                <w:rFonts w:cstheme="minorHAnsi"/>
                <w:noProof/>
                <w:szCs w:val="24"/>
                <w:lang w:val="en-GB"/>
              </w:rPr>
              <w:t xml:space="preserve"> inactivity </w:t>
            </w:r>
            <w:r w:rsidR="004A7C2C">
              <w:rPr>
                <w:rFonts w:cstheme="minorHAnsi"/>
                <w:noProof/>
                <w:szCs w:val="24"/>
                <w:lang w:val="en-GB"/>
              </w:rPr>
              <w:t xml:space="preserve">in the labour market </w:t>
            </w:r>
            <w:r w:rsidRPr="00020F80">
              <w:rPr>
                <w:rFonts w:cstheme="minorHAnsi"/>
                <w:noProof/>
                <w:szCs w:val="24"/>
                <w:lang w:val="en-GB"/>
              </w:rPr>
              <w:t xml:space="preserve">for almost 20% </w:t>
            </w:r>
            <w:r w:rsidR="004A7C2C">
              <w:rPr>
                <w:rFonts w:cstheme="minorHAnsi"/>
                <w:noProof/>
                <w:szCs w:val="24"/>
                <w:lang w:val="en-GB"/>
              </w:rPr>
              <w:t xml:space="preserve">of </w:t>
            </w:r>
            <w:r w:rsidRPr="00020F80">
              <w:rPr>
                <w:rFonts w:cstheme="minorHAnsi"/>
                <w:noProof/>
                <w:szCs w:val="24"/>
                <w:lang w:val="en-GB"/>
              </w:rPr>
              <w:t>inactive women, while this is only the</w:t>
            </w:r>
            <w:r>
              <w:rPr>
                <w:rFonts w:cstheme="minorHAnsi"/>
                <w:noProof/>
                <w:szCs w:val="24"/>
                <w:lang w:val="en-GB"/>
              </w:rPr>
              <w:t xml:space="preserve"> </w:t>
            </w:r>
            <w:r w:rsidRPr="00020F80">
              <w:rPr>
                <w:rFonts w:cstheme="minorHAnsi"/>
                <w:noProof/>
                <w:szCs w:val="24"/>
                <w:lang w:val="en-GB"/>
              </w:rPr>
              <w:t>case for less than 2% of men</w:t>
            </w:r>
            <w:r w:rsidR="00003AB8">
              <w:rPr>
                <w:rStyle w:val="FootnoteReference"/>
                <w:rFonts w:cstheme="minorHAnsi"/>
                <w:noProof/>
                <w:szCs w:val="24"/>
                <w:lang w:val="en-GB"/>
              </w:rPr>
              <w:footnoteReference w:id="3"/>
            </w:r>
            <w:r w:rsidR="004A7C2C">
              <w:rPr>
                <w:rFonts w:cstheme="minorHAnsi"/>
                <w:noProof/>
                <w:szCs w:val="24"/>
                <w:lang w:val="en-GB"/>
              </w:rPr>
              <w:t>.</w:t>
            </w:r>
          </w:p>
        </w:tc>
      </w:tr>
    </w:tbl>
    <w:p w14:paraId="1C891697" w14:textId="04E7CE69" w:rsidR="00F050EC" w:rsidRDefault="00F050EC" w:rsidP="007D2162">
      <w:pPr>
        <w:pStyle w:val="NoSpacing"/>
        <w:rPr>
          <w:noProof/>
          <w:lang w:val="en-GB"/>
        </w:rPr>
      </w:pPr>
    </w:p>
    <w:tbl>
      <w:tblPr>
        <w:tblStyle w:val="TableGrid"/>
        <w:tblW w:w="10774" w:type="dxa"/>
        <w:tblInd w:w="-743" w:type="dxa"/>
        <w:tblLook w:val="04A0" w:firstRow="1" w:lastRow="0" w:firstColumn="1" w:lastColumn="0" w:noHBand="0" w:noVBand="1"/>
      </w:tblPr>
      <w:tblGrid>
        <w:gridCol w:w="10774"/>
      </w:tblGrid>
      <w:tr w:rsidR="002A2BC5" w:rsidRPr="002D2506" w14:paraId="07EEE95F" w14:textId="77777777" w:rsidTr="00020F80">
        <w:tc>
          <w:tcPr>
            <w:tcW w:w="10774" w:type="dxa"/>
            <w:tcBorders>
              <w:top w:val="dotted" w:sz="4" w:space="0" w:color="auto"/>
              <w:left w:val="dotted" w:sz="4" w:space="0" w:color="auto"/>
              <w:bottom w:val="dotted" w:sz="4" w:space="0" w:color="auto"/>
              <w:right w:val="dotted" w:sz="4" w:space="0" w:color="auto"/>
            </w:tcBorders>
          </w:tcPr>
          <w:p w14:paraId="330B697B" w14:textId="5120471C" w:rsidR="00C35D40" w:rsidRDefault="00C35D40" w:rsidP="002641AA">
            <w:pPr>
              <w:jc w:val="both"/>
              <w:rPr>
                <w:rFonts w:cstheme="minorHAnsi"/>
                <w:b/>
                <w:noProof/>
                <w:color w:val="0070C0"/>
                <w:sz w:val="24"/>
                <w:lang w:val="en-GB"/>
              </w:rPr>
            </w:pPr>
            <w:r w:rsidRPr="00C35D40">
              <w:rPr>
                <w:rFonts w:cstheme="minorHAnsi"/>
                <w:b/>
                <w:noProof/>
                <w:color w:val="0070C0"/>
                <w:sz w:val="24"/>
                <w:lang w:val="en-GB"/>
              </w:rPr>
              <w:t>Disparities in Europe</w:t>
            </w:r>
            <w:r w:rsidR="00F12611">
              <w:rPr>
                <w:rStyle w:val="FootnoteReference"/>
                <w:rFonts w:cstheme="minorHAnsi"/>
                <w:b/>
                <w:noProof/>
                <w:color w:val="0070C0"/>
                <w:sz w:val="24"/>
                <w:lang w:val="en-GB"/>
              </w:rPr>
              <w:footnoteReference w:id="4"/>
            </w:r>
          </w:p>
          <w:p w14:paraId="5FC14CE5" w14:textId="77777777" w:rsidR="00020F80" w:rsidRPr="00C35D40" w:rsidRDefault="00020F80" w:rsidP="002641AA">
            <w:pPr>
              <w:jc w:val="both"/>
              <w:rPr>
                <w:rFonts w:cstheme="minorHAnsi"/>
                <w:b/>
                <w:noProof/>
                <w:color w:val="0070C0"/>
                <w:sz w:val="24"/>
                <w:lang w:val="en-GB"/>
              </w:rPr>
            </w:pPr>
          </w:p>
          <w:p w14:paraId="0370C50B" w14:textId="77777777" w:rsidR="00EE1279" w:rsidRDefault="00A95D8A" w:rsidP="00EE1279">
            <w:pPr>
              <w:pStyle w:val="ListParagraph"/>
              <w:numPr>
                <w:ilvl w:val="0"/>
                <w:numId w:val="31"/>
              </w:numPr>
              <w:rPr>
                <w:rFonts w:cstheme="minorHAnsi"/>
                <w:noProof/>
                <w:lang w:val="en-GB"/>
              </w:rPr>
            </w:pPr>
            <w:r w:rsidRPr="00EE1279">
              <w:rPr>
                <w:rFonts w:cstheme="minorHAnsi"/>
                <w:b/>
                <w:noProof/>
                <w:lang w:val="en-GB"/>
              </w:rPr>
              <w:t>Maternity Leave</w:t>
            </w:r>
            <w:r w:rsidR="009E0756" w:rsidRPr="00EE1279">
              <w:rPr>
                <w:rFonts w:cstheme="minorHAnsi"/>
                <w:b/>
                <w:noProof/>
                <w:lang w:val="en-GB"/>
              </w:rPr>
              <w:t>, granted to mothers after giving birth</w:t>
            </w:r>
            <w:r w:rsidRPr="00EE1279">
              <w:rPr>
                <w:rFonts w:cstheme="minorHAnsi"/>
                <w:b/>
                <w:noProof/>
                <w:lang w:val="en-GB"/>
              </w:rPr>
              <w:t>:</w:t>
            </w:r>
            <w:r w:rsidR="00003AB8" w:rsidRPr="00EE1279">
              <w:rPr>
                <w:rFonts w:cstheme="minorHAnsi"/>
                <w:b/>
                <w:noProof/>
                <w:lang w:val="en-GB"/>
              </w:rPr>
              <w:t xml:space="preserve"> ranging </w:t>
            </w:r>
            <w:r w:rsidR="00003AB8" w:rsidRPr="00EE1279">
              <w:rPr>
                <w:rFonts w:cstheme="minorHAnsi"/>
                <w:noProof/>
                <w:lang w:val="en-GB"/>
              </w:rPr>
              <w:t>from</w:t>
            </w:r>
            <w:r w:rsidRPr="00EE1279">
              <w:rPr>
                <w:rFonts w:cstheme="minorHAnsi"/>
                <w:noProof/>
                <w:lang w:val="en-GB"/>
              </w:rPr>
              <w:t xml:space="preserve"> </w:t>
            </w:r>
            <w:r w:rsidR="00BD0028" w:rsidRPr="00EE1279">
              <w:rPr>
                <w:rFonts w:cstheme="minorHAnsi"/>
                <w:noProof/>
                <w:lang w:val="en-GB"/>
              </w:rPr>
              <w:t>14 weeks</w:t>
            </w:r>
            <w:r w:rsidRPr="00EE1279">
              <w:rPr>
                <w:rFonts w:cstheme="minorHAnsi"/>
                <w:noProof/>
                <w:lang w:val="en-GB"/>
              </w:rPr>
              <w:t xml:space="preserve"> (</w:t>
            </w:r>
            <w:r w:rsidR="00BD0028" w:rsidRPr="00EE1279">
              <w:rPr>
                <w:rFonts w:cstheme="minorHAnsi"/>
                <w:noProof/>
                <w:lang w:val="en-GB"/>
              </w:rPr>
              <w:t>Germany</w:t>
            </w:r>
            <w:r w:rsidRPr="00EE1279">
              <w:rPr>
                <w:rFonts w:cstheme="minorHAnsi"/>
                <w:noProof/>
                <w:lang w:val="en-GB"/>
              </w:rPr>
              <w:t xml:space="preserve">) – </w:t>
            </w:r>
            <w:r w:rsidR="00BD0028" w:rsidRPr="00EE1279">
              <w:rPr>
                <w:rFonts w:cstheme="minorHAnsi"/>
                <w:noProof/>
                <w:lang w:val="en-GB"/>
              </w:rPr>
              <w:t>58 weeks (Bulgaria)</w:t>
            </w:r>
          </w:p>
          <w:p w14:paraId="213A13A7" w14:textId="77777777" w:rsidR="00EE1279" w:rsidRDefault="00A95D8A" w:rsidP="00EE1279">
            <w:pPr>
              <w:pStyle w:val="ListParagraph"/>
              <w:numPr>
                <w:ilvl w:val="0"/>
                <w:numId w:val="31"/>
              </w:numPr>
              <w:rPr>
                <w:rFonts w:cstheme="minorHAnsi"/>
                <w:noProof/>
                <w:lang w:val="en-GB"/>
              </w:rPr>
            </w:pPr>
            <w:r w:rsidRPr="00EE1279">
              <w:rPr>
                <w:rFonts w:cstheme="minorHAnsi"/>
                <w:b/>
                <w:noProof/>
                <w:lang w:val="en-GB"/>
              </w:rPr>
              <w:t>Paternity Leave</w:t>
            </w:r>
            <w:r w:rsidR="009E0756" w:rsidRPr="00EE1279">
              <w:rPr>
                <w:rFonts w:cstheme="minorHAnsi"/>
                <w:b/>
                <w:noProof/>
                <w:lang w:val="en-GB"/>
              </w:rPr>
              <w:t>, granted to fathers after childbirth</w:t>
            </w:r>
            <w:r w:rsidRPr="00EE1279">
              <w:rPr>
                <w:rFonts w:cstheme="minorHAnsi"/>
                <w:b/>
                <w:noProof/>
                <w:lang w:val="en-GB"/>
              </w:rPr>
              <w:t>:</w:t>
            </w:r>
            <w:r w:rsidRPr="00EE1279">
              <w:rPr>
                <w:rFonts w:cstheme="minorHAnsi"/>
                <w:noProof/>
                <w:lang w:val="en-GB"/>
              </w:rPr>
              <w:t xml:space="preserve"> </w:t>
            </w:r>
            <w:r w:rsidR="00F7416B" w:rsidRPr="00EE1279">
              <w:rPr>
                <w:rFonts w:cstheme="minorHAnsi"/>
                <w:noProof/>
                <w:lang w:val="en-GB"/>
              </w:rPr>
              <w:t>7 countries do not have paternity leave provisions (AT, HR, CY, CZ, DE, LU, SK)</w:t>
            </w:r>
            <w:r w:rsidR="00EE1279">
              <w:rPr>
                <w:rFonts w:cstheme="minorHAnsi"/>
                <w:noProof/>
                <w:lang w:val="en-GB"/>
              </w:rPr>
              <w:t xml:space="preserve">. </w:t>
            </w:r>
            <w:r w:rsidR="00003AB8" w:rsidRPr="00EE1279">
              <w:rPr>
                <w:rFonts w:cstheme="minorHAnsi"/>
                <w:noProof/>
                <w:lang w:val="en-GB"/>
              </w:rPr>
              <w:t>Ranging from 1</w:t>
            </w:r>
            <w:r w:rsidR="00F7416B" w:rsidRPr="00EE1279">
              <w:rPr>
                <w:rFonts w:cstheme="minorHAnsi"/>
                <w:noProof/>
                <w:lang w:val="en-GB"/>
              </w:rPr>
              <w:t xml:space="preserve"> day</w:t>
            </w:r>
            <w:r w:rsidRPr="00EE1279">
              <w:rPr>
                <w:rFonts w:cstheme="minorHAnsi"/>
                <w:noProof/>
                <w:lang w:val="en-GB"/>
              </w:rPr>
              <w:t xml:space="preserve"> (</w:t>
            </w:r>
            <w:r w:rsidR="00F7416B" w:rsidRPr="00EE1279">
              <w:rPr>
                <w:rFonts w:cstheme="minorHAnsi"/>
                <w:noProof/>
                <w:lang w:val="en-GB"/>
              </w:rPr>
              <w:t>Malta</w:t>
            </w:r>
            <w:r w:rsidRPr="00EE1279">
              <w:rPr>
                <w:rFonts w:cstheme="minorHAnsi"/>
                <w:noProof/>
                <w:lang w:val="en-GB"/>
              </w:rPr>
              <w:t xml:space="preserve">) – </w:t>
            </w:r>
            <w:r w:rsidR="00F7416B" w:rsidRPr="00EE1279">
              <w:rPr>
                <w:rFonts w:cstheme="minorHAnsi"/>
                <w:noProof/>
                <w:lang w:val="en-GB"/>
              </w:rPr>
              <w:t>9 weeks (Finland)</w:t>
            </w:r>
          </w:p>
          <w:p w14:paraId="47C266CF" w14:textId="0DD472B3" w:rsidR="00A95D8A" w:rsidRPr="00EE1279" w:rsidRDefault="00A95D8A" w:rsidP="006F7B7B">
            <w:pPr>
              <w:pStyle w:val="ListParagraph"/>
              <w:numPr>
                <w:ilvl w:val="0"/>
                <w:numId w:val="31"/>
              </w:numPr>
              <w:rPr>
                <w:rFonts w:cstheme="minorHAnsi"/>
                <w:noProof/>
                <w:lang w:val="en-GB"/>
              </w:rPr>
            </w:pPr>
            <w:r w:rsidRPr="00EE1279">
              <w:rPr>
                <w:rFonts w:cstheme="minorHAnsi"/>
                <w:b/>
                <w:noProof/>
                <w:lang w:val="en-GB"/>
              </w:rPr>
              <w:t>Parental Leave</w:t>
            </w:r>
            <w:r w:rsidR="009E0756" w:rsidRPr="00EE1279">
              <w:rPr>
                <w:rFonts w:cstheme="minorHAnsi"/>
                <w:b/>
                <w:noProof/>
                <w:lang w:val="en-GB"/>
              </w:rPr>
              <w:t>, granted to both parents after childbirth, useable for a longer period of time</w:t>
            </w:r>
            <w:r w:rsidRPr="00EE1279">
              <w:rPr>
                <w:rFonts w:cstheme="minorHAnsi"/>
                <w:b/>
                <w:noProof/>
                <w:lang w:val="en-GB"/>
              </w:rPr>
              <w:t>:</w:t>
            </w:r>
            <w:r w:rsidRPr="00EE1279">
              <w:rPr>
                <w:rFonts w:cstheme="minorHAnsi"/>
                <w:noProof/>
                <w:lang w:val="en-GB"/>
              </w:rPr>
              <w:t xml:space="preserve"> </w:t>
            </w:r>
            <w:r w:rsidR="00EE1279">
              <w:rPr>
                <w:rFonts w:cstheme="minorHAnsi"/>
                <w:noProof/>
                <w:lang w:val="en-GB"/>
              </w:rPr>
              <w:t xml:space="preserve"> </w:t>
            </w:r>
            <w:r w:rsidR="00361222" w:rsidRPr="00EE1279">
              <w:rPr>
                <w:rFonts w:cstheme="minorHAnsi"/>
                <w:noProof/>
                <w:lang w:val="en-GB"/>
              </w:rPr>
              <w:t xml:space="preserve">All EU Member States have a minimum of 4 months </w:t>
            </w:r>
            <w:r w:rsidR="008F7E87" w:rsidRPr="00EE1279">
              <w:rPr>
                <w:rFonts w:cstheme="minorHAnsi"/>
                <w:noProof/>
                <w:lang w:val="en-GB"/>
              </w:rPr>
              <w:t xml:space="preserve">parental </w:t>
            </w:r>
            <w:r w:rsidR="00361222" w:rsidRPr="00EE1279">
              <w:rPr>
                <w:rFonts w:cstheme="minorHAnsi"/>
                <w:noProof/>
                <w:lang w:val="en-GB"/>
              </w:rPr>
              <w:t>leave in line with the 2010 Parental Leave Directive.</w:t>
            </w:r>
            <w:r w:rsidR="00361222" w:rsidRPr="00EE1279">
              <w:rPr>
                <w:rFonts w:cstheme="minorHAnsi"/>
                <w:noProof/>
                <w:lang w:val="en-GB"/>
              </w:rPr>
              <w:br/>
              <w:t xml:space="preserve">Not all of them have a period of leave that cannot be transferred. </w:t>
            </w:r>
          </w:p>
        </w:tc>
      </w:tr>
    </w:tbl>
    <w:p w14:paraId="7A0DF546" w14:textId="3141EE10" w:rsidR="00832096" w:rsidRDefault="009632D5" w:rsidP="002A1CFE">
      <w:pPr>
        <w:pStyle w:val="Title"/>
        <w:pBdr>
          <w:bottom w:val="none" w:sz="0" w:space="0" w:color="auto"/>
        </w:pBdr>
        <w:jc w:val="center"/>
        <w:rPr>
          <w:rFonts w:asciiTheme="minorHAnsi" w:hAnsiTheme="minorHAnsi" w:cstheme="minorHAnsi"/>
          <w:b/>
          <w:noProof/>
          <w:color w:val="0070C0"/>
          <w:sz w:val="32"/>
          <w:szCs w:val="32"/>
          <w:lang w:val="en-GB"/>
        </w:rPr>
      </w:pPr>
      <w:r>
        <w:rPr>
          <w:rFonts w:asciiTheme="minorHAnsi" w:hAnsiTheme="minorHAnsi" w:cstheme="minorHAnsi"/>
          <w:b/>
          <w:noProof/>
          <w:color w:val="0070C0"/>
          <w:sz w:val="32"/>
          <w:szCs w:val="32"/>
          <w:lang w:val="en-GB"/>
        </w:rPr>
        <w:lastRenderedPageBreak/>
        <w:t xml:space="preserve">Equality Bodies promoting a better </w:t>
      </w:r>
      <w:r w:rsidR="00887914">
        <w:rPr>
          <w:rFonts w:asciiTheme="minorHAnsi" w:hAnsiTheme="minorHAnsi" w:cstheme="minorHAnsi"/>
          <w:b/>
          <w:noProof/>
          <w:color w:val="0070C0"/>
          <w:sz w:val="32"/>
          <w:szCs w:val="32"/>
          <w:lang w:val="en-GB"/>
        </w:rPr>
        <w:t>Work</w:t>
      </w:r>
      <w:r w:rsidR="002D2506">
        <w:rPr>
          <w:rFonts w:asciiTheme="minorHAnsi" w:hAnsiTheme="minorHAnsi" w:cstheme="minorHAnsi"/>
          <w:b/>
          <w:noProof/>
          <w:color w:val="0070C0"/>
          <w:sz w:val="32"/>
          <w:szCs w:val="32"/>
          <w:lang w:val="en-GB"/>
        </w:rPr>
        <w:t xml:space="preserve"> </w:t>
      </w:r>
      <w:r w:rsidR="00887914">
        <w:rPr>
          <w:rFonts w:asciiTheme="minorHAnsi" w:hAnsiTheme="minorHAnsi" w:cstheme="minorHAnsi"/>
          <w:b/>
          <w:noProof/>
          <w:color w:val="0070C0"/>
          <w:sz w:val="32"/>
          <w:szCs w:val="32"/>
          <w:lang w:val="en-GB"/>
        </w:rPr>
        <w:t>Life B</w:t>
      </w:r>
      <w:r>
        <w:rPr>
          <w:rFonts w:asciiTheme="minorHAnsi" w:hAnsiTheme="minorHAnsi" w:cstheme="minorHAnsi"/>
          <w:b/>
          <w:noProof/>
          <w:color w:val="0070C0"/>
          <w:sz w:val="32"/>
          <w:szCs w:val="32"/>
          <w:lang w:val="en-GB"/>
        </w:rPr>
        <w:t>alance for all</w:t>
      </w:r>
    </w:p>
    <w:p w14:paraId="65CC3313" w14:textId="48763C8B" w:rsidR="00B64897" w:rsidRPr="00A55A69" w:rsidRDefault="002A1CFE" w:rsidP="002A1CFE">
      <w:pPr>
        <w:jc w:val="both"/>
        <w:rPr>
          <w:i/>
          <w:lang w:val="en-GB"/>
        </w:rPr>
      </w:pPr>
      <w:r w:rsidRPr="00A55A69">
        <w:rPr>
          <w:i/>
          <w:lang w:val="en-GB"/>
        </w:rPr>
        <w:t>Reconciliation of work and family life and work</w:t>
      </w:r>
      <w:r w:rsidR="002D2506">
        <w:rPr>
          <w:i/>
          <w:lang w:val="en-GB"/>
        </w:rPr>
        <w:t xml:space="preserve"> </w:t>
      </w:r>
      <w:r w:rsidRPr="00A55A69">
        <w:rPr>
          <w:i/>
          <w:lang w:val="en-GB"/>
        </w:rPr>
        <w:t xml:space="preserve">life balance are issues of concern to many equality bodies and have been a focus for important initiatives by a number of </w:t>
      </w:r>
      <w:r w:rsidR="00EE6BBE" w:rsidRPr="00A55A69">
        <w:rPr>
          <w:i/>
          <w:lang w:val="en-GB"/>
        </w:rPr>
        <w:t>them</w:t>
      </w:r>
      <w:r w:rsidRPr="00A55A69">
        <w:rPr>
          <w:i/>
          <w:lang w:val="en-GB"/>
        </w:rPr>
        <w:t>.</w:t>
      </w:r>
      <w:r w:rsidR="00A55A69" w:rsidRPr="00A55A69">
        <w:rPr>
          <w:i/>
          <w:lang w:val="en-GB"/>
        </w:rPr>
        <w:t xml:space="preserve"> The 2013 Equinet Perspective “Equality Bodies promoting a better Work</w:t>
      </w:r>
      <w:r w:rsidR="002D2506">
        <w:rPr>
          <w:i/>
          <w:lang w:val="en-GB"/>
        </w:rPr>
        <w:t xml:space="preserve"> </w:t>
      </w:r>
      <w:r w:rsidR="00A55A69" w:rsidRPr="00A55A69">
        <w:rPr>
          <w:i/>
          <w:lang w:val="en-GB"/>
        </w:rPr>
        <w:t xml:space="preserve">Life Balance for all” gives an overview of the work of and challenges encountered by equality bodies in this area. </w:t>
      </w:r>
    </w:p>
    <w:p w14:paraId="344CB77D" w14:textId="77777777" w:rsidR="00EE01FF" w:rsidRDefault="002A1CFE" w:rsidP="002A1CFE">
      <w:pPr>
        <w:jc w:val="both"/>
        <w:rPr>
          <w:lang w:val="en-GB"/>
        </w:rPr>
      </w:pPr>
      <w:r w:rsidRPr="002A1CFE">
        <w:rPr>
          <w:lang w:val="en-GB"/>
        </w:rPr>
        <w:t xml:space="preserve">Work on this issue has involved a </w:t>
      </w:r>
      <w:r>
        <w:rPr>
          <w:lang w:val="en-GB"/>
        </w:rPr>
        <w:t xml:space="preserve">particular focus on </w:t>
      </w:r>
      <w:r w:rsidRPr="00EE6BBE">
        <w:rPr>
          <w:b/>
          <w:lang w:val="en-GB"/>
        </w:rPr>
        <w:t>eliminating discrimination where women have been denied access to the workplace</w:t>
      </w:r>
      <w:r>
        <w:rPr>
          <w:lang w:val="en-GB"/>
        </w:rPr>
        <w:t xml:space="preserve"> or </w:t>
      </w:r>
      <w:r w:rsidR="00CB1446">
        <w:rPr>
          <w:lang w:val="en-GB"/>
        </w:rPr>
        <w:t>returned to poorer</w:t>
      </w:r>
      <w:r>
        <w:rPr>
          <w:lang w:val="en-GB"/>
        </w:rPr>
        <w:t xml:space="preserve"> </w:t>
      </w:r>
      <w:r w:rsidR="00CB1446">
        <w:rPr>
          <w:b/>
          <w:lang w:val="en-GB"/>
        </w:rPr>
        <w:t xml:space="preserve">working conditions </w:t>
      </w:r>
      <w:r w:rsidRPr="002A1CFE">
        <w:rPr>
          <w:lang w:val="en-GB"/>
        </w:rPr>
        <w:t xml:space="preserve">on foot of their pregnancy or </w:t>
      </w:r>
      <w:r w:rsidR="00CB1446">
        <w:rPr>
          <w:lang w:val="en-GB"/>
        </w:rPr>
        <w:t>after</w:t>
      </w:r>
      <w:r w:rsidRPr="002A1CFE">
        <w:rPr>
          <w:lang w:val="en-GB"/>
        </w:rPr>
        <w:t xml:space="preserve"> ta</w:t>
      </w:r>
      <w:r w:rsidR="00A55A69">
        <w:rPr>
          <w:lang w:val="en-GB"/>
        </w:rPr>
        <w:t>king u</w:t>
      </w:r>
      <w:r w:rsidR="00EE01FF">
        <w:rPr>
          <w:lang w:val="en-GB"/>
        </w:rPr>
        <w:t xml:space="preserve">p maternity leave. </w:t>
      </w:r>
    </w:p>
    <w:p w14:paraId="4DDCE57D" w14:textId="77777777" w:rsidR="00EE01FF" w:rsidRPr="00EE01FF" w:rsidRDefault="00EE01FF" w:rsidP="00EE01FF">
      <w:pPr>
        <w:pStyle w:val="ListParagraph"/>
        <w:numPr>
          <w:ilvl w:val="0"/>
          <w:numId w:val="30"/>
        </w:numPr>
        <w:jc w:val="both"/>
        <w:rPr>
          <w:b/>
          <w:lang w:val="en-GB"/>
        </w:rPr>
      </w:pPr>
      <w:r w:rsidRPr="00EE01FF">
        <w:rPr>
          <w:lang w:val="en-GB"/>
        </w:rPr>
        <w:t>E</w:t>
      </w:r>
      <w:r w:rsidR="00CB1446" w:rsidRPr="00EE01FF">
        <w:rPr>
          <w:lang w:val="en-GB"/>
        </w:rPr>
        <w:t>quality bodies</w:t>
      </w:r>
      <w:r w:rsidR="002A1CFE" w:rsidRPr="00EE01FF">
        <w:rPr>
          <w:lang w:val="en-GB"/>
        </w:rPr>
        <w:t xml:space="preserve"> work on </w:t>
      </w:r>
      <w:r w:rsidR="002A1CFE" w:rsidRPr="00EE01FF">
        <w:rPr>
          <w:b/>
          <w:lang w:val="en-GB"/>
        </w:rPr>
        <w:t>combating gender stereotypes</w:t>
      </w:r>
      <w:r w:rsidR="002A1CFE" w:rsidRPr="00EE01FF">
        <w:rPr>
          <w:lang w:val="en-GB"/>
        </w:rPr>
        <w:t xml:space="preserve"> that assign particular roles to </w:t>
      </w:r>
      <w:r w:rsidR="00577975" w:rsidRPr="00EE01FF">
        <w:rPr>
          <w:lang w:val="en-GB"/>
        </w:rPr>
        <w:t xml:space="preserve">men and women. </w:t>
      </w:r>
    </w:p>
    <w:p w14:paraId="39846788" w14:textId="281862FB" w:rsidR="00EE01FF" w:rsidRPr="00EE01FF" w:rsidRDefault="00577975" w:rsidP="00EE01FF">
      <w:pPr>
        <w:pStyle w:val="ListParagraph"/>
        <w:numPr>
          <w:ilvl w:val="0"/>
          <w:numId w:val="30"/>
        </w:numPr>
        <w:jc w:val="both"/>
        <w:rPr>
          <w:b/>
          <w:lang w:val="en-GB"/>
        </w:rPr>
      </w:pPr>
      <w:r w:rsidRPr="00EE01FF">
        <w:rPr>
          <w:lang w:val="en-GB"/>
        </w:rPr>
        <w:t xml:space="preserve">They </w:t>
      </w:r>
      <w:r w:rsidRPr="00EE01FF">
        <w:rPr>
          <w:b/>
          <w:lang w:val="en-GB"/>
        </w:rPr>
        <w:t>raise awareness</w:t>
      </w:r>
      <w:r w:rsidR="002A1CFE" w:rsidRPr="00EE01FF">
        <w:rPr>
          <w:lang w:val="en-GB"/>
        </w:rPr>
        <w:t xml:space="preserve"> on the different experiences and situations of women and men in the design and provision of statutory leave arr</w:t>
      </w:r>
      <w:r w:rsidRPr="00EE01FF">
        <w:rPr>
          <w:lang w:val="en-GB"/>
        </w:rPr>
        <w:t xml:space="preserve">angements. </w:t>
      </w:r>
    </w:p>
    <w:p w14:paraId="4A9A05DC" w14:textId="77777777" w:rsidR="00EE01FF" w:rsidRPr="00EE01FF" w:rsidRDefault="00577975" w:rsidP="00EE01FF">
      <w:pPr>
        <w:pStyle w:val="ListParagraph"/>
        <w:numPr>
          <w:ilvl w:val="0"/>
          <w:numId w:val="30"/>
        </w:numPr>
        <w:jc w:val="both"/>
        <w:rPr>
          <w:b/>
          <w:lang w:val="en-GB"/>
        </w:rPr>
      </w:pPr>
      <w:r w:rsidRPr="00EE01FF">
        <w:rPr>
          <w:lang w:val="en-GB"/>
        </w:rPr>
        <w:t>Equality bodies</w:t>
      </w:r>
      <w:r w:rsidR="002A1CFE" w:rsidRPr="00EE01FF">
        <w:rPr>
          <w:lang w:val="en-GB"/>
        </w:rPr>
        <w:t xml:space="preserve"> </w:t>
      </w:r>
      <w:r w:rsidR="002A1CFE" w:rsidRPr="00EE01FF">
        <w:rPr>
          <w:b/>
          <w:lang w:val="en-GB"/>
        </w:rPr>
        <w:t>support access</w:t>
      </w:r>
      <w:r w:rsidR="002A1CFE" w:rsidRPr="00EE01FF">
        <w:rPr>
          <w:lang w:val="en-GB"/>
        </w:rPr>
        <w:t xml:space="preserve"> by men to flexible working arrangements and statutory lea</w:t>
      </w:r>
      <w:r w:rsidRPr="00EE01FF">
        <w:rPr>
          <w:lang w:val="en-GB"/>
        </w:rPr>
        <w:t>ve provisions.</w:t>
      </w:r>
      <w:r w:rsidR="002A1CFE" w:rsidRPr="00EE01FF">
        <w:rPr>
          <w:lang w:val="en-GB"/>
        </w:rPr>
        <w:t xml:space="preserve"> </w:t>
      </w:r>
    </w:p>
    <w:p w14:paraId="307ADF05" w14:textId="49DBB6E0" w:rsidR="00356645" w:rsidRPr="00EE01FF" w:rsidRDefault="00577975" w:rsidP="00EE01FF">
      <w:pPr>
        <w:pStyle w:val="ListParagraph"/>
        <w:numPr>
          <w:ilvl w:val="0"/>
          <w:numId w:val="30"/>
        </w:numPr>
        <w:jc w:val="both"/>
        <w:rPr>
          <w:b/>
          <w:lang w:val="en-GB"/>
        </w:rPr>
      </w:pPr>
      <w:r w:rsidRPr="00EE01FF">
        <w:rPr>
          <w:lang w:val="en-GB"/>
        </w:rPr>
        <w:t>They</w:t>
      </w:r>
      <w:r w:rsidR="002A1CFE" w:rsidRPr="00EE01FF">
        <w:rPr>
          <w:lang w:val="en-GB"/>
        </w:rPr>
        <w:t xml:space="preserve"> </w:t>
      </w:r>
      <w:r w:rsidR="002A1CFE" w:rsidRPr="00EE01FF">
        <w:rPr>
          <w:b/>
          <w:lang w:val="en-GB"/>
        </w:rPr>
        <w:t>advanc</w:t>
      </w:r>
      <w:r w:rsidRPr="00EE01FF">
        <w:rPr>
          <w:b/>
          <w:lang w:val="en-GB"/>
        </w:rPr>
        <w:t>e</w:t>
      </w:r>
      <w:r w:rsidR="002A1CFE" w:rsidRPr="00EE01FF">
        <w:rPr>
          <w:b/>
          <w:lang w:val="en-GB"/>
        </w:rPr>
        <w:t xml:space="preserve"> equality</w:t>
      </w:r>
      <w:r w:rsidR="002A1CFE" w:rsidRPr="00EE01FF">
        <w:rPr>
          <w:lang w:val="en-GB"/>
        </w:rPr>
        <w:t xml:space="preserve"> for women by supporting workplace flexibilities that enable </w:t>
      </w:r>
      <w:r w:rsidRPr="00EE01FF">
        <w:rPr>
          <w:lang w:val="en-GB"/>
        </w:rPr>
        <w:t>women to</w:t>
      </w:r>
      <w:r w:rsidR="002A1CFE" w:rsidRPr="00EE01FF">
        <w:rPr>
          <w:lang w:val="en-GB"/>
        </w:rPr>
        <w:t xml:space="preserve"> re</w:t>
      </w:r>
      <w:r w:rsidRPr="00EE01FF">
        <w:rPr>
          <w:lang w:val="en-GB"/>
        </w:rPr>
        <w:t>main</w:t>
      </w:r>
      <w:r w:rsidR="002A1CFE" w:rsidRPr="00EE01FF">
        <w:rPr>
          <w:lang w:val="en-GB"/>
        </w:rPr>
        <w:t xml:space="preserve"> in or </w:t>
      </w:r>
      <w:r w:rsidRPr="00EE01FF">
        <w:rPr>
          <w:lang w:val="en-GB"/>
        </w:rPr>
        <w:t>return</w:t>
      </w:r>
      <w:r w:rsidR="002A1CFE" w:rsidRPr="00EE01FF">
        <w:rPr>
          <w:lang w:val="en-GB"/>
        </w:rPr>
        <w:t xml:space="preserve"> to the workplace</w:t>
      </w:r>
      <w:r w:rsidRPr="00EE01FF">
        <w:rPr>
          <w:lang w:val="en-GB"/>
        </w:rPr>
        <w:t xml:space="preserve"> while having care responsibilities</w:t>
      </w:r>
      <w:r w:rsidR="002A1CFE" w:rsidRPr="00EE01FF">
        <w:rPr>
          <w:lang w:val="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356645" w:rsidRPr="002D2506" w14:paraId="4F3A0447" w14:textId="77777777" w:rsidTr="00F831D1">
        <w:tc>
          <w:tcPr>
            <w:tcW w:w="9212" w:type="dxa"/>
            <w:shd w:val="clear" w:color="auto" w:fill="F2F2F2" w:themeFill="background1" w:themeFillShade="F2"/>
          </w:tcPr>
          <w:p w14:paraId="42EC1D74" w14:textId="6C9BD725" w:rsidR="00356645" w:rsidRPr="00356645" w:rsidRDefault="00356645" w:rsidP="002A1CFE">
            <w:pPr>
              <w:jc w:val="both"/>
              <w:rPr>
                <w:b/>
                <w:color w:val="0070C0"/>
                <w:sz w:val="24"/>
                <w:lang w:val="en-GB"/>
              </w:rPr>
            </w:pPr>
            <w:r w:rsidRPr="00356645">
              <w:rPr>
                <w:b/>
                <w:color w:val="0070C0"/>
                <w:sz w:val="24"/>
                <w:lang w:val="en-GB"/>
              </w:rPr>
              <w:t xml:space="preserve">Discrimination: What do equality bodies see on the ground? </w:t>
            </w:r>
          </w:p>
          <w:p w14:paraId="7732C20E" w14:textId="77777777" w:rsidR="00356645" w:rsidRDefault="00356645" w:rsidP="002A1CFE">
            <w:pPr>
              <w:jc w:val="both"/>
              <w:rPr>
                <w:lang w:val="en-GB"/>
              </w:rPr>
            </w:pPr>
          </w:p>
          <w:p w14:paraId="1B604E6B" w14:textId="60706C64" w:rsidR="00356645" w:rsidRPr="00356645" w:rsidRDefault="00356645" w:rsidP="00356645">
            <w:pPr>
              <w:pStyle w:val="ListParagraph"/>
              <w:numPr>
                <w:ilvl w:val="0"/>
                <w:numId w:val="17"/>
              </w:numPr>
              <w:jc w:val="both"/>
              <w:rPr>
                <w:lang w:val="en-GB"/>
              </w:rPr>
            </w:pPr>
            <w:r w:rsidRPr="00356645">
              <w:rPr>
                <w:lang w:val="en-GB"/>
              </w:rPr>
              <w:t>High levels of pregnancy related discrimination.</w:t>
            </w:r>
          </w:p>
          <w:p w14:paraId="58AD1604" w14:textId="09274973" w:rsidR="00356645" w:rsidRPr="00356645" w:rsidRDefault="00356645" w:rsidP="00356645">
            <w:pPr>
              <w:pStyle w:val="ListParagraph"/>
              <w:numPr>
                <w:ilvl w:val="0"/>
                <w:numId w:val="17"/>
              </w:numPr>
              <w:jc w:val="both"/>
              <w:rPr>
                <w:lang w:val="en-GB"/>
              </w:rPr>
            </w:pPr>
            <w:r w:rsidRPr="00356645">
              <w:rPr>
                <w:lang w:val="en-GB"/>
              </w:rPr>
              <w:t>Discrimination in connection with taking up leave arrangements.</w:t>
            </w:r>
          </w:p>
          <w:p w14:paraId="6B301BE4" w14:textId="77777777" w:rsidR="00356645" w:rsidRDefault="00356645" w:rsidP="00356645">
            <w:pPr>
              <w:pStyle w:val="ListParagraph"/>
              <w:numPr>
                <w:ilvl w:val="0"/>
                <w:numId w:val="17"/>
              </w:numPr>
              <w:jc w:val="both"/>
              <w:rPr>
                <w:lang w:val="en-GB"/>
              </w:rPr>
            </w:pPr>
            <w:r w:rsidRPr="00356645">
              <w:rPr>
                <w:lang w:val="en-GB"/>
              </w:rPr>
              <w:t>Denial of rights in access to statutory leave arrangements.</w:t>
            </w:r>
          </w:p>
          <w:p w14:paraId="677D5BDC" w14:textId="0E707F61" w:rsidR="00356645" w:rsidRPr="00356645" w:rsidRDefault="00356645" w:rsidP="009E0756">
            <w:pPr>
              <w:pStyle w:val="ListParagraph"/>
              <w:numPr>
                <w:ilvl w:val="0"/>
                <w:numId w:val="17"/>
              </w:numPr>
              <w:jc w:val="both"/>
              <w:rPr>
                <w:lang w:val="en-GB"/>
              </w:rPr>
            </w:pPr>
            <w:r w:rsidRPr="00356645">
              <w:rPr>
                <w:lang w:val="en-GB"/>
              </w:rPr>
              <w:t>Discrimination</w:t>
            </w:r>
            <w:r w:rsidR="009E0756">
              <w:rPr>
                <w:lang w:val="en-GB"/>
              </w:rPr>
              <w:t xml:space="preserve"> </w:t>
            </w:r>
            <w:r w:rsidRPr="00356645">
              <w:rPr>
                <w:lang w:val="en-GB"/>
              </w:rPr>
              <w:t>in access to flexible working arrangements.</w:t>
            </w:r>
          </w:p>
        </w:tc>
      </w:tr>
    </w:tbl>
    <w:p w14:paraId="472C0CC9" w14:textId="77777777" w:rsidR="00353415" w:rsidRPr="00353415" w:rsidRDefault="00353415" w:rsidP="00353415">
      <w:pPr>
        <w:jc w:val="center"/>
        <w:rPr>
          <w:b/>
          <w:color w:val="0070C0"/>
          <w:lang w:val="en-GB"/>
        </w:rPr>
      </w:pPr>
    </w:p>
    <w:p w14:paraId="3FD7D126" w14:textId="69EBFFAB" w:rsidR="00353415" w:rsidRPr="00F831D1" w:rsidRDefault="00353415" w:rsidP="00353415">
      <w:pPr>
        <w:jc w:val="center"/>
        <w:rPr>
          <w:b/>
          <w:color w:val="0070C0"/>
          <w:sz w:val="24"/>
          <w:lang w:val="en-GB"/>
        </w:rPr>
      </w:pPr>
      <w:r w:rsidRPr="00F831D1">
        <w:rPr>
          <w:b/>
          <w:color w:val="0070C0"/>
          <w:sz w:val="24"/>
          <w:lang w:val="en-GB"/>
        </w:rPr>
        <w:t>What do equality bodies do to promote work</w:t>
      </w:r>
      <w:r w:rsidR="002D2506">
        <w:rPr>
          <w:b/>
          <w:color w:val="0070C0"/>
          <w:sz w:val="24"/>
          <w:lang w:val="en-GB"/>
        </w:rPr>
        <w:t xml:space="preserve"> </w:t>
      </w:r>
      <w:r w:rsidRPr="00F831D1">
        <w:rPr>
          <w:b/>
          <w:color w:val="0070C0"/>
          <w:sz w:val="24"/>
          <w:lang w:val="en-GB"/>
        </w:rPr>
        <w:t>life balance?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1529"/>
        <w:gridCol w:w="1530"/>
        <w:gridCol w:w="1532"/>
        <w:gridCol w:w="1637"/>
        <w:gridCol w:w="1529"/>
      </w:tblGrid>
      <w:tr w:rsidR="00353415" w14:paraId="1900966B" w14:textId="77777777" w:rsidTr="005D4742">
        <w:tc>
          <w:tcPr>
            <w:tcW w:w="1535" w:type="dxa"/>
            <w:shd w:val="clear" w:color="auto" w:fill="F2F2F2" w:themeFill="background1" w:themeFillShade="F2"/>
            <w:vAlign w:val="center"/>
          </w:tcPr>
          <w:p w14:paraId="04846065" w14:textId="0B3E2CCD" w:rsidR="00353415" w:rsidRDefault="00353415" w:rsidP="00353415">
            <w:pPr>
              <w:jc w:val="center"/>
              <w:rPr>
                <w:lang w:val="en-GB"/>
              </w:rPr>
            </w:pPr>
            <w:r>
              <w:rPr>
                <w:rFonts w:cstheme="minorHAnsi"/>
                <w:noProof/>
                <w:lang w:val="en-GB"/>
              </w:rPr>
              <w:t>Casework</w:t>
            </w:r>
          </w:p>
        </w:tc>
        <w:tc>
          <w:tcPr>
            <w:tcW w:w="1535" w:type="dxa"/>
            <w:shd w:val="clear" w:color="auto" w:fill="F2DBDB" w:themeFill="accent2" w:themeFillTint="33"/>
            <w:vAlign w:val="center"/>
          </w:tcPr>
          <w:p w14:paraId="6572C587" w14:textId="67EF849E" w:rsidR="00353415" w:rsidRDefault="00834098" w:rsidP="00353415">
            <w:pPr>
              <w:jc w:val="center"/>
              <w:rPr>
                <w:lang w:val="en-GB"/>
              </w:rPr>
            </w:pPr>
            <w:r>
              <w:rPr>
                <w:rFonts w:cstheme="minorHAnsi"/>
                <w:noProof/>
                <w:lang w:val="en-GB"/>
              </w:rPr>
              <w:t xml:space="preserve">Support </w:t>
            </w:r>
            <w:r w:rsidR="00353415">
              <w:rPr>
                <w:rFonts w:cstheme="minorHAnsi"/>
                <w:noProof/>
                <w:lang w:val="en-GB"/>
              </w:rPr>
              <w:t>good practice</w:t>
            </w:r>
          </w:p>
        </w:tc>
        <w:tc>
          <w:tcPr>
            <w:tcW w:w="1535" w:type="dxa"/>
            <w:shd w:val="clear" w:color="auto" w:fill="F2F2F2" w:themeFill="background1" w:themeFillShade="F2"/>
            <w:vAlign w:val="center"/>
          </w:tcPr>
          <w:p w14:paraId="7F10A6C7" w14:textId="7DA2D67A" w:rsidR="00353415" w:rsidRDefault="00353415" w:rsidP="00353415">
            <w:pPr>
              <w:jc w:val="center"/>
              <w:rPr>
                <w:lang w:val="en-GB"/>
              </w:rPr>
            </w:pPr>
            <w:r>
              <w:rPr>
                <w:rFonts w:cstheme="minorHAnsi"/>
                <w:noProof/>
                <w:lang w:val="en-GB"/>
              </w:rPr>
              <w:t>Research</w:t>
            </w:r>
          </w:p>
        </w:tc>
        <w:tc>
          <w:tcPr>
            <w:tcW w:w="1535" w:type="dxa"/>
            <w:shd w:val="clear" w:color="auto" w:fill="F2DBDB" w:themeFill="accent2" w:themeFillTint="33"/>
            <w:vAlign w:val="center"/>
          </w:tcPr>
          <w:p w14:paraId="3CDB1F39" w14:textId="1D807549" w:rsidR="00353415" w:rsidRDefault="00353415" w:rsidP="00353415">
            <w:pPr>
              <w:jc w:val="center"/>
              <w:rPr>
                <w:lang w:val="en-GB"/>
              </w:rPr>
            </w:pPr>
            <w:r>
              <w:rPr>
                <w:rFonts w:cstheme="minorHAnsi"/>
                <w:noProof/>
                <w:lang w:val="en-GB"/>
              </w:rPr>
              <w:t>Awareness Raising</w:t>
            </w:r>
          </w:p>
        </w:tc>
        <w:tc>
          <w:tcPr>
            <w:tcW w:w="1536" w:type="dxa"/>
            <w:shd w:val="clear" w:color="auto" w:fill="F2F2F2" w:themeFill="background1" w:themeFillShade="F2"/>
            <w:vAlign w:val="center"/>
          </w:tcPr>
          <w:p w14:paraId="3D499C28" w14:textId="493270BE" w:rsidR="00353415" w:rsidRDefault="00353415" w:rsidP="00353415">
            <w:pPr>
              <w:jc w:val="center"/>
              <w:rPr>
                <w:lang w:val="en-GB"/>
              </w:rPr>
            </w:pPr>
            <w:r>
              <w:rPr>
                <w:rFonts w:cstheme="minorHAnsi"/>
                <w:noProof/>
                <w:lang w:val="en-GB"/>
              </w:rPr>
              <w:t>Communication</w:t>
            </w:r>
          </w:p>
        </w:tc>
        <w:tc>
          <w:tcPr>
            <w:tcW w:w="1536" w:type="dxa"/>
            <w:shd w:val="clear" w:color="auto" w:fill="F2DBDB" w:themeFill="accent2" w:themeFillTint="33"/>
            <w:vAlign w:val="center"/>
          </w:tcPr>
          <w:p w14:paraId="4BF88B30" w14:textId="0EF6AAB2" w:rsidR="00353415" w:rsidRDefault="00353415" w:rsidP="00353415">
            <w:pPr>
              <w:jc w:val="center"/>
              <w:rPr>
                <w:lang w:val="en-GB"/>
              </w:rPr>
            </w:pPr>
            <w:r>
              <w:rPr>
                <w:rFonts w:cstheme="minorHAnsi"/>
                <w:noProof/>
                <w:lang w:val="en-GB"/>
              </w:rPr>
              <w:t>Policy work</w:t>
            </w:r>
          </w:p>
        </w:tc>
      </w:tr>
    </w:tbl>
    <w:p w14:paraId="17833543" w14:textId="77777777" w:rsidR="00353415" w:rsidRDefault="00353415" w:rsidP="002A1CFE">
      <w:pPr>
        <w:jc w:val="both"/>
        <w:rPr>
          <w:lang w:val="en-GB"/>
        </w:rPr>
      </w:pPr>
    </w:p>
    <w:p w14:paraId="0F547517" w14:textId="77777777" w:rsidR="00DB5898" w:rsidRPr="00DC196E" w:rsidRDefault="00B64897" w:rsidP="00DC196E">
      <w:pPr>
        <w:jc w:val="center"/>
        <w:rPr>
          <w:rFonts w:cstheme="minorHAnsi"/>
          <w:b/>
          <w:noProof/>
          <w:color w:val="0070C0"/>
          <w:sz w:val="24"/>
          <w:lang w:val="en-GB"/>
        </w:rPr>
      </w:pPr>
      <w:r w:rsidRPr="00DC196E">
        <w:rPr>
          <w:rFonts w:cstheme="minorHAnsi"/>
          <w:b/>
          <w:noProof/>
          <w:color w:val="0070C0"/>
          <w:sz w:val="24"/>
          <w:lang w:val="en-GB"/>
        </w:rPr>
        <w:t>Challenges</w:t>
      </w:r>
    </w:p>
    <w:p w14:paraId="67693977" w14:textId="1A49B8EE" w:rsidR="00A55A69" w:rsidRDefault="00F831D1" w:rsidP="009322D6">
      <w:pPr>
        <w:pStyle w:val="ListParagraph"/>
        <w:numPr>
          <w:ilvl w:val="0"/>
          <w:numId w:val="18"/>
        </w:numPr>
        <w:spacing w:line="240" w:lineRule="auto"/>
        <w:jc w:val="both"/>
        <w:rPr>
          <w:rFonts w:cstheme="minorHAnsi"/>
          <w:noProof/>
          <w:lang w:val="en-GB"/>
        </w:rPr>
      </w:pPr>
      <w:r>
        <w:rPr>
          <w:rFonts w:cstheme="minorHAnsi"/>
          <w:noProof/>
          <w:lang w:val="en-GB"/>
        </w:rPr>
        <w:t xml:space="preserve">Under-reporting due to fear of victimisation. </w:t>
      </w:r>
    </w:p>
    <w:p w14:paraId="19485350" w14:textId="06B0D72B" w:rsidR="00F831D1" w:rsidRDefault="00F831D1" w:rsidP="009322D6">
      <w:pPr>
        <w:pStyle w:val="ListParagraph"/>
        <w:numPr>
          <w:ilvl w:val="0"/>
          <w:numId w:val="18"/>
        </w:numPr>
        <w:spacing w:line="240" w:lineRule="auto"/>
        <w:jc w:val="both"/>
        <w:rPr>
          <w:rFonts w:cstheme="minorHAnsi"/>
          <w:noProof/>
          <w:lang w:val="en-GB"/>
        </w:rPr>
      </w:pPr>
      <w:r>
        <w:rPr>
          <w:rFonts w:cstheme="minorHAnsi"/>
          <w:noProof/>
          <w:lang w:val="en-GB"/>
        </w:rPr>
        <w:t xml:space="preserve">Lack of human and financial resources of equality bodies. </w:t>
      </w:r>
    </w:p>
    <w:p w14:paraId="082DDB72" w14:textId="5A475AA2" w:rsidR="00020606" w:rsidRPr="00020606" w:rsidRDefault="00F831D1" w:rsidP="009322D6">
      <w:pPr>
        <w:pStyle w:val="ListParagraph"/>
        <w:numPr>
          <w:ilvl w:val="0"/>
          <w:numId w:val="18"/>
        </w:numPr>
        <w:spacing w:line="240" w:lineRule="auto"/>
        <w:jc w:val="both"/>
        <w:rPr>
          <w:rFonts w:cstheme="minorHAnsi"/>
          <w:noProof/>
          <w:lang w:val="en-GB"/>
        </w:rPr>
      </w:pPr>
      <w:r>
        <w:rPr>
          <w:rFonts w:cstheme="minorHAnsi"/>
          <w:noProof/>
          <w:lang w:val="en-GB"/>
        </w:rPr>
        <w:t xml:space="preserve">In </w:t>
      </w:r>
      <w:r w:rsidR="00020606">
        <w:rPr>
          <w:rFonts w:cstheme="minorHAnsi"/>
          <w:noProof/>
          <w:lang w:val="en-GB"/>
        </w:rPr>
        <w:t>a</w:t>
      </w:r>
      <w:r>
        <w:rPr>
          <w:rFonts w:cstheme="minorHAnsi"/>
          <w:noProof/>
          <w:lang w:val="en-GB"/>
        </w:rPr>
        <w:t xml:space="preserve"> context of </w:t>
      </w:r>
      <w:r w:rsidR="00020606">
        <w:rPr>
          <w:rFonts w:cstheme="minorHAnsi"/>
          <w:noProof/>
          <w:lang w:val="en-GB"/>
        </w:rPr>
        <w:t>high levels o</w:t>
      </w:r>
      <w:r w:rsidR="00C064FC">
        <w:rPr>
          <w:rFonts w:cstheme="minorHAnsi"/>
          <w:noProof/>
          <w:lang w:val="en-GB"/>
        </w:rPr>
        <w:t>f</w:t>
      </w:r>
      <w:r w:rsidR="00020606">
        <w:rPr>
          <w:rFonts w:cstheme="minorHAnsi"/>
          <w:noProof/>
          <w:lang w:val="en-GB"/>
        </w:rPr>
        <w:t xml:space="preserve"> </w:t>
      </w:r>
      <w:r w:rsidR="00E60C21">
        <w:rPr>
          <w:rFonts w:cstheme="minorHAnsi"/>
          <w:noProof/>
          <w:lang w:val="en-GB"/>
        </w:rPr>
        <w:t>un</w:t>
      </w:r>
      <w:r w:rsidR="00020606">
        <w:rPr>
          <w:rFonts w:cstheme="minorHAnsi"/>
          <w:noProof/>
          <w:lang w:val="en-GB"/>
        </w:rPr>
        <w:t>employment, some</w:t>
      </w:r>
      <w:r w:rsidR="00020606" w:rsidRPr="00020606">
        <w:rPr>
          <w:rFonts w:cstheme="minorHAnsi"/>
          <w:noProof/>
          <w:lang w:val="en-GB"/>
        </w:rPr>
        <w:t xml:space="preserve"> social partner organisations and individual employers can be</w:t>
      </w:r>
      <w:r w:rsidR="00020606">
        <w:rPr>
          <w:rFonts w:cstheme="minorHAnsi"/>
          <w:noProof/>
          <w:lang w:val="en-GB"/>
        </w:rPr>
        <w:t xml:space="preserve"> </w:t>
      </w:r>
      <w:r w:rsidR="00020606" w:rsidRPr="00020606">
        <w:rPr>
          <w:rFonts w:cstheme="minorHAnsi"/>
          <w:noProof/>
          <w:lang w:val="en-GB"/>
        </w:rPr>
        <w:t>disinterested in taking action on reconciliation of work and family life and work</w:t>
      </w:r>
      <w:r w:rsidR="002D2506">
        <w:rPr>
          <w:rFonts w:cstheme="minorHAnsi"/>
          <w:noProof/>
          <w:lang w:val="en-GB"/>
        </w:rPr>
        <w:t xml:space="preserve"> </w:t>
      </w:r>
      <w:r w:rsidR="00020606" w:rsidRPr="00020606">
        <w:rPr>
          <w:rFonts w:cstheme="minorHAnsi"/>
          <w:noProof/>
          <w:lang w:val="en-GB"/>
        </w:rPr>
        <w:t>life</w:t>
      </w:r>
      <w:r w:rsidR="00E60C21">
        <w:rPr>
          <w:rFonts w:cstheme="minorHAnsi"/>
          <w:noProof/>
          <w:lang w:val="en-GB"/>
        </w:rPr>
        <w:t xml:space="preserve"> balance issues</w:t>
      </w:r>
      <w:r w:rsidR="00C064FC">
        <w:rPr>
          <w:rFonts w:cstheme="minorHAnsi"/>
          <w:noProof/>
          <w:lang w:val="en-GB"/>
        </w:rPr>
        <w:t>.</w:t>
      </w:r>
      <w:r w:rsidR="00020606" w:rsidRPr="00020606">
        <w:rPr>
          <w:lang w:val="en-US"/>
        </w:rPr>
        <w:t xml:space="preserve"> </w:t>
      </w:r>
    </w:p>
    <w:p w14:paraId="493B3B73" w14:textId="0C71F70A" w:rsidR="00F831D1" w:rsidRPr="00020606" w:rsidRDefault="00020606" w:rsidP="009322D6">
      <w:pPr>
        <w:pStyle w:val="ListParagraph"/>
        <w:numPr>
          <w:ilvl w:val="0"/>
          <w:numId w:val="18"/>
        </w:numPr>
        <w:spacing w:line="240" w:lineRule="auto"/>
        <w:jc w:val="both"/>
        <w:rPr>
          <w:rFonts w:cstheme="minorHAnsi"/>
          <w:noProof/>
          <w:lang w:val="en-GB"/>
        </w:rPr>
      </w:pPr>
      <w:r w:rsidRPr="00020606">
        <w:rPr>
          <w:rFonts w:cstheme="minorHAnsi"/>
          <w:noProof/>
          <w:lang w:val="en-GB"/>
        </w:rPr>
        <w:t>Fiscal consolidation measures have impacted negatively on the supply</w:t>
      </w:r>
      <w:r>
        <w:rPr>
          <w:rFonts w:cstheme="minorHAnsi"/>
          <w:noProof/>
          <w:lang w:val="en-GB"/>
        </w:rPr>
        <w:t xml:space="preserve"> </w:t>
      </w:r>
      <w:r w:rsidRPr="00020606">
        <w:rPr>
          <w:rFonts w:cstheme="minorHAnsi"/>
          <w:noProof/>
          <w:lang w:val="en-GB"/>
        </w:rPr>
        <w:t>of public sector care services.</w:t>
      </w:r>
    </w:p>
    <w:p w14:paraId="58BE2B04" w14:textId="0A733EBB" w:rsidR="00020606" w:rsidRPr="00020606" w:rsidRDefault="005D4742" w:rsidP="009322D6">
      <w:pPr>
        <w:pStyle w:val="ListParagraph"/>
        <w:numPr>
          <w:ilvl w:val="0"/>
          <w:numId w:val="18"/>
        </w:numPr>
        <w:spacing w:line="240" w:lineRule="auto"/>
        <w:jc w:val="both"/>
        <w:rPr>
          <w:rFonts w:cstheme="minorHAnsi"/>
          <w:noProof/>
          <w:lang w:val="en-GB"/>
        </w:rPr>
      </w:pPr>
      <w:r w:rsidRPr="005D4742">
        <w:rPr>
          <w:rFonts w:cstheme="minorHAnsi"/>
          <w:noProof/>
          <w:lang w:val="en-GB"/>
        </w:rPr>
        <w:t>The arena of private or family life can be seen as beyond the mandate of the equality body or any statutory intervention</w:t>
      </w:r>
      <w:r w:rsidR="00C064FC">
        <w:rPr>
          <w:rFonts w:cstheme="minorHAnsi"/>
          <w:noProof/>
          <w:lang w:val="en-GB"/>
        </w:rPr>
        <w:t>.</w:t>
      </w:r>
    </w:p>
    <w:p w14:paraId="4DEF3B28" w14:textId="571507C6" w:rsidR="0029104B" w:rsidRDefault="0029104B" w:rsidP="00963F45">
      <w:pPr>
        <w:rPr>
          <w:lang w:val="en-US"/>
        </w:rPr>
      </w:pPr>
      <w:r w:rsidRPr="0029104B">
        <w:rPr>
          <w:lang w:val="en-US"/>
        </w:rPr>
        <w:t xml:space="preserve"> </w:t>
      </w:r>
    </w:p>
    <w:p w14:paraId="68C01EF6" w14:textId="77777777" w:rsidR="007A31B6" w:rsidRDefault="007A31B6">
      <w:pPr>
        <w:rPr>
          <w:b/>
          <w:noProof/>
          <w:color w:val="0070C0"/>
          <w:sz w:val="28"/>
          <w:lang w:val="en-GB"/>
        </w:rPr>
      </w:pPr>
      <w:r>
        <w:rPr>
          <w:b/>
          <w:noProof/>
          <w:color w:val="0070C0"/>
          <w:sz w:val="28"/>
          <w:lang w:val="en-GB"/>
        </w:rPr>
        <w:br w:type="page"/>
      </w:r>
    </w:p>
    <w:p w14:paraId="18625348" w14:textId="5CD81590" w:rsidR="00963F45" w:rsidRPr="0029104B" w:rsidRDefault="0029104B" w:rsidP="0029104B">
      <w:pPr>
        <w:jc w:val="center"/>
        <w:rPr>
          <w:b/>
          <w:noProof/>
          <w:color w:val="0070C0"/>
          <w:sz w:val="28"/>
          <w:lang w:val="en-GB"/>
        </w:rPr>
      </w:pPr>
      <w:r w:rsidRPr="0029104B">
        <w:rPr>
          <w:b/>
          <w:noProof/>
          <w:color w:val="0070C0"/>
          <w:sz w:val="28"/>
          <w:lang w:val="en-GB"/>
        </w:rPr>
        <w:lastRenderedPageBreak/>
        <w:t>Equality Bodies’ practices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212"/>
      </w:tblGrid>
      <w:tr w:rsidR="0029104B" w:rsidRPr="002D2506" w14:paraId="2CA61F71" w14:textId="77777777" w:rsidTr="00415EE7">
        <w:trPr>
          <w:trHeight w:val="5544"/>
        </w:trPr>
        <w:tc>
          <w:tcPr>
            <w:tcW w:w="9212" w:type="dxa"/>
          </w:tcPr>
          <w:p w14:paraId="02D1F92C" w14:textId="087C8EF3" w:rsidR="0029104B" w:rsidRPr="0029104B" w:rsidRDefault="0029104B" w:rsidP="00963F45">
            <w:pPr>
              <w:rPr>
                <w:b/>
                <w:noProof/>
                <w:color w:val="0070C0"/>
                <w:sz w:val="28"/>
                <w:lang w:val="en-GB"/>
              </w:rPr>
            </w:pPr>
            <w:r w:rsidRPr="0029104B">
              <w:rPr>
                <w:b/>
                <w:noProof/>
                <w:color w:val="0070C0"/>
                <w:sz w:val="28"/>
                <w:lang w:val="en-GB"/>
              </w:rPr>
              <w:t>Equality and Human Rights Commission,</w:t>
            </w:r>
            <w:r w:rsidR="00884F63">
              <w:rPr>
                <w:b/>
                <w:noProof/>
                <w:color w:val="0070C0"/>
                <w:sz w:val="28"/>
                <w:lang w:val="en-GB"/>
              </w:rPr>
              <w:t xml:space="preserve"> UK</w:t>
            </w:r>
            <w:r w:rsidRPr="0029104B">
              <w:rPr>
                <w:b/>
                <w:noProof/>
                <w:color w:val="0070C0"/>
                <w:sz w:val="28"/>
                <w:lang w:val="en-GB"/>
              </w:rPr>
              <w:t xml:space="preserve"> Great Britain</w:t>
            </w:r>
          </w:p>
          <w:p w14:paraId="5297EDA9" w14:textId="77777777" w:rsidR="0029104B" w:rsidRDefault="0029104B" w:rsidP="00963F45">
            <w:pPr>
              <w:rPr>
                <w:noProof/>
                <w:lang w:val="en-GB"/>
              </w:rPr>
            </w:pPr>
          </w:p>
          <w:p w14:paraId="5A674764" w14:textId="6BC17D6E" w:rsidR="0029104B" w:rsidRDefault="00EE1279" w:rsidP="0029104B">
            <w:pPr>
              <w:rPr>
                <w:b/>
                <w:noProof/>
                <w:sz w:val="24"/>
                <w:lang w:val="en-GB"/>
              </w:rPr>
            </w:pPr>
            <w:r>
              <w:rPr>
                <w:b/>
                <w:noProof/>
                <w:sz w:val="24"/>
                <w:lang w:eastAsia="fr-BE"/>
              </w:rPr>
              <w:drawing>
                <wp:anchor distT="0" distB="0" distL="114300" distR="114300" simplePos="0" relativeHeight="251659264" behindDoc="0" locked="0" layoutInCell="1" allowOverlap="1" wp14:anchorId="280F6EC9" wp14:editId="54D44939">
                  <wp:simplePos x="0" y="0"/>
                  <wp:positionH relativeFrom="column">
                    <wp:posOffset>4253230</wp:posOffset>
                  </wp:positionH>
                  <wp:positionV relativeFrom="paragraph">
                    <wp:posOffset>-1270</wp:posOffset>
                  </wp:positionV>
                  <wp:extent cx="1391920" cy="16383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1920" cy="1638300"/>
                          </a:xfrm>
                          <a:prstGeom prst="rect">
                            <a:avLst/>
                          </a:prstGeom>
                          <a:noFill/>
                        </pic:spPr>
                      </pic:pic>
                    </a:graphicData>
                  </a:graphic>
                  <wp14:sizeRelH relativeFrom="page">
                    <wp14:pctWidth>0</wp14:pctWidth>
                  </wp14:sizeRelH>
                  <wp14:sizeRelV relativeFrom="page">
                    <wp14:pctHeight>0</wp14:pctHeight>
                  </wp14:sizeRelV>
                </wp:anchor>
              </w:drawing>
            </w:r>
            <w:r w:rsidR="0029104B" w:rsidRPr="0029104B">
              <w:rPr>
                <w:b/>
                <w:noProof/>
                <w:sz w:val="24"/>
                <w:lang w:val="en-GB"/>
              </w:rPr>
              <w:t>Research on pregnancy and maternity discrimination</w:t>
            </w:r>
          </w:p>
          <w:p w14:paraId="49D3A205" w14:textId="77777777" w:rsidR="0029104B" w:rsidRDefault="0029104B" w:rsidP="0029104B">
            <w:pPr>
              <w:rPr>
                <w:b/>
                <w:noProof/>
                <w:lang w:val="en-GB"/>
              </w:rPr>
            </w:pPr>
          </w:p>
          <w:p w14:paraId="5ED6A986" w14:textId="3929B0A4" w:rsidR="00EE0A45" w:rsidRDefault="00EE0A45" w:rsidP="00EE0A45">
            <w:pPr>
              <w:rPr>
                <w:noProof/>
                <w:lang w:val="en-GB"/>
              </w:rPr>
            </w:pPr>
            <w:r>
              <w:rPr>
                <w:noProof/>
                <w:lang w:val="en-GB"/>
              </w:rPr>
              <w:t>In 2016, the British equality body</w:t>
            </w:r>
            <w:r w:rsidR="00EE01FF">
              <w:rPr>
                <w:noProof/>
                <w:lang w:val="en-GB"/>
              </w:rPr>
              <w:t xml:space="preserve"> published</w:t>
            </w:r>
            <w:hyperlink r:id="rId11" w:history="1">
              <w:r w:rsidRPr="00CF5E50">
                <w:rPr>
                  <w:rStyle w:val="Hyperlink"/>
                  <w:noProof/>
                  <w:lang w:val="en-GB"/>
                </w:rPr>
                <w:t xml:space="preserve"> research</w:t>
              </w:r>
            </w:hyperlink>
            <w:r>
              <w:rPr>
                <w:noProof/>
                <w:lang w:val="en-GB"/>
              </w:rPr>
              <w:t xml:space="preserve"> on pregnancy and maternity discrimination at the workplace. </w:t>
            </w:r>
          </w:p>
          <w:p w14:paraId="056A2AF6" w14:textId="77777777" w:rsidR="00EE0A45" w:rsidRDefault="00EE0A45" w:rsidP="00EE0A45">
            <w:pPr>
              <w:rPr>
                <w:noProof/>
                <w:lang w:val="en-GB"/>
              </w:rPr>
            </w:pPr>
          </w:p>
          <w:p w14:paraId="54FEC4AE" w14:textId="6F09F8D4" w:rsidR="00047A1C" w:rsidRDefault="00EE0A45" w:rsidP="00EE0A45">
            <w:pPr>
              <w:rPr>
                <w:noProof/>
                <w:lang w:val="en-GB"/>
              </w:rPr>
            </w:pPr>
            <w:r w:rsidRPr="00EE0A45">
              <w:rPr>
                <w:noProof/>
                <w:lang w:val="en-GB"/>
              </w:rPr>
              <w:t xml:space="preserve">The main findings of the study show that 84% of employers believe that supporting women in the workplace is an asset and that female employees are committed workers. However, the research also revealed that 77% of UK mothers reported negative experiences and </w:t>
            </w:r>
            <w:r w:rsidR="00884F63" w:rsidRPr="00EE0A45">
              <w:rPr>
                <w:noProof/>
                <w:lang w:val="en-GB"/>
              </w:rPr>
              <w:t>possibl</w:t>
            </w:r>
            <w:r w:rsidR="00884F63">
              <w:rPr>
                <w:noProof/>
                <w:lang w:val="en-GB"/>
              </w:rPr>
              <w:t>e</w:t>
            </w:r>
            <w:r w:rsidR="00884F63" w:rsidRPr="00EE0A45">
              <w:rPr>
                <w:noProof/>
                <w:lang w:val="en-GB"/>
              </w:rPr>
              <w:t xml:space="preserve"> </w:t>
            </w:r>
            <w:r w:rsidRPr="00EE0A45">
              <w:rPr>
                <w:noProof/>
                <w:lang w:val="en-GB"/>
              </w:rPr>
              <w:t>discrimination. Drawing from the information collected, the EHRC proposed six recommendations:</w:t>
            </w:r>
          </w:p>
          <w:p w14:paraId="4CCC3295" w14:textId="77777777" w:rsidR="00EE0A45" w:rsidRPr="00CF5E50" w:rsidRDefault="00EE0A45" w:rsidP="00EE0A45">
            <w:pPr>
              <w:rPr>
                <w:noProof/>
                <w:lang w:val="en-GB"/>
              </w:rPr>
            </w:pPr>
          </w:p>
          <w:p w14:paraId="06DE2E43" w14:textId="71392311" w:rsidR="00CF5E50" w:rsidRPr="00CF5E50" w:rsidRDefault="00CF5E50" w:rsidP="00CF5E50">
            <w:pPr>
              <w:pStyle w:val="ListParagraph"/>
              <w:numPr>
                <w:ilvl w:val="0"/>
                <w:numId w:val="24"/>
              </w:numPr>
              <w:rPr>
                <w:noProof/>
                <w:lang w:val="en-GB"/>
              </w:rPr>
            </w:pPr>
            <w:r w:rsidRPr="00CF5E50">
              <w:rPr>
                <w:noProof/>
                <w:lang w:val="en-GB"/>
              </w:rPr>
              <w:t>Government shows leadership for change.</w:t>
            </w:r>
          </w:p>
          <w:p w14:paraId="14A177B7" w14:textId="38033524" w:rsidR="00CF5E50" w:rsidRPr="00CF5E50" w:rsidRDefault="00CF5E50" w:rsidP="00CF5E50">
            <w:pPr>
              <w:pStyle w:val="ListParagraph"/>
              <w:numPr>
                <w:ilvl w:val="0"/>
                <w:numId w:val="24"/>
              </w:numPr>
              <w:rPr>
                <w:noProof/>
                <w:lang w:val="en-GB"/>
              </w:rPr>
            </w:pPr>
            <w:r w:rsidRPr="00CF5E50">
              <w:rPr>
                <w:noProof/>
                <w:lang w:val="en-GB"/>
              </w:rPr>
              <w:t>Employers offer more family friendly workplaces and open communication.</w:t>
            </w:r>
          </w:p>
          <w:p w14:paraId="1F564B4A" w14:textId="21EDC869" w:rsidR="00CF5E50" w:rsidRPr="00CF5E50" w:rsidRDefault="00CF5E50" w:rsidP="00CF5E50">
            <w:pPr>
              <w:pStyle w:val="ListParagraph"/>
              <w:numPr>
                <w:ilvl w:val="0"/>
                <w:numId w:val="24"/>
              </w:numPr>
              <w:rPr>
                <w:noProof/>
                <w:lang w:val="en-GB"/>
              </w:rPr>
            </w:pPr>
            <w:r w:rsidRPr="00CF5E50">
              <w:rPr>
                <w:noProof/>
                <w:lang w:val="en-GB"/>
              </w:rPr>
              <w:t>There is better access to information and advice for women and employers.</w:t>
            </w:r>
          </w:p>
          <w:p w14:paraId="4108B284" w14:textId="0CDDB70C" w:rsidR="00CF5E50" w:rsidRPr="00CF5E50" w:rsidRDefault="00CF5E50" w:rsidP="00CF5E50">
            <w:pPr>
              <w:pStyle w:val="ListParagraph"/>
              <w:numPr>
                <w:ilvl w:val="0"/>
                <w:numId w:val="24"/>
              </w:numPr>
              <w:rPr>
                <w:noProof/>
                <w:lang w:val="en-GB"/>
              </w:rPr>
            </w:pPr>
            <w:r w:rsidRPr="00CF5E50">
              <w:rPr>
                <w:noProof/>
                <w:lang w:val="en-GB"/>
              </w:rPr>
              <w:t>Health and safety risks are better managed by employers.</w:t>
            </w:r>
          </w:p>
          <w:p w14:paraId="42BABCD6" w14:textId="77777777" w:rsidR="00CF5E50" w:rsidRPr="00CF5E50" w:rsidRDefault="00CF5E50" w:rsidP="00CF5E50">
            <w:pPr>
              <w:pStyle w:val="ListParagraph"/>
              <w:numPr>
                <w:ilvl w:val="0"/>
                <w:numId w:val="24"/>
              </w:numPr>
              <w:rPr>
                <w:noProof/>
                <w:lang w:val="en-GB"/>
              </w:rPr>
            </w:pPr>
            <w:r w:rsidRPr="00CF5E50">
              <w:rPr>
                <w:noProof/>
                <w:lang w:val="en-GB"/>
              </w:rPr>
              <w:t>Access to justice is improved for women bringing claims.</w:t>
            </w:r>
          </w:p>
          <w:p w14:paraId="208368CE" w14:textId="10EB23F4" w:rsidR="00EE0A45" w:rsidRPr="00CF5E50" w:rsidRDefault="00CF5E50" w:rsidP="00CF5E50">
            <w:pPr>
              <w:pStyle w:val="ListParagraph"/>
              <w:numPr>
                <w:ilvl w:val="0"/>
                <w:numId w:val="24"/>
              </w:numPr>
              <w:rPr>
                <w:noProof/>
                <w:lang w:val="en-GB"/>
              </w:rPr>
            </w:pPr>
            <w:r w:rsidRPr="00CF5E50">
              <w:rPr>
                <w:noProof/>
                <w:lang w:val="en-GB"/>
              </w:rPr>
              <w:t>Progress towards a fairer workplace is tracked.</w:t>
            </w:r>
          </w:p>
          <w:p w14:paraId="27CF02B0" w14:textId="77777777" w:rsidR="00CF5E50" w:rsidRPr="00CF5E50" w:rsidRDefault="00CF5E50" w:rsidP="00CF5E50">
            <w:pPr>
              <w:pStyle w:val="ListParagraph"/>
              <w:rPr>
                <w:b/>
                <w:noProof/>
                <w:lang w:val="en-GB"/>
              </w:rPr>
            </w:pPr>
          </w:p>
          <w:p w14:paraId="70A3DAD0" w14:textId="77777777" w:rsidR="00EE0A45" w:rsidRDefault="00EE0A45" w:rsidP="00CF5E50">
            <w:pPr>
              <w:rPr>
                <w:noProof/>
                <w:lang w:val="en-GB"/>
              </w:rPr>
            </w:pPr>
            <w:r w:rsidRPr="00EE0A45">
              <w:rPr>
                <w:noProof/>
                <w:lang w:val="en-GB"/>
              </w:rPr>
              <w:t xml:space="preserve">Outcomes of the project also include an </w:t>
            </w:r>
            <w:hyperlink r:id="rId12" w:history="1">
              <w:r w:rsidRPr="00EE0A45">
                <w:rPr>
                  <w:rStyle w:val="Hyperlink"/>
                  <w:noProof/>
                  <w:lang w:val="en-GB"/>
                </w:rPr>
                <w:t>employer toolkit</w:t>
              </w:r>
            </w:hyperlink>
            <w:r w:rsidRPr="00EE0A45">
              <w:rPr>
                <w:noProof/>
                <w:lang w:val="en-GB"/>
              </w:rPr>
              <w:t>.</w:t>
            </w:r>
            <w:r w:rsidR="004E6D22">
              <w:rPr>
                <w:noProof/>
                <w:lang w:val="en-GB"/>
              </w:rPr>
              <w:t xml:space="preserve"> </w:t>
            </w:r>
          </w:p>
          <w:p w14:paraId="56058402" w14:textId="39EBFCB1" w:rsidR="00415EE7" w:rsidRPr="00EE0A45" w:rsidRDefault="00415EE7" w:rsidP="00CF5E50">
            <w:pPr>
              <w:rPr>
                <w:noProof/>
                <w:lang w:val="en-GB"/>
              </w:rPr>
            </w:pPr>
          </w:p>
        </w:tc>
      </w:tr>
      <w:tr w:rsidR="0029104B" w:rsidRPr="002D2506" w14:paraId="305ED0EA" w14:textId="77777777" w:rsidTr="00415EE7">
        <w:tc>
          <w:tcPr>
            <w:tcW w:w="9212" w:type="dxa"/>
          </w:tcPr>
          <w:p w14:paraId="20C6FCD7" w14:textId="2D84A67E" w:rsidR="0029104B" w:rsidRPr="005023FE" w:rsidRDefault="0086550B" w:rsidP="00963F45">
            <w:pPr>
              <w:rPr>
                <w:b/>
                <w:noProof/>
                <w:color w:val="0070C0"/>
                <w:sz w:val="28"/>
                <w:szCs w:val="28"/>
                <w:lang w:val="en-GB"/>
              </w:rPr>
            </w:pPr>
            <w:r w:rsidRPr="005023FE">
              <w:rPr>
                <w:b/>
                <w:noProof/>
                <w:color w:val="0070C0"/>
                <w:sz w:val="28"/>
                <w:szCs w:val="28"/>
                <w:lang w:val="en-GB"/>
              </w:rPr>
              <w:t>Equality Commission for Northern Ireland</w:t>
            </w:r>
            <w:r w:rsidR="00884F63">
              <w:rPr>
                <w:b/>
                <w:noProof/>
                <w:color w:val="0070C0"/>
                <w:sz w:val="28"/>
                <w:szCs w:val="28"/>
                <w:lang w:val="en-GB"/>
              </w:rPr>
              <w:t>, UK Northern Ireland</w:t>
            </w:r>
          </w:p>
          <w:p w14:paraId="0DB991EB" w14:textId="77777777" w:rsidR="0086550B" w:rsidRDefault="0086550B" w:rsidP="00963F45">
            <w:pPr>
              <w:rPr>
                <w:noProof/>
                <w:lang w:val="en-GB"/>
              </w:rPr>
            </w:pPr>
          </w:p>
          <w:p w14:paraId="11920928" w14:textId="77777777" w:rsidR="0086550B" w:rsidRPr="005023FE" w:rsidRDefault="0086550B" w:rsidP="00963F45">
            <w:pPr>
              <w:rPr>
                <w:b/>
                <w:noProof/>
                <w:sz w:val="24"/>
                <w:lang w:val="en-GB"/>
              </w:rPr>
            </w:pPr>
            <w:r w:rsidRPr="005023FE">
              <w:rPr>
                <w:b/>
                <w:noProof/>
                <w:sz w:val="24"/>
                <w:lang w:val="en-GB"/>
              </w:rPr>
              <w:t>Investigation into pregnancy and maternity at work</w:t>
            </w:r>
          </w:p>
          <w:p w14:paraId="0D497A1B" w14:textId="77777777" w:rsidR="0086550B" w:rsidRDefault="0086550B" w:rsidP="00963F45">
            <w:pPr>
              <w:rPr>
                <w:noProof/>
                <w:lang w:val="en-GB"/>
              </w:rPr>
            </w:pPr>
          </w:p>
          <w:p w14:paraId="56080F6B" w14:textId="7C45B42B" w:rsidR="0086550B" w:rsidRDefault="005023FE" w:rsidP="005023FE">
            <w:pPr>
              <w:rPr>
                <w:noProof/>
                <w:lang w:val="en-GB"/>
              </w:rPr>
            </w:pPr>
            <w:r w:rsidRPr="005023FE">
              <w:rPr>
                <w:noProof/>
                <w:lang w:val="en-GB"/>
              </w:rPr>
              <w:t>Half of the women who responded to a</w:t>
            </w:r>
            <w:r w:rsidR="00884F63">
              <w:rPr>
                <w:noProof/>
                <w:lang w:val="en-GB"/>
              </w:rPr>
              <w:t xml:space="preserve"> 2015</w:t>
            </w:r>
            <w:r w:rsidRPr="005023FE">
              <w:rPr>
                <w:noProof/>
                <w:lang w:val="en-GB"/>
              </w:rPr>
              <w:t xml:space="preserve"> Equality Commission investigation into the employment experiences of pregnant workers and mothers in Northern Ireland believe that their career opportunities have been negatively affected by their pregnancy or maternity leave.</w:t>
            </w:r>
            <w:r w:rsidR="00884F63">
              <w:rPr>
                <w:noProof/>
                <w:lang w:val="en-GB"/>
              </w:rPr>
              <w:t xml:space="preserve"> </w:t>
            </w:r>
            <w:r w:rsidRPr="005023FE">
              <w:rPr>
                <w:noProof/>
                <w:lang w:val="en-GB"/>
              </w:rPr>
              <w:t>That is one of the findings of ‘Expecting Equality: a Formal Investigation under the Sex Discrimination (Northern Ireland) Order 1976’.</w:t>
            </w:r>
          </w:p>
          <w:p w14:paraId="6AB751C4" w14:textId="77777777" w:rsidR="00884F63" w:rsidRDefault="00884F63" w:rsidP="005023FE">
            <w:pPr>
              <w:rPr>
                <w:noProof/>
                <w:lang w:val="en-GB"/>
              </w:rPr>
            </w:pPr>
          </w:p>
          <w:p w14:paraId="6BF66E1F" w14:textId="12590189" w:rsidR="00884F63" w:rsidRDefault="00884F63" w:rsidP="005023FE">
            <w:pPr>
              <w:rPr>
                <w:lang w:val="en-US"/>
              </w:rPr>
            </w:pPr>
            <w:r>
              <w:rPr>
                <w:lang w:val="en-GB"/>
              </w:rPr>
              <w:t>Nevertheless, a</w:t>
            </w:r>
            <w:r w:rsidRPr="00594490">
              <w:rPr>
                <w:lang w:val="en-US"/>
              </w:rPr>
              <w:t>round half of the women believed they were supported by their employer during their pregnancy. Women identified suppo</w:t>
            </w:r>
            <w:r w:rsidRPr="00884F63">
              <w:rPr>
                <w:lang w:val="en-US"/>
              </w:rPr>
              <w:t xml:space="preserve">rtive employers as those who: </w:t>
            </w:r>
          </w:p>
          <w:p w14:paraId="26BD0EB4" w14:textId="77777777" w:rsidR="00884F63" w:rsidRDefault="00884F63" w:rsidP="00594490">
            <w:pPr>
              <w:pStyle w:val="ListParagraph"/>
              <w:numPr>
                <w:ilvl w:val="0"/>
                <w:numId w:val="29"/>
              </w:numPr>
              <w:rPr>
                <w:noProof/>
                <w:lang w:val="en-US"/>
              </w:rPr>
            </w:pPr>
            <w:r w:rsidRPr="00594490">
              <w:rPr>
                <w:lang w:val="en-US"/>
              </w:rPr>
              <w:t xml:space="preserve">implemented policies and practices to effectively manage pregnancy, maternity leave and return to work, </w:t>
            </w:r>
          </w:p>
          <w:p w14:paraId="0EEF0935" w14:textId="77777777" w:rsidR="00884F63" w:rsidRDefault="00884F63" w:rsidP="00594490">
            <w:pPr>
              <w:pStyle w:val="ListParagraph"/>
              <w:numPr>
                <w:ilvl w:val="0"/>
                <w:numId w:val="29"/>
              </w:numPr>
              <w:rPr>
                <w:noProof/>
                <w:lang w:val="en-US"/>
              </w:rPr>
            </w:pPr>
            <w:r w:rsidRPr="00594490">
              <w:rPr>
                <w:lang w:val="en-US"/>
              </w:rPr>
              <w:t xml:space="preserve">were prepared to consider adjustment to work load and work </w:t>
            </w:r>
            <w:r w:rsidRPr="00884F63">
              <w:rPr>
                <w:lang w:val="en-US"/>
              </w:rPr>
              <w:t xml:space="preserve">environment during pregnancy, </w:t>
            </w:r>
          </w:p>
          <w:p w14:paraId="01C77E86" w14:textId="77777777" w:rsidR="00884F63" w:rsidRDefault="00884F63" w:rsidP="00594490">
            <w:pPr>
              <w:pStyle w:val="ListParagraph"/>
              <w:numPr>
                <w:ilvl w:val="0"/>
                <w:numId w:val="29"/>
              </w:numPr>
              <w:rPr>
                <w:noProof/>
                <w:lang w:val="en-US"/>
              </w:rPr>
            </w:pPr>
            <w:r w:rsidRPr="00594490">
              <w:rPr>
                <w:lang w:val="en-US"/>
              </w:rPr>
              <w:t>maintained reasonable co</w:t>
            </w:r>
            <w:r w:rsidRPr="00884F63">
              <w:rPr>
                <w:lang w:val="en-US"/>
              </w:rPr>
              <w:t xml:space="preserve">ntact during maternity leave, </w:t>
            </w:r>
          </w:p>
          <w:p w14:paraId="3E1F024C" w14:textId="77777777" w:rsidR="00884F63" w:rsidRDefault="00884F63" w:rsidP="00594490">
            <w:pPr>
              <w:pStyle w:val="ListParagraph"/>
              <w:numPr>
                <w:ilvl w:val="0"/>
                <w:numId w:val="29"/>
              </w:numPr>
              <w:rPr>
                <w:noProof/>
                <w:lang w:val="en-US"/>
              </w:rPr>
            </w:pPr>
            <w:r w:rsidRPr="00594490">
              <w:rPr>
                <w:lang w:val="en-US"/>
              </w:rPr>
              <w:t>provided a family friendly work environment f</w:t>
            </w:r>
            <w:r w:rsidRPr="00884F63">
              <w:rPr>
                <w:lang w:val="en-US"/>
              </w:rPr>
              <w:t xml:space="preserve">or mothers on return to work, </w:t>
            </w:r>
          </w:p>
          <w:p w14:paraId="15C8ADEA" w14:textId="46A7E863" w:rsidR="00884F63" w:rsidRPr="00594490" w:rsidRDefault="00884F63" w:rsidP="00594490">
            <w:pPr>
              <w:pStyle w:val="ListParagraph"/>
              <w:numPr>
                <w:ilvl w:val="0"/>
                <w:numId w:val="29"/>
              </w:numPr>
              <w:rPr>
                <w:noProof/>
                <w:lang w:val="en-US"/>
              </w:rPr>
            </w:pPr>
            <w:r w:rsidRPr="00594490">
              <w:rPr>
                <w:lang w:val="en-US"/>
              </w:rPr>
              <w:t>communicated with employees in order to promote understanding of the needs and expectations of both parties.</w:t>
            </w:r>
          </w:p>
          <w:p w14:paraId="0E445F87" w14:textId="77777777" w:rsidR="00DB5A10" w:rsidRDefault="00DB5A10" w:rsidP="005023FE">
            <w:pPr>
              <w:rPr>
                <w:noProof/>
                <w:lang w:val="en-GB"/>
              </w:rPr>
            </w:pPr>
          </w:p>
          <w:p w14:paraId="590E4F87" w14:textId="77777777" w:rsidR="00DB5A10" w:rsidRDefault="00DB5A10" w:rsidP="005023FE">
            <w:pPr>
              <w:rPr>
                <w:noProof/>
                <w:lang w:val="en-GB"/>
              </w:rPr>
            </w:pPr>
            <w:r>
              <w:rPr>
                <w:noProof/>
                <w:lang w:val="en-GB"/>
              </w:rPr>
              <w:t xml:space="preserve">More information is available </w:t>
            </w:r>
            <w:hyperlink r:id="rId13" w:history="1">
              <w:r w:rsidRPr="00950950">
                <w:rPr>
                  <w:rStyle w:val="Hyperlink"/>
                  <w:noProof/>
                  <w:lang w:val="en-GB"/>
                </w:rPr>
                <w:t>here</w:t>
              </w:r>
            </w:hyperlink>
            <w:r>
              <w:rPr>
                <w:noProof/>
                <w:lang w:val="en-GB"/>
              </w:rPr>
              <w:t xml:space="preserve">. </w:t>
            </w:r>
          </w:p>
          <w:p w14:paraId="2D70A18E" w14:textId="77777777" w:rsidR="007A31B6" w:rsidRDefault="007A31B6" w:rsidP="005023FE">
            <w:pPr>
              <w:rPr>
                <w:noProof/>
                <w:lang w:val="en-GB"/>
              </w:rPr>
            </w:pPr>
          </w:p>
          <w:p w14:paraId="54F2846D" w14:textId="77777777" w:rsidR="007A31B6" w:rsidRDefault="007A31B6" w:rsidP="005023FE">
            <w:pPr>
              <w:rPr>
                <w:noProof/>
                <w:lang w:val="en-GB"/>
              </w:rPr>
            </w:pPr>
          </w:p>
          <w:p w14:paraId="7C10ECF1" w14:textId="213F5C63" w:rsidR="00415EE7" w:rsidRDefault="00415EE7" w:rsidP="005023FE">
            <w:pPr>
              <w:rPr>
                <w:noProof/>
                <w:lang w:val="en-GB"/>
              </w:rPr>
            </w:pPr>
          </w:p>
        </w:tc>
      </w:tr>
      <w:tr w:rsidR="0029104B" w:rsidRPr="002D2506" w14:paraId="3E9E132F" w14:textId="77777777" w:rsidTr="00415EE7">
        <w:tc>
          <w:tcPr>
            <w:tcW w:w="9212" w:type="dxa"/>
          </w:tcPr>
          <w:p w14:paraId="7AB3644B" w14:textId="4F1B963E" w:rsidR="0029104B" w:rsidRPr="000D3315" w:rsidRDefault="000D3315" w:rsidP="00963F45">
            <w:pPr>
              <w:rPr>
                <w:b/>
                <w:noProof/>
                <w:color w:val="0070C0"/>
                <w:sz w:val="28"/>
                <w:lang w:val="en-GB"/>
              </w:rPr>
            </w:pPr>
            <w:r w:rsidRPr="000D3315">
              <w:rPr>
                <w:b/>
                <w:noProof/>
                <w:color w:val="0070C0"/>
                <w:sz w:val="28"/>
                <w:lang w:val="en-GB"/>
              </w:rPr>
              <w:lastRenderedPageBreak/>
              <w:t>Commission for Equality in Labour and Employment, Portugal</w:t>
            </w:r>
          </w:p>
          <w:p w14:paraId="705FB23F" w14:textId="77777777" w:rsidR="000D3315" w:rsidRDefault="000D3315" w:rsidP="00963F45">
            <w:pPr>
              <w:rPr>
                <w:noProof/>
                <w:lang w:val="en-GB"/>
              </w:rPr>
            </w:pPr>
          </w:p>
          <w:p w14:paraId="54409CD5" w14:textId="7D7061C3" w:rsidR="000D3315" w:rsidRPr="00E42F34" w:rsidRDefault="00EE1279" w:rsidP="00963F45">
            <w:pPr>
              <w:rPr>
                <w:b/>
                <w:noProof/>
                <w:sz w:val="24"/>
                <w:lang w:val="en-GB"/>
              </w:rPr>
            </w:pPr>
            <w:r>
              <w:rPr>
                <w:noProof/>
                <w:lang w:eastAsia="fr-BE"/>
              </w:rPr>
              <w:drawing>
                <wp:anchor distT="0" distB="0" distL="114300" distR="114300" simplePos="0" relativeHeight="251658240" behindDoc="0" locked="0" layoutInCell="1" allowOverlap="1" wp14:anchorId="52B2DD4F" wp14:editId="5B635FB6">
                  <wp:simplePos x="0" y="0"/>
                  <wp:positionH relativeFrom="column">
                    <wp:posOffset>4681855</wp:posOffset>
                  </wp:positionH>
                  <wp:positionV relativeFrom="paragraph">
                    <wp:posOffset>103505</wp:posOffset>
                  </wp:positionV>
                  <wp:extent cx="971550" cy="2049780"/>
                  <wp:effectExtent l="0" t="0" r="0"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1550" cy="2049780"/>
                          </a:xfrm>
                          <a:prstGeom prst="rect">
                            <a:avLst/>
                          </a:prstGeom>
                          <a:noFill/>
                        </pic:spPr>
                      </pic:pic>
                    </a:graphicData>
                  </a:graphic>
                  <wp14:sizeRelH relativeFrom="page">
                    <wp14:pctWidth>0</wp14:pctWidth>
                  </wp14:sizeRelH>
                  <wp14:sizeRelV relativeFrom="page">
                    <wp14:pctHeight>0</wp14:pctHeight>
                  </wp14:sizeRelV>
                </wp:anchor>
              </w:drawing>
            </w:r>
            <w:r w:rsidR="000D3315" w:rsidRPr="00E42F34">
              <w:rPr>
                <w:b/>
                <w:noProof/>
                <w:sz w:val="24"/>
                <w:lang w:val="en-GB"/>
              </w:rPr>
              <w:t xml:space="preserve">Time to Have Time </w:t>
            </w:r>
            <w:r w:rsidR="00C96444">
              <w:rPr>
                <w:b/>
                <w:noProof/>
                <w:sz w:val="24"/>
                <w:lang w:val="en-GB"/>
              </w:rPr>
              <w:t>c</w:t>
            </w:r>
            <w:r w:rsidR="000D3315" w:rsidRPr="00E42F34">
              <w:rPr>
                <w:b/>
                <w:noProof/>
                <w:sz w:val="24"/>
                <w:lang w:val="en-GB"/>
              </w:rPr>
              <w:t>ampaign</w:t>
            </w:r>
          </w:p>
          <w:p w14:paraId="4DCD6754" w14:textId="6DEECE61" w:rsidR="000D3315" w:rsidRDefault="000D3315" w:rsidP="00963F45">
            <w:pPr>
              <w:rPr>
                <w:noProof/>
                <w:lang w:val="en-GB"/>
              </w:rPr>
            </w:pPr>
          </w:p>
          <w:p w14:paraId="371A120C" w14:textId="32B00162" w:rsidR="00400D5F" w:rsidRDefault="00E42F34" w:rsidP="00C96444">
            <w:pPr>
              <w:rPr>
                <w:noProof/>
                <w:lang w:val="en-GB"/>
              </w:rPr>
            </w:pPr>
            <w:r>
              <w:rPr>
                <w:noProof/>
                <w:lang w:val="en-GB"/>
              </w:rPr>
              <w:t xml:space="preserve">The campaign </w:t>
            </w:r>
            <w:r w:rsidR="008F11EB">
              <w:rPr>
                <w:noProof/>
                <w:lang w:val="en-GB"/>
              </w:rPr>
              <w:t>aims to raise awareness about simple tools to ensure work</w:t>
            </w:r>
            <w:r w:rsidR="002D2506">
              <w:rPr>
                <w:noProof/>
                <w:lang w:val="en-GB"/>
              </w:rPr>
              <w:t xml:space="preserve"> </w:t>
            </w:r>
            <w:r w:rsidR="008F11EB">
              <w:rPr>
                <w:noProof/>
                <w:lang w:val="en-GB"/>
              </w:rPr>
              <w:t>life balance</w:t>
            </w:r>
            <w:r w:rsidR="00884F63">
              <w:rPr>
                <w:noProof/>
                <w:lang w:val="en-GB"/>
              </w:rPr>
              <w:t>.</w:t>
            </w:r>
            <w:r w:rsidR="00400D5F">
              <w:rPr>
                <w:noProof/>
                <w:lang w:val="en-GB"/>
              </w:rPr>
              <w:t xml:space="preserve"> </w:t>
            </w:r>
            <w:r w:rsidR="008F11EB">
              <w:rPr>
                <w:noProof/>
                <w:lang w:val="en-GB"/>
              </w:rPr>
              <w:t xml:space="preserve"> It p</w:t>
            </w:r>
            <w:r>
              <w:rPr>
                <w:noProof/>
                <w:lang w:val="en-GB"/>
              </w:rPr>
              <w:t xml:space="preserve">rovides </w:t>
            </w:r>
            <w:r w:rsidR="00C96444">
              <w:rPr>
                <w:noProof/>
                <w:lang w:val="en-GB"/>
              </w:rPr>
              <w:t>advice and examples of good practices on reconciliation of professional</w:t>
            </w:r>
            <w:r w:rsidR="008F11EB">
              <w:rPr>
                <w:noProof/>
                <w:lang w:val="en-GB"/>
              </w:rPr>
              <w:t xml:space="preserve"> and family life, such as organising the work schedule</w:t>
            </w:r>
            <w:r w:rsidR="00884F63">
              <w:rPr>
                <w:noProof/>
                <w:lang w:val="en-GB"/>
              </w:rPr>
              <w:t>, parenthood protection and family assistance,</w:t>
            </w:r>
            <w:r w:rsidR="008F11EB">
              <w:rPr>
                <w:noProof/>
                <w:lang w:val="en-GB"/>
              </w:rPr>
              <w:t xml:space="preserve"> and social benefits</w:t>
            </w:r>
            <w:r w:rsidR="00884F63">
              <w:rPr>
                <w:noProof/>
                <w:lang w:val="en-GB"/>
              </w:rPr>
              <w:t xml:space="preserve"> and financial assistance to workers and their families</w:t>
            </w:r>
            <w:r w:rsidR="008F11EB">
              <w:rPr>
                <w:noProof/>
                <w:lang w:val="en-GB"/>
              </w:rPr>
              <w:t xml:space="preserve">. </w:t>
            </w:r>
            <w:r w:rsidR="00400D5F">
              <w:rPr>
                <w:noProof/>
                <w:lang w:val="en-GB"/>
              </w:rPr>
              <w:t>The main instruments for reconciling professional and family life provided by the labour code are also highlighted.</w:t>
            </w:r>
          </w:p>
          <w:p w14:paraId="18796EB5" w14:textId="77777777" w:rsidR="00FF12A9" w:rsidRDefault="00FF12A9" w:rsidP="00C96444">
            <w:pPr>
              <w:rPr>
                <w:noProof/>
                <w:lang w:val="en-GB"/>
              </w:rPr>
            </w:pPr>
          </w:p>
          <w:p w14:paraId="0598CF87" w14:textId="7964C33A" w:rsidR="00FF12A9" w:rsidRDefault="00FF12A9" w:rsidP="00C96444">
            <w:pPr>
              <w:rPr>
                <w:noProof/>
                <w:lang w:val="en-GB"/>
              </w:rPr>
            </w:pPr>
            <w:r>
              <w:rPr>
                <w:noProof/>
                <w:lang w:val="en-GB"/>
              </w:rPr>
              <w:t xml:space="preserve">More information is available </w:t>
            </w:r>
            <w:hyperlink r:id="rId15" w:history="1">
              <w:r w:rsidRPr="00FF12A9">
                <w:rPr>
                  <w:rStyle w:val="Hyperlink"/>
                  <w:noProof/>
                  <w:lang w:val="en-GB"/>
                </w:rPr>
                <w:t>here</w:t>
              </w:r>
            </w:hyperlink>
            <w:r>
              <w:rPr>
                <w:noProof/>
                <w:lang w:val="en-GB"/>
              </w:rPr>
              <w:t xml:space="preserve">. </w:t>
            </w:r>
          </w:p>
          <w:p w14:paraId="4081621F" w14:textId="6DCA2172" w:rsidR="008F11EB" w:rsidRDefault="008F11EB" w:rsidP="00C96444">
            <w:pPr>
              <w:rPr>
                <w:noProof/>
                <w:lang w:val="en-GB"/>
              </w:rPr>
            </w:pPr>
          </w:p>
        </w:tc>
      </w:tr>
    </w:tbl>
    <w:p w14:paraId="1B260E3C" w14:textId="0ADA9BDF" w:rsidR="002A1CFE" w:rsidRDefault="002A1CFE" w:rsidP="00685722">
      <w:pPr>
        <w:rPr>
          <w:rFonts w:cstheme="minorHAnsi"/>
          <w:noProof/>
          <w:lang w:val="en-GB"/>
        </w:rPr>
      </w:pPr>
    </w:p>
    <w:p w14:paraId="2399F928" w14:textId="05E99428" w:rsidR="00955DF1" w:rsidRDefault="004816D1" w:rsidP="00955DF1">
      <w:pPr>
        <w:jc w:val="center"/>
        <w:rPr>
          <w:rFonts w:cstheme="minorHAnsi"/>
          <w:b/>
          <w:noProof/>
          <w:color w:val="4F81BD" w:themeColor="accent1"/>
          <w:sz w:val="32"/>
          <w:szCs w:val="32"/>
          <w:lang w:val="en-GB"/>
        </w:rPr>
      </w:pPr>
      <w:r>
        <w:rPr>
          <w:rFonts w:cstheme="minorHAnsi"/>
          <w:b/>
          <w:noProof/>
          <w:color w:val="4F81BD" w:themeColor="accent1"/>
          <w:sz w:val="32"/>
          <w:szCs w:val="32"/>
          <w:lang w:val="en-GB"/>
        </w:rPr>
        <w:t>Taking action at EU level</w:t>
      </w:r>
      <w:r>
        <w:rPr>
          <w:rFonts w:cstheme="minorHAnsi"/>
          <w:b/>
          <w:noProof/>
          <w:color w:val="4F81BD" w:themeColor="accent1"/>
          <w:sz w:val="32"/>
          <w:szCs w:val="32"/>
          <w:lang w:val="en-GB"/>
        </w:rPr>
        <w:br/>
      </w:r>
      <w:r w:rsidR="00955DF1">
        <w:rPr>
          <w:rFonts w:cstheme="minorHAnsi"/>
          <w:b/>
          <w:noProof/>
          <w:color w:val="4F81BD" w:themeColor="accent1"/>
          <w:sz w:val="32"/>
          <w:szCs w:val="32"/>
          <w:lang w:val="en-GB"/>
        </w:rPr>
        <w:t>2017 Work</w:t>
      </w:r>
      <w:r w:rsidR="002D2506">
        <w:rPr>
          <w:rFonts w:cstheme="minorHAnsi"/>
          <w:b/>
          <w:noProof/>
          <w:color w:val="4F81BD" w:themeColor="accent1"/>
          <w:sz w:val="32"/>
          <w:szCs w:val="32"/>
          <w:lang w:val="en-GB"/>
        </w:rPr>
        <w:t xml:space="preserve"> </w:t>
      </w:r>
      <w:r w:rsidR="00955DF1">
        <w:rPr>
          <w:rFonts w:cstheme="minorHAnsi"/>
          <w:b/>
          <w:noProof/>
          <w:color w:val="4F81BD" w:themeColor="accent1"/>
          <w:sz w:val="32"/>
          <w:szCs w:val="32"/>
          <w:lang w:val="en-GB"/>
        </w:rPr>
        <w:t>Life Balance Package</w:t>
      </w:r>
    </w:p>
    <w:p w14:paraId="7C30CC36" w14:textId="3CCCDB4B" w:rsidR="004816D1" w:rsidRDefault="003900C1" w:rsidP="002641AA">
      <w:pPr>
        <w:jc w:val="both"/>
        <w:rPr>
          <w:rFonts w:cstheme="minorHAnsi"/>
          <w:noProof/>
          <w:lang w:val="en-GB"/>
        </w:rPr>
      </w:pPr>
      <w:r w:rsidRPr="009C07EB">
        <w:rPr>
          <w:rFonts w:cstheme="minorHAnsi"/>
          <w:noProof/>
          <w:lang w:val="en-GB"/>
        </w:rPr>
        <w:t xml:space="preserve">Alongside the launch of the </w:t>
      </w:r>
      <w:hyperlink r:id="rId16" w:history="1">
        <w:r w:rsidR="00CD1D31" w:rsidRPr="004816D1">
          <w:rPr>
            <w:rStyle w:val="Hyperlink"/>
            <w:rFonts w:cstheme="minorHAnsi"/>
            <w:noProof/>
            <w:lang w:val="en-GB"/>
          </w:rPr>
          <w:t xml:space="preserve">European </w:t>
        </w:r>
        <w:r w:rsidR="004816D1" w:rsidRPr="004816D1">
          <w:rPr>
            <w:rStyle w:val="Hyperlink"/>
            <w:rFonts w:cstheme="minorHAnsi"/>
            <w:noProof/>
            <w:lang w:val="en-GB"/>
          </w:rPr>
          <w:t>Pillar of Social Rights</w:t>
        </w:r>
      </w:hyperlink>
      <w:r w:rsidR="004816D1" w:rsidRPr="004816D1">
        <w:rPr>
          <w:rFonts w:cstheme="minorHAnsi"/>
          <w:noProof/>
          <w:lang w:val="en-GB"/>
        </w:rPr>
        <w:t xml:space="preserve"> in April 2017</w:t>
      </w:r>
      <w:r w:rsidRPr="004816D1">
        <w:rPr>
          <w:rFonts w:cstheme="minorHAnsi"/>
          <w:noProof/>
          <w:lang w:val="en-GB"/>
        </w:rPr>
        <w:t>,</w:t>
      </w:r>
      <w:r w:rsidRPr="009C07EB">
        <w:rPr>
          <w:rFonts w:cstheme="minorHAnsi"/>
          <w:noProof/>
          <w:lang w:val="en-GB"/>
        </w:rPr>
        <w:t xml:space="preserve"> the European Commission presented </w:t>
      </w:r>
      <w:r w:rsidR="004816D1">
        <w:rPr>
          <w:rFonts w:cstheme="minorHAnsi"/>
          <w:noProof/>
          <w:lang w:val="en-GB"/>
        </w:rPr>
        <w:t>its</w:t>
      </w:r>
      <w:r w:rsidRPr="009C07EB">
        <w:rPr>
          <w:rFonts w:cstheme="minorHAnsi"/>
          <w:noProof/>
          <w:lang w:val="en-GB"/>
        </w:rPr>
        <w:t xml:space="preserve"> </w:t>
      </w:r>
      <w:r w:rsidR="00CD1D31" w:rsidRPr="009C07EB">
        <w:rPr>
          <w:rFonts w:cstheme="minorHAnsi"/>
          <w:noProof/>
          <w:lang w:val="en-GB"/>
        </w:rPr>
        <w:t xml:space="preserve"> </w:t>
      </w:r>
      <w:r w:rsidR="004816D1">
        <w:rPr>
          <w:rFonts w:cstheme="minorHAnsi"/>
          <w:noProof/>
          <w:lang w:val="en-GB"/>
        </w:rPr>
        <w:t>Work</w:t>
      </w:r>
      <w:r w:rsidR="002D2506">
        <w:rPr>
          <w:rFonts w:cstheme="minorHAnsi"/>
          <w:noProof/>
          <w:lang w:val="en-GB"/>
        </w:rPr>
        <w:t xml:space="preserve"> </w:t>
      </w:r>
      <w:r w:rsidR="004816D1">
        <w:rPr>
          <w:rFonts w:cstheme="minorHAnsi"/>
          <w:noProof/>
          <w:lang w:val="en-GB"/>
        </w:rPr>
        <w:t>Life Balance Package</w:t>
      </w:r>
      <w:r w:rsidRPr="009C07EB">
        <w:rPr>
          <w:rFonts w:cstheme="minorHAnsi"/>
          <w:noProof/>
          <w:lang w:val="en-GB"/>
        </w:rPr>
        <w:t xml:space="preserve"> including </w:t>
      </w:r>
      <w:r w:rsidRPr="009C07EB">
        <w:rPr>
          <w:rFonts w:cstheme="minorHAnsi"/>
          <w:b/>
          <w:noProof/>
          <w:lang w:val="en-GB"/>
        </w:rPr>
        <w:t>both legislative and non-legislative measures</w:t>
      </w:r>
      <w:r w:rsidR="00CD1D31" w:rsidRPr="009C07EB">
        <w:rPr>
          <w:rStyle w:val="FootnoteReference"/>
          <w:rFonts w:cstheme="minorHAnsi"/>
          <w:noProof/>
          <w:lang w:val="en-GB"/>
        </w:rPr>
        <w:footnoteReference w:id="5"/>
      </w:r>
      <w:r w:rsidR="004816D1">
        <w:rPr>
          <w:rFonts w:cstheme="minorHAnsi"/>
          <w:b/>
          <w:noProof/>
          <w:lang w:val="en-GB"/>
        </w:rPr>
        <w:t>.</w:t>
      </w:r>
      <w:r w:rsidRPr="009C07EB">
        <w:rPr>
          <w:rFonts w:cstheme="minorHAnsi"/>
          <w:noProof/>
          <w:lang w:val="en-GB"/>
        </w:rPr>
        <w:t xml:space="preserve"> </w:t>
      </w:r>
      <w:r w:rsidR="00A65AC6">
        <w:rPr>
          <w:rFonts w:cstheme="minorHAnsi"/>
          <w:noProof/>
          <w:lang w:val="en-GB"/>
        </w:rPr>
        <w:t>The package does not address the question of maternity leave.</w:t>
      </w:r>
    </w:p>
    <w:p w14:paraId="4A5BCBD7" w14:textId="62D04D8C" w:rsidR="005B54F0" w:rsidRPr="00773D2D" w:rsidRDefault="005B54F0" w:rsidP="00773D2D">
      <w:pPr>
        <w:shd w:val="clear" w:color="auto" w:fill="F2F2F2" w:themeFill="background1" w:themeFillShade="F2"/>
        <w:jc w:val="center"/>
        <w:rPr>
          <w:rFonts w:cstheme="minorHAnsi"/>
          <w:b/>
          <w:noProof/>
          <w:sz w:val="24"/>
          <w:lang w:val="en-GB"/>
        </w:rPr>
      </w:pPr>
      <w:r w:rsidRPr="00773D2D">
        <w:rPr>
          <w:rFonts w:cstheme="minorHAnsi"/>
          <w:b/>
          <w:noProof/>
          <w:sz w:val="24"/>
          <w:lang w:val="en-GB"/>
        </w:rPr>
        <w:t>Work</w:t>
      </w:r>
      <w:r w:rsidR="002D2506">
        <w:rPr>
          <w:rFonts w:cstheme="minorHAnsi"/>
          <w:b/>
          <w:noProof/>
          <w:sz w:val="24"/>
          <w:lang w:val="en-GB"/>
        </w:rPr>
        <w:t xml:space="preserve"> </w:t>
      </w:r>
      <w:bookmarkStart w:id="0" w:name="_GoBack"/>
      <w:bookmarkEnd w:id="0"/>
      <w:r w:rsidRPr="00773D2D">
        <w:rPr>
          <w:rFonts w:cstheme="minorHAnsi"/>
          <w:b/>
          <w:noProof/>
          <w:sz w:val="24"/>
          <w:lang w:val="en-GB"/>
        </w:rPr>
        <w:t>Life Balance Directive</w:t>
      </w:r>
    </w:p>
    <w:p w14:paraId="309DFB5F" w14:textId="5489D075" w:rsidR="00CD1D31" w:rsidRDefault="003900C1" w:rsidP="002641AA">
      <w:pPr>
        <w:jc w:val="both"/>
        <w:rPr>
          <w:rFonts w:cstheme="minorHAnsi"/>
          <w:noProof/>
          <w:lang w:val="en-GB"/>
        </w:rPr>
      </w:pPr>
      <w:r w:rsidRPr="009C07EB">
        <w:rPr>
          <w:rFonts w:cstheme="minorHAnsi"/>
          <w:noProof/>
          <w:lang w:val="en-GB"/>
        </w:rPr>
        <w:t xml:space="preserve">Of particular interest is the proposed </w:t>
      </w:r>
      <w:r w:rsidR="00CE1F68">
        <w:rPr>
          <w:rFonts w:cstheme="minorHAnsi"/>
          <w:b/>
          <w:noProof/>
          <w:lang w:val="en-GB"/>
        </w:rPr>
        <w:t>D</w:t>
      </w:r>
      <w:r w:rsidRPr="009C07EB">
        <w:rPr>
          <w:rFonts w:cstheme="minorHAnsi"/>
          <w:b/>
          <w:noProof/>
          <w:lang w:val="en-GB"/>
        </w:rPr>
        <w:t xml:space="preserve">irective on </w:t>
      </w:r>
      <w:r w:rsidR="00CE1F68">
        <w:rPr>
          <w:rFonts w:cstheme="minorHAnsi"/>
          <w:b/>
          <w:noProof/>
          <w:lang w:val="en-GB"/>
        </w:rPr>
        <w:t>W</w:t>
      </w:r>
      <w:r w:rsidRPr="009C07EB">
        <w:rPr>
          <w:rFonts w:cstheme="minorHAnsi"/>
          <w:b/>
          <w:noProof/>
          <w:lang w:val="en-GB"/>
        </w:rPr>
        <w:t>ork</w:t>
      </w:r>
      <w:r w:rsidR="00CE1F68">
        <w:rPr>
          <w:rFonts w:cstheme="minorHAnsi"/>
          <w:b/>
          <w:noProof/>
          <w:lang w:val="en-GB"/>
        </w:rPr>
        <w:t xml:space="preserve"> Life B</w:t>
      </w:r>
      <w:r w:rsidRPr="009C07EB">
        <w:rPr>
          <w:rFonts w:cstheme="minorHAnsi"/>
          <w:b/>
          <w:noProof/>
          <w:lang w:val="en-GB"/>
        </w:rPr>
        <w:t>alance</w:t>
      </w:r>
      <w:r w:rsidRPr="009C07EB">
        <w:rPr>
          <w:rFonts w:cstheme="minorHAnsi"/>
          <w:noProof/>
          <w:lang w:val="en-GB"/>
        </w:rPr>
        <w:t xml:space="preserve"> which sets a number of </w:t>
      </w:r>
      <w:r w:rsidRPr="009C07EB">
        <w:rPr>
          <w:rFonts w:cstheme="minorHAnsi"/>
          <w:b/>
          <w:noProof/>
          <w:lang w:val="en-GB"/>
        </w:rPr>
        <w:t xml:space="preserve">minimum standards </w:t>
      </w:r>
      <w:r w:rsidR="00CE1F68">
        <w:rPr>
          <w:rFonts w:cstheme="minorHAnsi"/>
          <w:b/>
          <w:noProof/>
          <w:lang w:val="en-GB"/>
        </w:rPr>
        <w:t>for parental, paternity and car</w:t>
      </w:r>
      <w:r w:rsidRPr="009C07EB">
        <w:rPr>
          <w:rFonts w:cstheme="minorHAnsi"/>
          <w:b/>
          <w:noProof/>
          <w:lang w:val="en-GB"/>
        </w:rPr>
        <w:t xml:space="preserve">er’s leave. </w:t>
      </w:r>
      <w:r w:rsidR="005F753D" w:rsidRPr="005F753D">
        <w:rPr>
          <w:rFonts w:cstheme="minorHAnsi"/>
          <w:noProof/>
          <w:lang w:val="en-GB"/>
        </w:rPr>
        <w:t xml:space="preserve">The proposal is an ambitious step </w:t>
      </w:r>
      <w:r w:rsidR="005F753D">
        <w:rPr>
          <w:rFonts w:cstheme="minorHAnsi"/>
          <w:noProof/>
          <w:lang w:val="en-GB"/>
        </w:rPr>
        <w:t xml:space="preserve">towards </w:t>
      </w:r>
      <w:r w:rsidR="005F753D" w:rsidRPr="005F753D">
        <w:rPr>
          <w:rFonts w:cstheme="minorHAnsi"/>
          <w:noProof/>
          <w:lang w:val="en-GB"/>
        </w:rPr>
        <w:t>equal sharing of caring responsibilities, better participation of men and improved protection against discrimination of workers who have taken paternity, parental or carers’ leave.</w:t>
      </w:r>
      <w:r w:rsidR="00A65AC6">
        <w:rPr>
          <w:rFonts w:cstheme="minorHAnsi"/>
          <w:noProof/>
          <w:lang w:val="en-GB"/>
        </w:rPr>
        <w:t xml:space="preserve"> </w:t>
      </w:r>
    </w:p>
    <w:p w14:paraId="7AA9E691" w14:textId="77777777" w:rsidR="006E2C50" w:rsidRPr="006E2C50" w:rsidRDefault="006E2C50" w:rsidP="002641AA">
      <w:pPr>
        <w:jc w:val="both"/>
        <w:rPr>
          <w:rFonts w:cstheme="minorHAnsi"/>
          <w:b/>
          <w:noProof/>
          <w:lang w:val="en-GB"/>
        </w:rPr>
      </w:pPr>
      <w:r w:rsidRPr="006E2C50">
        <w:rPr>
          <w:rFonts w:cstheme="minorHAnsi"/>
          <w:b/>
          <w:noProof/>
          <w:lang w:val="en-GB"/>
        </w:rPr>
        <w:t xml:space="preserve">Main measures: </w:t>
      </w:r>
    </w:p>
    <w:tbl>
      <w:tblPr>
        <w:tblStyle w:val="TableGrid"/>
        <w:tblW w:w="0" w:type="auto"/>
        <w:tblLook w:val="04A0" w:firstRow="1" w:lastRow="0" w:firstColumn="1" w:lastColumn="0" w:noHBand="0" w:noVBand="1"/>
      </w:tblPr>
      <w:tblGrid>
        <w:gridCol w:w="3070"/>
        <w:gridCol w:w="1536"/>
        <w:gridCol w:w="1535"/>
        <w:gridCol w:w="3071"/>
      </w:tblGrid>
      <w:tr w:rsidR="006E2C50" w:rsidRPr="002D2506" w14:paraId="7F29EDD0" w14:textId="77777777" w:rsidTr="006E2C50">
        <w:tc>
          <w:tcPr>
            <w:tcW w:w="3070" w:type="dxa"/>
            <w:vAlign w:val="center"/>
          </w:tcPr>
          <w:p w14:paraId="70260AD0" w14:textId="4E286FE2" w:rsidR="006E2C50" w:rsidRDefault="006E2C50" w:rsidP="006E2C50">
            <w:pPr>
              <w:jc w:val="center"/>
              <w:rPr>
                <w:rFonts w:cstheme="minorHAnsi"/>
                <w:noProof/>
                <w:lang w:val="en-GB"/>
              </w:rPr>
            </w:pPr>
            <w:r>
              <w:rPr>
                <w:rFonts w:cstheme="minorHAnsi"/>
                <w:noProof/>
                <w:lang w:val="en-GB"/>
              </w:rPr>
              <w:t xml:space="preserve">10 working days of </w:t>
            </w:r>
            <w:r w:rsidRPr="006E2C50">
              <w:rPr>
                <w:rFonts w:cstheme="minorHAnsi"/>
                <w:b/>
                <w:noProof/>
                <w:lang w:val="en-GB"/>
              </w:rPr>
              <w:t>paternity leave</w:t>
            </w:r>
          </w:p>
        </w:tc>
        <w:tc>
          <w:tcPr>
            <w:tcW w:w="3071" w:type="dxa"/>
            <w:gridSpan w:val="2"/>
            <w:vAlign w:val="center"/>
          </w:tcPr>
          <w:p w14:paraId="7E79D315" w14:textId="34817952" w:rsidR="006E2C50" w:rsidRDefault="006E2C50" w:rsidP="006E2C50">
            <w:pPr>
              <w:jc w:val="center"/>
              <w:rPr>
                <w:rFonts w:cstheme="minorHAnsi"/>
                <w:noProof/>
                <w:lang w:val="en-GB"/>
              </w:rPr>
            </w:pPr>
            <w:r>
              <w:rPr>
                <w:rFonts w:cstheme="minorHAnsi"/>
                <w:noProof/>
                <w:lang w:val="en-GB"/>
              </w:rPr>
              <w:t>Up to</w:t>
            </w:r>
            <w:r w:rsidRPr="006E2C50">
              <w:rPr>
                <w:rFonts w:cstheme="minorHAnsi"/>
                <w:noProof/>
                <w:lang w:val="en-GB"/>
              </w:rPr>
              <w:t xml:space="preserve"> minimum 4 months of </w:t>
            </w:r>
            <w:r w:rsidRPr="006E2C50">
              <w:rPr>
                <w:rFonts w:cstheme="minorHAnsi"/>
                <w:b/>
                <w:noProof/>
                <w:lang w:val="en-GB"/>
              </w:rPr>
              <w:t>parental leave,</w:t>
            </w:r>
            <w:r w:rsidRPr="006E2C50">
              <w:rPr>
                <w:rFonts w:cstheme="minorHAnsi"/>
                <w:noProof/>
                <w:lang w:val="en-GB"/>
              </w:rPr>
              <w:t xml:space="preserve"> which cannot be transferred between parents. It can be </w:t>
            </w:r>
            <w:r>
              <w:rPr>
                <w:rFonts w:cstheme="minorHAnsi"/>
                <w:noProof/>
                <w:lang w:val="en-GB"/>
              </w:rPr>
              <w:t>taken</w:t>
            </w:r>
            <w:r w:rsidRPr="006E2C50">
              <w:rPr>
                <w:rFonts w:cstheme="minorHAnsi"/>
                <w:noProof/>
                <w:lang w:val="en-GB"/>
              </w:rPr>
              <w:t xml:space="preserve"> until the child is 12 years old</w:t>
            </w:r>
          </w:p>
        </w:tc>
        <w:tc>
          <w:tcPr>
            <w:tcW w:w="3071" w:type="dxa"/>
            <w:vAlign w:val="center"/>
          </w:tcPr>
          <w:p w14:paraId="22A3C0D8" w14:textId="2AA73112" w:rsidR="006E2C50" w:rsidRDefault="006E2C50" w:rsidP="006E2C50">
            <w:pPr>
              <w:jc w:val="center"/>
              <w:rPr>
                <w:rFonts w:cstheme="minorHAnsi"/>
                <w:noProof/>
                <w:lang w:val="en-GB"/>
              </w:rPr>
            </w:pPr>
            <w:r w:rsidRPr="006E2C50">
              <w:rPr>
                <w:rFonts w:cstheme="minorHAnsi"/>
                <w:noProof/>
                <w:lang w:val="en-GB"/>
              </w:rPr>
              <w:t xml:space="preserve">Workers will have the right to take up to 5 days </w:t>
            </w:r>
            <w:r w:rsidRPr="006E2C50">
              <w:rPr>
                <w:rFonts w:cstheme="minorHAnsi"/>
                <w:b/>
                <w:noProof/>
                <w:lang w:val="en-GB"/>
              </w:rPr>
              <w:t>of carers’ leave</w:t>
            </w:r>
            <w:r w:rsidRPr="006E2C50">
              <w:rPr>
                <w:rFonts w:cstheme="minorHAnsi"/>
                <w:noProof/>
                <w:lang w:val="en-GB"/>
              </w:rPr>
              <w:t xml:space="preserve"> per year</w:t>
            </w:r>
          </w:p>
        </w:tc>
      </w:tr>
      <w:tr w:rsidR="006E2C50" w:rsidRPr="002D2506" w14:paraId="2A76DC51" w14:textId="77777777" w:rsidTr="006E2C50">
        <w:tc>
          <w:tcPr>
            <w:tcW w:w="3070" w:type="dxa"/>
            <w:vAlign w:val="center"/>
          </w:tcPr>
          <w:p w14:paraId="0695527B" w14:textId="1D08138F" w:rsidR="006E2C50" w:rsidRDefault="006E2C50" w:rsidP="006E2C50">
            <w:pPr>
              <w:jc w:val="center"/>
              <w:rPr>
                <w:rFonts w:cstheme="minorHAnsi"/>
                <w:noProof/>
                <w:lang w:val="en-GB"/>
              </w:rPr>
            </w:pPr>
            <w:r w:rsidRPr="006E2C50">
              <w:rPr>
                <w:rFonts w:cstheme="minorHAnsi"/>
                <w:noProof/>
                <w:lang w:val="en-GB"/>
              </w:rPr>
              <w:t>Paternity, parental and carers’ leave should be compensated at least at the level of sick leave</w:t>
            </w:r>
          </w:p>
        </w:tc>
        <w:tc>
          <w:tcPr>
            <w:tcW w:w="3071" w:type="dxa"/>
            <w:gridSpan w:val="2"/>
            <w:vAlign w:val="center"/>
          </w:tcPr>
          <w:p w14:paraId="2989ED5C" w14:textId="4A499D6E" w:rsidR="006E2C50" w:rsidRDefault="006E2C50" w:rsidP="006E2C50">
            <w:pPr>
              <w:jc w:val="center"/>
              <w:rPr>
                <w:rFonts w:cstheme="minorHAnsi"/>
                <w:noProof/>
                <w:lang w:val="en-GB"/>
              </w:rPr>
            </w:pPr>
            <w:r w:rsidRPr="006E2C50">
              <w:rPr>
                <w:rFonts w:cstheme="minorHAnsi"/>
                <w:noProof/>
                <w:lang w:val="en-GB"/>
              </w:rPr>
              <w:t xml:space="preserve">Working parents of children up to 12 and carers will have the right to request </w:t>
            </w:r>
            <w:r>
              <w:rPr>
                <w:rFonts w:cstheme="minorHAnsi"/>
                <w:noProof/>
                <w:lang w:val="en-GB"/>
              </w:rPr>
              <w:t>defined</w:t>
            </w:r>
            <w:r w:rsidRPr="006E2C50">
              <w:rPr>
                <w:rFonts w:cstheme="minorHAnsi"/>
                <w:noProof/>
                <w:lang w:val="en-GB"/>
              </w:rPr>
              <w:t xml:space="preserve"> flexible working arrangements</w:t>
            </w:r>
          </w:p>
        </w:tc>
        <w:tc>
          <w:tcPr>
            <w:tcW w:w="3071" w:type="dxa"/>
            <w:vAlign w:val="center"/>
          </w:tcPr>
          <w:p w14:paraId="2B63B080" w14:textId="77777777" w:rsidR="006E2C50" w:rsidRDefault="006E2C50" w:rsidP="006E2C50">
            <w:pPr>
              <w:jc w:val="center"/>
              <w:rPr>
                <w:rFonts w:cstheme="minorHAnsi"/>
                <w:noProof/>
                <w:lang w:val="en-GB"/>
              </w:rPr>
            </w:pPr>
          </w:p>
        </w:tc>
      </w:tr>
      <w:tr w:rsidR="006E2C50" w:rsidRPr="002D2506" w14:paraId="5D16EE3C" w14:textId="77777777" w:rsidTr="00FF2FC1">
        <w:tc>
          <w:tcPr>
            <w:tcW w:w="4606" w:type="dxa"/>
            <w:gridSpan w:val="2"/>
            <w:vAlign w:val="center"/>
          </w:tcPr>
          <w:p w14:paraId="0B2BAA04" w14:textId="6F76553B" w:rsidR="006E2C50" w:rsidRDefault="006E2C50" w:rsidP="006E2C50">
            <w:pPr>
              <w:jc w:val="center"/>
              <w:rPr>
                <w:rFonts w:cstheme="minorHAnsi"/>
                <w:noProof/>
                <w:lang w:val="en-GB"/>
              </w:rPr>
            </w:pPr>
            <w:r w:rsidRPr="006E2C50">
              <w:rPr>
                <w:rFonts w:cstheme="minorHAnsi"/>
                <w:noProof/>
                <w:lang w:val="en-GB"/>
              </w:rPr>
              <w:t xml:space="preserve">Member States should also ensure the </w:t>
            </w:r>
            <w:r w:rsidRPr="006E2C50">
              <w:rPr>
                <w:rFonts w:cstheme="minorHAnsi"/>
                <w:b/>
                <w:noProof/>
                <w:lang w:val="en-GB"/>
              </w:rPr>
              <w:t>prohibition of less favourable treatment</w:t>
            </w:r>
            <w:r w:rsidRPr="006E2C50">
              <w:rPr>
                <w:rFonts w:cstheme="minorHAnsi"/>
                <w:noProof/>
                <w:lang w:val="en-GB"/>
              </w:rPr>
              <w:t xml:space="preserve"> of workers who applied or have taken paternity, parental or carers’ leave, or who have exercised their right to flexible working arrangements.</w:t>
            </w:r>
          </w:p>
        </w:tc>
        <w:tc>
          <w:tcPr>
            <w:tcW w:w="4606" w:type="dxa"/>
            <w:gridSpan w:val="2"/>
            <w:vAlign w:val="center"/>
          </w:tcPr>
          <w:p w14:paraId="3E805A59" w14:textId="4447439F" w:rsidR="006E2C50" w:rsidRDefault="006E2C50" w:rsidP="006E2C50">
            <w:pPr>
              <w:jc w:val="center"/>
              <w:rPr>
                <w:rFonts w:cstheme="minorHAnsi"/>
                <w:noProof/>
                <w:lang w:val="en-GB"/>
              </w:rPr>
            </w:pPr>
            <w:r w:rsidRPr="006E2C50">
              <w:rPr>
                <w:rFonts w:cstheme="minorHAnsi"/>
                <w:noProof/>
                <w:lang w:val="en-GB"/>
              </w:rPr>
              <w:t>The Directive extends the mandate of equality bodies competent for Directive 2006/54/EC (Gender Recast Directive) to issues covered by the proposal.</w:t>
            </w:r>
          </w:p>
        </w:tc>
      </w:tr>
    </w:tbl>
    <w:p w14:paraId="0A272523" w14:textId="0DE54745" w:rsidR="006E2C50" w:rsidRPr="00594490" w:rsidRDefault="00E37F74" w:rsidP="002641AA">
      <w:pPr>
        <w:jc w:val="both"/>
        <w:rPr>
          <w:rFonts w:cstheme="minorHAnsi"/>
          <w:b/>
          <w:noProof/>
          <w:lang w:val="en-GB"/>
        </w:rPr>
      </w:pPr>
      <w:r>
        <w:rPr>
          <w:rFonts w:cstheme="minorHAnsi"/>
          <w:noProof/>
          <w:lang w:val="en-GB"/>
        </w:rPr>
        <w:lastRenderedPageBreak/>
        <w:br/>
      </w:r>
      <w:r w:rsidR="006E2C50" w:rsidRPr="00594490">
        <w:rPr>
          <w:rFonts w:cstheme="minorHAnsi"/>
          <w:b/>
          <w:noProof/>
          <w:lang w:val="en-GB"/>
        </w:rPr>
        <w:t xml:space="preserve">Equinet and equality bodies strongly welcome this proposal, and suggest the European Parliament and Council of the EU to keep its level of ambition throughout the negotiations. </w:t>
      </w:r>
    </w:p>
    <w:p w14:paraId="4150000E" w14:textId="7172EA9B" w:rsidR="00773D2D" w:rsidRPr="00773D2D" w:rsidRDefault="001A739D" w:rsidP="00773D2D">
      <w:pPr>
        <w:jc w:val="both"/>
        <w:rPr>
          <w:rFonts w:cstheme="minorHAnsi"/>
          <w:noProof/>
          <w:lang w:val="en-GB"/>
        </w:rPr>
      </w:pPr>
      <w:r>
        <w:rPr>
          <w:rFonts w:cstheme="minorHAnsi"/>
          <w:noProof/>
          <w:lang w:val="en-GB"/>
        </w:rPr>
        <w:t xml:space="preserve">Equinet would also welcome additional reference to the necessity for Member States to take all measures </w:t>
      </w:r>
      <w:r w:rsidRPr="001A739D">
        <w:rPr>
          <w:rFonts w:cstheme="minorHAnsi"/>
          <w:noProof/>
          <w:lang w:val="en-GB"/>
        </w:rPr>
        <w:t>to ensure the body or bodies are independent and allocated adequate powers, functions and resources to implement their mandate within the scope of this Directive.</w:t>
      </w:r>
      <w:r w:rsidR="00773D2D">
        <w:rPr>
          <w:rFonts w:cstheme="minorHAnsi"/>
          <w:noProof/>
          <w:lang w:val="en-GB"/>
        </w:rPr>
        <w:t xml:space="preserve">The clarification of this article is necessary to ensure equality bodies </w:t>
      </w:r>
      <w:r w:rsidR="00773D2D" w:rsidRPr="00773D2D">
        <w:rPr>
          <w:lang w:val="en-US"/>
        </w:rPr>
        <w:t>have a broad mandate to promote and support the achievement of full equality in practice</w:t>
      </w:r>
      <w:r>
        <w:rPr>
          <w:lang w:val="en-US"/>
        </w:rPr>
        <w:t>.</w:t>
      </w:r>
    </w:p>
    <w:p w14:paraId="56B68FCF" w14:textId="5A3479FD" w:rsidR="006E2C50" w:rsidRPr="00E37F74" w:rsidRDefault="00E37F74" w:rsidP="00E37F74">
      <w:pPr>
        <w:shd w:val="clear" w:color="auto" w:fill="F2F2F2" w:themeFill="background1" w:themeFillShade="F2"/>
        <w:jc w:val="center"/>
        <w:rPr>
          <w:rFonts w:cstheme="minorHAnsi"/>
          <w:b/>
          <w:noProof/>
          <w:sz w:val="24"/>
          <w:lang w:val="en-GB"/>
        </w:rPr>
      </w:pPr>
      <w:r w:rsidRPr="00E37F74">
        <w:rPr>
          <w:rFonts w:cstheme="minorHAnsi"/>
          <w:b/>
          <w:noProof/>
          <w:sz w:val="24"/>
          <w:lang w:val="en-GB"/>
        </w:rPr>
        <w:t>Communication</w:t>
      </w:r>
      <w:r w:rsidR="000839AA">
        <w:rPr>
          <w:rFonts w:cstheme="minorHAnsi"/>
          <w:b/>
          <w:noProof/>
          <w:sz w:val="24"/>
          <w:lang w:val="en-GB"/>
        </w:rPr>
        <w:t>:</w:t>
      </w:r>
      <w:r w:rsidR="002D2506">
        <w:rPr>
          <w:rFonts w:cstheme="minorHAnsi"/>
          <w:b/>
          <w:noProof/>
          <w:sz w:val="24"/>
          <w:lang w:val="en-GB"/>
        </w:rPr>
        <w:t xml:space="preserve"> An initiative to support work </w:t>
      </w:r>
      <w:r w:rsidRPr="00E37F74">
        <w:rPr>
          <w:rFonts w:cstheme="minorHAnsi"/>
          <w:b/>
          <w:noProof/>
          <w:sz w:val="24"/>
          <w:lang w:val="en-GB"/>
        </w:rPr>
        <w:t xml:space="preserve">life balance </w:t>
      </w:r>
      <w:r w:rsidR="00E1247F">
        <w:rPr>
          <w:rFonts w:cstheme="minorHAnsi"/>
          <w:b/>
          <w:noProof/>
          <w:sz w:val="24"/>
          <w:lang w:val="en-GB"/>
        </w:rPr>
        <w:t xml:space="preserve">for working parents and carers </w:t>
      </w:r>
    </w:p>
    <w:p w14:paraId="34B7CC58" w14:textId="5E5660F0" w:rsidR="006E2C50" w:rsidRDefault="00E37F74" w:rsidP="002641AA">
      <w:pPr>
        <w:jc w:val="both"/>
        <w:rPr>
          <w:rFonts w:cstheme="minorHAnsi"/>
          <w:noProof/>
          <w:lang w:val="en-GB"/>
        </w:rPr>
      </w:pPr>
      <w:r w:rsidRPr="00E37F74">
        <w:rPr>
          <w:rFonts w:cstheme="minorHAnsi"/>
          <w:noProof/>
          <w:lang w:val="en-GB"/>
        </w:rPr>
        <w:t>In addition</w:t>
      </w:r>
      <w:r>
        <w:rPr>
          <w:rFonts w:cstheme="minorHAnsi"/>
          <w:noProof/>
          <w:lang w:val="en-GB"/>
        </w:rPr>
        <w:t xml:space="preserve"> to the proposed Directive</w:t>
      </w:r>
      <w:r w:rsidRPr="00E37F74">
        <w:rPr>
          <w:rFonts w:cstheme="minorHAnsi"/>
          <w:noProof/>
          <w:lang w:val="en-GB"/>
        </w:rPr>
        <w:t>, the European Commission also released a Communication outlining non-legislative measures it will undertake in the coming years in the area of work</w:t>
      </w:r>
      <w:r w:rsidR="002D2506">
        <w:rPr>
          <w:rFonts w:cstheme="minorHAnsi"/>
          <w:noProof/>
          <w:lang w:val="en-GB"/>
        </w:rPr>
        <w:t xml:space="preserve"> </w:t>
      </w:r>
      <w:r w:rsidRPr="00E37F74">
        <w:rPr>
          <w:rFonts w:cstheme="minorHAnsi"/>
          <w:noProof/>
          <w:lang w:val="en-GB"/>
        </w:rPr>
        <w:t>life balance. The Communication aims to complement the proposed Directive.</w:t>
      </w:r>
    </w:p>
    <w:p w14:paraId="783810F3" w14:textId="3EE68900" w:rsidR="00E37F74" w:rsidRPr="00EE01FF" w:rsidRDefault="00E37F74" w:rsidP="00EE01FF">
      <w:pPr>
        <w:jc w:val="both"/>
        <w:rPr>
          <w:rFonts w:cstheme="minorHAnsi"/>
          <w:noProof/>
          <w:lang w:val="en-GB"/>
        </w:rPr>
      </w:pPr>
      <w:r w:rsidRPr="00E37F74">
        <w:rPr>
          <w:rFonts w:cstheme="minorHAnsi"/>
          <w:noProof/>
          <w:lang w:val="en-GB"/>
        </w:rPr>
        <w:t>It</w:t>
      </w:r>
      <w:r w:rsidR="00414217">
        <w:rPr>
          <w:rFonts w:cstheme="minorHAnsi"/>
          <w:noProof/>
          <w:lang w:val="en-GB"/>
        </w:rPr>
        <w:t>s priority areas for action</w:t>
      </w:r>
      <w:r w:rsidRPr="00E37F74">
        <w:rPr>
          <w:rFonts w:cstheme="minorHAnsi"/>
          <w:noProof/>
          <w:lang w:val="en-GB"/>
        </w:rPr>
        <w:t xml:space="preserve"> include:</w:t>
      </w:r>
    </w:p>
    <w:p w14:paraId="19EF2FFE" w14:textId="0C25B2ED" w:rsidR="00E37F74" w:rsidRPr="00E37F74" w:rsidRDefault="000839AA" w:rsidP="00E37F74">
      <w:pPr>
        <w:pStyle w:val="ListParagraph"/>
        <w:numPr>
          <w:ilvl w:val="0"/>
          <w:numId w:val="17"/>
        </w:numPr>
        <w:jc w:val="both"/>
        <w:rPr>
          <w:rFonts w:cstheme="minorHAnsi"/>
          <w:noProof/>
          <w:lang w:val="en-GB"/>
        </w:rPr>
      </w:pPr>
      <w:r w:rsidRPr="00E37F74">
        <w:rPr>
          <w:rFonts w:cstheme="minorHAnsi"/>
          <w:noProof/>
          <w:lang w:val="en-GB"/>
        </w:rPr>
        <w:t>Improv</w:t>
      </w:r>
      <w:r w:rsidR="00414217">
        <w:rPr>
          <w:rFonts w:cstheme="minorHAnsi"/>
          <w:noProof/>
          <w:lang w:val="en-GB"/>
        </w:rPr>
        <w:t>ing</w:t>
      </w:r>
      <w:r w:rsidRPr="00E37F74">
        <w:rPr>
          <w:rFonts w:cstheme="minorHAnsi"/>
          <w:noProof/>
          <w:lang w:val="en-GB"/>
        </w:rPr>
        <w:t xml:space="preserve"> </w:t>
      </w:r>
      <w:r w:rsidR="00E37F74" w:rsidRPr="00E37F74">
        <w:rPr>
          <w:rFonts w:cstheme="minorHAnsi"/>
          <w:noProof/>
          <w:lang w:val="en-GB"/>
        </w:rPr>
        <w:t>the design and gender-balanced take-up of family-related leaves and flexible working arrangements,</w:t>
      </w:r>
    </w:p>
    <w:p w14:paraId="4A0F6DBC" w14:textId="36E33106" w:rsidR="00414217" w:rsidRDefault="00414217" w:rsidP="00414217">
      <w:pPr>
        <w:pStyle w:val="ListParagraph"/>
        <w:numPr>
          <w:ilvl w:val="0"/>
          <w:numId w:val="17"/>
        </w:numPr>
        <w:jc w:val="both"/>
        <w:rPr>
          <w:rFonts w:cstheme="minorHAnsi"/>
          <w:noProof/>
          <w:lang w:val="en-GB"/>
        </w:rPr>
      </w:pPr>
      <w:r w:rsidRPr="00CB1446">
        <w:rPr>
          <w:rFonts w:cstheme="minorHAnsi"/>
          <w:noProof/>
          <w:lang w:val="en-US"/>
        </w:rPr>
        <w:t>Improving the quality, affordability and access to childcare and long-term care</w:t>
      </w:r>
    </w:p>
    <w:p w14:paraId="0B1C3DA1" w14:textId="69621F88" w:rsidR="00E37F74" w:rsidRPr="00E37F74" w:rsidRDefault="00E37F74" w:rsidP="00E37F74">
      <w:pPr>
        <w:pStyle w:val="ListParagraph"/>
        <w:numPr>
          <w:ilvl w:val="0"/>
          <w:numId w:val="17"/>
        </w:numPr>
        <w:jc w:val="both"/>
        <w:rPr>
          <w:rFonts w:cstheme="minorHAnsi"/>
          <w:noProof/>
          <w:lang w:val="en-GB"/>
        </w:rPr>
      </w:pPr>
      <w:r w:rsidRPr="00E37F74">
        <w:rPr>
          <w:rFonts w:cstheme="minorHAnsi"/>
          <w:noProof/>
          <w:lang w:val="en-GB"/>
        </w:rPr>
        <w:t>Address</w:t>
      </w:r>
      <w:r w:rsidR="00414217">
        <w:rPr>
          <w:rFonts w:cstheme="minorHAnsi"/>
          <w:noProof/>
          <w:lang w:val="en-GB"/>
        </w:rPr>
        <w:t>ing</w:t>
      </w:r>
      <w:r w:rsidRPr="00E37F74">
        <w:rPr>
          <w:rFonts w:cstheme="minorHAnsi"/>
          <w:noProof/>
          <w:lang w:val="en-GB"/>
        </w:rPr>
        <w:t xml:space="preserve"> economic disincentives for parents and carers to work.</w:t>
      </w:r>
    </w:p>
    <w:p w14:paraId="1F1B6674" w14:textId="03EA864B" w:rsidR="00A65AC6" w:rsidRDefault="00A65AC6" w:rsidP="00E37F74">
      <w:pPr>
        <w:jc w:val="both"/>
        <w:rPr>
          <w:rFonts w:cstheme="minorHAnsi"/>
          <w:noProof/>
          <w:lang w:val="en-GB"/>
        </w:rPr>
      </w:pPr>
      <w:r>
        <w:rPr>
          <w:rFonts w:cstheme="minorHAnsi"/>
          <w:noProof/>
          <w:lang w:val="en-GB"/>
        </w:rPr>
        <w:t>Importantly, the Communication commits EU funds to achieve progress in all these areas for actions.</w:t>
      </w:r>
    </w:p>
    <w:p w14:paraId="3A8180B1" w14:textId="121A2DBD" w:rsidR="00E37F74" w:rsidRDefault="00910B04" w:rsidP="00E37F74">
      <w:pPr>
        <w:jc w:val="both"/>
        <w:rPr>
          <w:rFonts w:cstheme="minorHAnsi"/>
          <w:noProof/>
          <w:lang w:val="en-GB"/>
        </w:rPr>
      </w:pPr>
      <w:r>
        <w:rPr>
          <w:rFonts w:cstheme="minorHAnsi"/>
          <w:noProof/>
          <w:lang w:val="en-GB"/>
        </w:rPr>
        <w:t>T</w:t>
      </w:r>
      <w:r w:rsidR="00E37F74" w:rsidRPr="00E37F74">
        <w:rPr>
          <w:rFonts w:cstheme="minorHAnsi"/>
          <w:noProof/>
          <w:lang w:val="en-GB"/>
        </w:rPr>
        <w:t xml:space="preserve">he Communication </w:t>
      </w:r>
      <w:r w:rsidR="00A65AC6">
        <w:rPr>
          <w:rFonts w:cstheme="minorHAnsi"/>
          <w:noProof/>
          <w:lang w:val="en-GB"/>
        </w:rPr>
        <w:t xml:space="preserve">also </w:t>
      </w:r>
      <w:r w:rsidR="00E37F74" w:rsidRPr="00E37F74">
        <w:rPr>
          <w:rFonts w:cstheme="minorHAnsi"/>
          <w:noProof/>
          <w:lang w:val="en-GB"/>
        </w:rPr>
        <w:t xml:space="preserve">foresees the organisation of a seminar, in cooperation with </w:t>
      </w:r>
      <w:r w:rsidR="000839AA" w:rsidRPr="00E37F74">
        <w:rPr>
          <w:rFonts w:cstheme="minorHAnsi"/>
          <w:noProof/>
          <w:lang w:val="en-GB"/>
        </w:rPr>
        <w:t>E</w:t>
      </w:r>
      <w:r w:rsidR="000839AA">
        <w:rPr>
          <w:rFonts w:cstheme="minorHAnsi"/>
          <w:noProof/>
          <w:lang w:val="en-GB"/>
        </w:rPr>
        <w:t>quinet</w:t>
      </w:r>
      <w:r w:rsidR="00E37F74" w:rsidRPr="00E37F74">
        <w:rPr>
          <w:rFonts w:cstheme="minorHAnsi"/>
          <w:noProof/>
          <w:lang w:val="en-GB"/>
        </w:rPr>
        <w:t>, on capacity building activities for equality bodies and other respective labo</w:t>
      </w:r>
      <w:r w:rsidR="000839AA">
        <w:rPr>
          <w:rFonts w:cstheme="minorHAnsi"/>
          <w:noProof/>
          <w:lang w:val="en-GB"/>
        </w:rPr>
        <w:t>u</w:t>
      </w:r>
      <w:r w:rsidR="00E37F74" w:rsidRPr="00E37F74">
        <w:rPr>
          <w:rFonts w:cstheme="minorHAnsi"/>
          <w:noProof/>
          <w:lang w:val="en-GB"/>
        </w:rPr>
        <w:t>r market supervisory bodies (Network of Labor Inspectorates, SLIC) in Member States, with a focus on dismissal protection</w:t>
      </w:r>
      <w:r w:rsidR="00E37F74">
        <w:rPr>
          <w:rFonts w:cstheme="minorHAnsi"/>
          <w:noProof/>
          <w:lang w:val="en-GB"/>
        </w:rPr>
        <w:t xml:space="preserve">. The Seminar will be organised </w:t>
      </w:r>
      <w:r>
        <w:rPr>
          <w:rFonts w:cstheme="minorHAnsi"/>
          <w:noProof/>
          <w:lang w:val="en-GB"/>
        </w:rPr>
        <w:t>around mid-October 2018.</w:t>
      </w:r>
      <w:r w:rsidR="00B0139E">
        <w:rPr>
          <w:rFonts w:cstheme="minorHAnsi"/>
          <w:noProof/>
          <w:lang w:val="en-GB"/>
        </w:rPr>
        <w:t xml:space="preserve"> It would aim for participants to:</w:t>
      </w:r>
    </w:p>
    <w:p w14:paraId="012C0B38" w14:textId="77777777" w:rsidR="00B0139E" w:rsidRPr="00B0139E" w:rsidRDefault="00B0139E" w:rsidP="00B0139E">
      <w:pPr>
        <w:pStyle w:val="ListParagraph"/>
        <w:numPr>
          <w:ilvl w:val="0"/>
          <w:numId w:val="33"/>
        </w:numPr>
        <w:jc w:val="both"/>
        <w:rPr>
          <w:rFonts w:cstheme="minorHAnsi"/>
          <w:noProof/>
          <w:lang w:val="en-GB"/>
        </w:rPr>
      </w:pPr>
      <w:r w:rsidRPr="00B0139E">
        <w:rPr>
          <w:rFonts w:cstheme="minorHAnsi"/>
          <w:noProof/>
          <w:lang w:val="en-GB"/>
        </w:rPr>
        <w:t>Familiarize themselves with a range of issues arising in the context of discriminatory dismissal and discrimination in access to statutory rights and challenges in tackling these;</w:t>
      </w:r>
    </w:p>
    <w:p w14:paraId="11B71A1F" w14:textId="77777777" w:rsidR="00B0139E" w:rsidRPr="00B0139E" w:rsidRDefault="00B0139E" w:rsidP="00B0139E">
      <w:pPr>
        <w:pStyle w:val="ListParagraph"/>
        <w:numPr>
          <w:ilvl w:val="0"/>
          <w:numId w:val="33"/>
        </w:numPr>
        <w:jc w:val="both"/>
        <w:rPr>
          <w:rFonts w:cstheme="minorHAnsi"/>
          <w:noProof/>
          <w:lang w:val="en-GB"/>
        </w:rPr>
      </w:pPr>
      <w:r w:rsidRPr="00B0139E">
        <w:rPr>
          <w:rFonts w:cstheme="minorHAnsi"/>
          <w:noProof/>
          <w:lang w:val="en-GB"/>
        </w:rPr>
        <w:t>Exchange good practices between equality bodies and labour inspectorates; </w:t>
      </w:r>
    </w:p>
    <w:p w14:paraId="3871C246" w14:textId="77777777" w:rsidR="00B0139E" w:rsidRPr="00B0139E" w:rsidRDefault="00B0139E" w:rsidP="00B0139E">
      <w:pPr>
        <w:pStyle w:val="ListParagraph"/>
        <w:numPr>
          <w:ilvl w:val="0"/>
          <w:numId w:val="33"/>
        </w:numPr>
        <w:jc w:val="both"/>
        <w:rPr>
          <w:rFonts w:cstheme="minorHAnsi"/>
          <w:noProof/>
          <w:lang w:val="en-GB"/>
        </w:rPr>
      </w:pPr>
      <w:r w:rsidRPr="00B0139E">
        <w:rPr>
          <w:rFonts w:cstheme="minorHAnsi"/>
          <w:noProof/>
          <w:lang w:val="en-GB"/>
        </w:rPr>
        <w:t>Exchange on strategies for handling discrimination and dismissal in the workplace;</w:t>
      </w:r>
    </w:p>
    <w:p w14:paraId="7F36C072" w14:textId="77777777" w:rsidR="00B0139E" w:rsidRPr="00B0139E" w:rsidRDefault="00B0139E" w:rsidP="00B0139E">
      <w:pPr>
        <w:pStyle w:val="ListParagraph"/>
        <w:numPr>
          <w:ilvl w:val="0"/>
          <w:numId w:val="33"/>
        </w:numPr>
        <w:jc w:val="both"/>
        <w:rPr>
          <w:rFonts w:cstheme="minorHAnsi"/>
          <w:noProof/>
          <w:lang w:val="en-GB"/>
        </w:rPr>
      </w:pPr>
      <w:r w:rsidRPr="00B0139E">
        <w:rPr>
          <w:rFonts w:cstheme="minorHAnsi"/>
          <w:noProof/>
          <w:lang w:val="en-GB"/>
        </w:rPr>
        <w:t>Strengthen networking and cooperation between Equinet and SLIC and their members where it already exist and initiation of possible new cooperation.</w:t>
      </w:r>
    </w:p>
    <w:p w14:paraId="5ACEA879" w14:textId="77777777" w:rsidR="00B0139E" w:rsidRPr="00B0139E" w:rsidRDefault="00B0139E" w:rsidP="00E37F74">
      <w:pPr>
        <w:jc w:val="both"/>
        <w:rPr>
          <w:rFonts w:cstheme="minorHAnsi"/>
          <w:noProof/>
          <w:lang w:val="en-US"/>
        </w:rPr>
      </w:pPr>
    </w:p>
    <w:p w14:paraId="072B366D" w14:textId="5D728B9A" w:rsidR="00A95F1A" w:rsidRPr="0076062E" w:rsidRDefault="0076062E" w:rsidP="0076062E">
      <w:pPr>
        <w:shd w:val="clear" w:color="auto" w:fill="F2F2F2" w:themeFill="background1" w:themeFillShade="F2"/>
        <w:tabs>
          <w:tab w:val="left" w:pos="7635"/>
        </w:tabs>
        <w:jc w:val="both"/>
        <w:rPr>
          <w:rFonts w:cstheme="minorHAnsi"/>
          <w:sz w:val="20"/>
          <w:lang w:val="en-US"/>
        </w:rPr>
      </w:pPr>
      <w:r w:rsidRPr="0076062E">
        <w:rPr>
          <w:rFonts w:cstheme="minorHAnsi"/>
          <w:sz w:val="20"/>
          <w:lang w:val="en-US"/>
        </w:rPr>
        <w:t xml:space="preserve">Equinet is the European Network of Equality Bodies, gathering 46 equality bodies in 34 European countries. Equality bodies are independent public institutions with a mandate to promote equality and tackle discrimination on grounds of gender, race, age, sexual orientation, religion and belief, disability and other grounds. According to EU legislation, each EU Member States have to set up one or several equality bodies with a mandate to address discrimination on the ground of gender equality. Equality bodies are also instrumental in ensuring access to justice to victims of discrimination in the European Union. More information about Equinet is available </w:t>
      </w:r>
      <w:hyperlink r:id="rId17" w:history="1">
        <w:r w:rsidRPr="0076062E">
          <w:rPr>
            <w:rStyle w:val="Hyperlink"/>
            <w:rFonts w:cstheme="minorHAnsi"/>
            <w:sz w:val="20"/>
            <w:lang w:val="en-US"/>
          </w:rPr>
          <w:t>here</w:t>
        </w:r>
      </w:hyperlink>
      <w:r w:rsidRPr="0076062E">
        <w:rPr>
          <w:rFonts w:cstheme="minorHAnsi"/>
          <w:sz w:val="20"/>
          <w:lang w:val="en-US"/>
        </w:rPr>
        <w:t>.</w:t>
      </w:r>
      <w:r w:rsidR="001C0A2A" w:rsidRPr="0076062E">
        <w:rPr>
          <w:rFonts w:cstheme="minorHAnsi"/>
          <w:sz w:val="20"/>
          <w:lang w:val="en-US"/>
        </w:rPr>
        <w:tab/>
      </w:r>
    </w:p>
    <w:sectPr w:rsidR="00A95F1A" w:rsidRPr="0076062E" w:rsidSect="001C0A2A">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0" w:footer="555"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7F3689" w15:done="0"/>
  <w15:commentEx w15:paraId="7FC98920" w15:paraIdParent="0C7F3689" w15:done="0"/>
  <w15:commentEx w15:paraId="3A7304BC" w15:paraIdParent="0C7F3689" w15:done="0"/>
  <w15:commentEx w15:paraId="26D099DC" w15:paraIdParent="0C7F3689" w15:done="0"/>
  <w15:commentEx w15:paraId="49485607" w15:done="0"/>
  <w15:commentEx w15:paraId="2B2B1960" w15:done="0"/>
  <w15:commentEx w15:paraId="685781A4" w15:done="0"/>
  <w15:commentEx w15:paraId="5140CD47" w15:done="0"/>
  <w15:commentEx w15:paraId="319ADFA3" w15:paraIdParent="5140CD47" w15:done="0"/>
  <w15:commentEx w15:paraId="5AEBA6D2" w15:paraIdParent="5140CD47" w15:done="0"/>
  <w15:commentEx w15:paraId="7B09E32C" w15:done="0"/>
  <w15:commentEx w15:paraId="5D51F7D2" w15:done="0"/>
  <w15:commentEx w15:paraId="30CF936A" w15:done="0"/>
  <w15:commentEx w15:paraId="024991EC" w15:done="0"/>
  <w15:commentEx w15:paraId="7915AEAB" w15:done="0"/>
  <w15:commentEx w15:paraId="69F7DD23" w15:done="0"/>
  <w15:commentEx w15:paraId="5BCFB17B" w15:done="0"/>
  <w15:commentEx w15:paraId="649A75C8" w15:done="0"/>
  <w15:commentEx w15:paraId="7B47BB25" w15:done="0"/>
  <w15:commentEx w15:paraId="1CE015B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63179" w14:textId="77777777" w:rsidR="00163399" w:rsidRDefault="00163399" w:rsidP="00F050EC">
      <w:pPr>
        <w:spacing w:after="0" w:line="240" w:lineRule="auto"/>
      </w:pPr>
      <w:r>
        <w:separator/>
      </w:r>
    </w:p>
  </w:endnote>
  <w:endnote w:type="continuationSeparator" w:id="0">
    <w:p w14:paraId="11957EAF" w14:textId="77777777" w:rsidR="00163399" w:rsidRDefault="00163399" w:rsidP="00F05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CE8767" w14:textId="77777777" w:rsidR="00E1247F" w:rsidRDefault="00E124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904727"/>
      <w:docPartObj>
        <w:docPartGallery w:val="Page Numbers (Bottom of Page)"/>
        <w:docPartUnique/>
      </w:docPartObj>
    </w:sdtPr>
    <w:sdtEndPr>
      <w:rPr>
        <w:noProof/>
      </w:rPr>
    </w:sdtEndPr>
    <w:sdtContent>
      <w:p w14:paraId="1D1D9247" w14:textId="07D0ED80" w:rsidR="00FF12A9" w:rsidRDefault="00FF12A9">
        <w:pPr>
          <w:pStyle w:val="Footer"/>
          <w:jc w:val="center"/>
        </w:pPr>
        <w:r>
          <w:fldChar w:fldCharType="begin"/>
        </w:r>
        <w:r>
          <w:instrText xml:space="preserve"> PAGE   \* MERGEFORMAT </w:instrText>
        </w:r>
        <w:r>
          <w:fldChar w:fldCharType="separate"/>
        </w:r>
        <w:r w:rsidR="002D2506">
          <w:rPr>
            <w:noProof/>
          </w:rPr>
          <w:t>4</w:t>
        </w:r>
        <w:r>
          <w:rPr>
            <w:noProof/>
          </w:rPr>
          <w:fldChar w:fldCharType="end"/>
        </w:r>
      </w:p>
    </w:sdtContent>
  </w:sdt>
  <w:p w14:paraId="31FAA791" w14:textId="77777777" w:rsidR="00FF12A9" w:rsidRDefault="00FF12A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F810A" w14:textId="77777777" w:rsidR="00E1247F" w:rsidRDefault="00E124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C81997" w14:textId="77777777" w:rsidR="00163399" w:rsidRDefault="00163399" w:rsidP="00F050EC">
      <w:pPr>
        <w:spacing w:after="0" w:line="240" w:lineRule="auto"/>
      </w:pPr>
      <w:r>
        <w:separator/>
      </w:r>
    </w:p>
  </w:footnote>
  <w:footnote w:type="continuationSeparator" w:id="0">
    <w:p w14:paraId="45CF49DA" w14:textId="77777777" w:rsidR="00163399" w:rsidRDefault="00163399" w:rsidP="00F050EC">
      <w:pPr>
        <w:spacing w:after="0" w:line="240" w:lineRule="auto"/>
      </w:pPr>
      <w:r>
        <w:continuationSeparator/>
      </w:r>
    </w:p>
  </w:footnote>
  <w:footnote w:id="1">
    <w:p w14:paraId="7421014C" w14:textId="3E14B9B4" w:rsidR="00003AB8" w:rsidRPr="00003AB8" w:rsidRDefault="00003AB8">
      <w:pPr>
        <w:pStyle w:val="FootnoteText"/>
        <w:rPr>
          <w:lang w:val="en-US"/>
        </w:rPr>
      </w:pPr>
      <w:r>
        <w:rPr>
          <w:rStyle w:val="FootnoteReference"/>
        </w:rPr>
        <w:footnoteRef/>
      </w:r>
      <w:r w:rsidRPr="00003AB8">
        <w:rPr>
          <w:lang w:val="en-US"/>
        </w:rPr>
        <w:t xml:space="preserve"> </w:t>
      </w:r>
      <w:hyperlink r:id="rId1" w:history="1">
        <w:r w:rsidRPr="00003AB8">
          <w:rPr>
            <w:rStyle w:val="Hyperlink"/>
            <w:rFonts w:cstheme="minorHAnsi"/>
            <w:noProof/>
            <w:szCs w:val="24"/>
            <w:lang w:val="en-GB"/>
          </w:rPr>
          <w:t>EIGE Gender Equality Index 2017</w:t>
        </w:r>
      </w:hyperlink>
    </w:p>
  </w:footnote>
  <w:footnote w:id="2">
    <w:p w14:paraId="71B36EC4" w14:textId="55AB1994" w:rsidR="00003AB8" w:rsidRPr="00003AB8" w:rsidRDefault="00003AB8">
      <w:pPr>
        <w:pStyle w:val="FootnoteText"/>
        <w:rPr>
          <w:lang w:val="en-US"/>
        </w:rPr>
      </w:pPr>
      <w:r>
        <w:rPr>
          <w:rStyle w:val="FootnoteReference"/>
        </w:rPr>
        <w:footnoteRef/>
      </w:r>
      <w:r w:rsidRPr="00003AB8">
        <w:rPr>
          <w:lang w:val="en-US"/>
        </w:rPr>
        <w:t xml:space="preserve"> </w:t>
      </w:r>
      <w:r w:rsidRPr="00020F80">
        <w:rPr>
          <w:rFonts w:cstheme="minorHAnsi"/>
          <w:noProof/>
          <w:szCs w:val="24"/>
          <w:lang w:val="en-GB"/>
        </w:rPr>
        <w:t>Eurostat 2013</w:t>
      </w:r>
    </w:p>
  </w:footnote>
  <w:footnote w:id="3">
    <w:p w14:paraId="15776107" w14:textId="2D17DFC7" w:rsidR="00003AB8" w:rsidRPr="00003AB8" w:rsidRDefault="00003AB8">
      <w:pPr>
        <w:pStyle w:val="FootnoteText"/>
        <w:rPr>
          <w:lang w:val="en-US"/>
        </w:rPr>
      </w:pPr>
      <w:r>
        <w:rPr>
          <w:rStyle w:val="FootnoteReference"/>
        </w:rPr>
        <w:footnoteRef/>
      </w:r>
      <w:r w:rsidRPr="00003AB8">
        <w:rPr>
          <w:lang w:val="en-US"/>
        </w:rPr>
        <w:t xml:space="preserve"> </w:t>
      </w:r>
      <w:r>
        <w:rPr>
          <w:rFonts w:cstheme="minorHAnsi"/>
          <w:noProof/>
          <w:szCs w:val="24"/>
          <w:lang w:val="en-GB"/>
        </w:rPr>
        <w:t>European Commission</w:t>
      </w:r>
    </w:p>
  </w:footnote>
  <w:footnote w:id="4">
    <w:p w14:paraId="5E54D98F" w14:textId="6F523385" w:rsidR="00F12611" w:rsidRPr="00F12611" w:rsidRDefault="00F12611" w:rsidP="00F12611">
      <w:pPr>
        <w:pStyle w:val="FootnoteText"/>
        <w:rPr>
          <w:lang w:val="en-US"/>
        </w:rPr>
      </w:pPr>
      <w:r w:rsidRPr="00F12611">
        <w:rPr>
          <w:rStyle w:val="FootnoteReference"/>
          <w:b/>
        </w:rPr>
        <w:footnoteRef/>
      </w:r>
      <w:r w:rsidR="00003AB8">
        <w:rPr>
          <w:b/>
          <w:lang w:val="en-US"/>
        </w:rPr>
        <w:t xml:space="preserve"> </w:t>
      </w:r>
      <w:r w:rsidRPr="00F12611">
        <w:rPr>
          <w:lang w:val="en-US"/>
        </w:rPr>
        <w:t xml:space="preserve">European Parliament – </w:t>
      </w:r>
      <w:r w:rsidR="002D2506">
        <w:fldChar w:fldCharType="begin"/>
      </w:r>
      <w:r w:rsidR="002D2506" w:rsidRPr="002D2506">
        <w:rPr>
          <w:lang w:val="en-US"/>
        </w:rPr>
        <w:instrText xml:space="preserve"> HYPERLINK "http://www.europarl.europa.eu/RegData/etudes/BRIE/2017/599323/EPRS_BRI(2017)599323_EN.pdf"</w:instrText>
      </w:r>
      <w:r w:rsidR="002D2506" w:rsidRPr="002D2506">
        <w:rPr>
          <w:lang w:val="en-US"/>
        </w:rPr>
        <w:instrText xml:space="preserve"> </w:instrText>
      </w:r>
      <w:r w:rsidR="002D2506">
        <w:fldChar w:fldCharType="separate"/>
      </w:r>
      <w:r w:rsidRPr="00003AB8">
        <w:rPr>
          <w:rStyle w:val="Hyperlink"/>
          <w:lang w:val="en-US"/>
        </w:rPr>
        <w:t>Briefing : Maternity, paternity and parental leave in the EU (March 2017)</w:t>
      </w:r>
      <w:r w:rsidR="002D2506">
        <w:rPr>
          <w:rStyle w:val="Hyperlink"/>
          <w:lang w:val="en-US"/>
        </w:rPr>
        <w:fldChar w:fldCharType="end"/>
      </w:r>
    </w:p>
  </w:footnote>
  <w:footnote w:id="5">
    <w:p w14:paraId="5B92D246" w14:textId="77777777" w:rsidR="00163399" w:rsidRPr="00685722" w:rsidRDefault="00163399" w:rsidP="00CE1F68">
      <w:pPr>
        <w:pStyle w:val="FootnoteText"/>
        <w:rPr>
          <w:lang w:val="en-US"/>
        </w:rPr>
      </w:pPr>
      <w:r w:rsidRPr="00CE1F68">
        <w:rPr>
          <w:lang w:val="en-US"/>
        </w:rPr>
        <w:footnoteRef/>
      </w:r>
      <w:r w:rsidRPr="00685722">
        <w:rPr>
          <w:lang w:val="en-US"/>
        </w:rPr>
        <w:t xml:space="preserve"> http://ec.europa.eu/social/main.jsp?&amp;catId=1311&amp;langId=en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521B65" w14:textId="77777777" w:rsidR="00E1247F" w:rsidRDefault="00E124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E3B59C" w14:textId="19676B94" w:rsidR="00163399" w:rsidRPr="00C35273" w:rsidRDefault="00163399" w:rsidP="009C07EB">
    <w:pPr>
      <w:pStyle w:val="Header"/>
      <w:jc w:val="cent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FD82B" w14:textId="77777777" w:rsidR="00E1247F" w:rsidRDefault="00E124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9393E"/>
    <w:multiLevelType w:val="multilevel"/>
    <w:tmpl w:val="72161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617814"/>
    <w:multiLevelType w:val="hybridMultilevel"/>
    <w:tmpl w:val="E54C593A"/>
    <w:lvl w:ilvl="0" w:tplc="21A894AA">
      <w:start w:val="10"/>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8293C28"/>
    <w:multiLevelType w:val="hybridMultilevel"/>
    <w:tmpl w:val="3656D63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0FFE4458"/>
    <w:multiLevelType w:val="hybridMultilevel"/>
    <w:tmpl w:val="438016BA"/>
    <w:lvl w:ilvl="0" w:tplc="080C0001">
      <w:start w:val="1"/>
      <w:numFmt w:val="bullet"/>
      <w:lvlText w:val=""/>
      <w:lvlJc w:val="left"/>
      <w:pPr>
        <w:ind w:left="1776" w:hanging="360"/>
      </w:pPr>
      <w:rPr>
        <w:rFonts w:ascii="Symbol" w:hAnsi="Symbol" w:hint="default"/>
      </w:rPr>
    </w:lvl>
    <w:lvl w:ilvl="1" w:tplc="080C0003" w:tentative="1">
      <w:start w:val="1"/>
      <w:numFmt w:val="bullet"/>
      <w:lvlText w:val="o"/>
      <w:lvlJc w:val="left"/>
      <w:pPr>
        <w:ind w:left="2496" w:hanging="360"/>
      </w:pPr>
      <w:rPr>
        <w:rFonts w:ascii="Courier New" w:hAnsi="Courier New" w:cs="Courier New" w:hint="default"/>
      </w:rPr>
    </w:lvl>
    <w:lvl w:ilvl="2" w:tplc="080C0005" w:tentative="1">
      <w:start w:val="1"/>
      <w:numFmt w:val="bullet"/>
      <w:lvlText w:val=""/>
      <w:lvlJc w:val="left"/>
      <w:pPr>
        <w:ind w:left="3216" w:hanging="360"/>
      </w:pPr>
      <w:rPr>
        <w:rFonts w:ascii="Wingdings" w:hAnsi="Wingdings" w:hint="default"/>
      </w:rPr>
    </w:lvl>
    <w:lvl w:ilvl="3" w:tplc="080C0001" w:tentative="1">
      <w:start w:val="1"/>
      <w:numFmt w:val="bullet"/>
      <w:lvlText w:val=""/>
      <w:lvlJc w:val="left"/>
      <w:pPr>
        <w:ind w:left="3936" w:hanging="360"/>
      </w:pPr>
      <w:rPr>
        <w:rFonts w:ascii="Symbol" w:hAnsi="Symbol" w:hint="default"/>
      </w:rPr>
    </w:lvl>
    <w:lvl w:ilvl="4" w:tplc="080C0003" w:tentative="1">
      <w:start w:val="1"/>
      <w:numFmt w:val="bullet"/>
      <w:lvlText w:val="o"/>
      <w:lvlJc w:val="left"/>
      <w:pPr>
        <w:ind w:left="4656" w:hanging="360"/>
      </w:pPr>
      <w:rPr>
        <w:rFonts w:ascii="Courier New" w:hAnsi="Courier New" w:cs="Courier New" w:hint="default"/>
      </w:rPr>
    </w:lvl>
    <w:lvl w:ilvl="5" w:tplc="080C0005" w:tentative="1">
      <w:start w:val="1"/>
      <w:numFmt w:val="bullet"/>
      <w:lvlText w:val=""/>
      <w:lvlJc w:val="left"/>
      <w:pPr>
        <w:ind w:left="5376" w:hanging="360"/>
      </w:pPr>
      <w:rPr>
        <w:rFonts w:ascii="Wingdings" w:hAnsi="Wingdings" w:hint="default"/>
      </w:rPr>
    </w:lvl>
    <w:lvl w:ilvl="6" w:tplc="080C0001" w:tentative="1">
      <w:start w:val="1"/>
      <w:numFmt w:val="bullet"/>
      <w:lvlText w:val=""/>
      <w:lvlJc w:val="left"/>
      <w:pPr>
        <w:ind w:left="6096" w:hanging="360"/>
      </w:pPr>
      <w:rPr>
        <w:rFonts w:ascii="Symbol" w:hAnsi="Symbol" w:hint="default"/>
      </w:rPr>
    </w:lvl>
    <w:lvl w:ilvl="7" w:tplc="080C0003" w:tentative="1">
      <w:start w:val="1"/>
      <w:numFmt w:val="bullet"/>
      <w:lvlText w:val="o"/>
      <w:lvlJc w:val="left"/>
      <w:pPr>
        <w:ind w:left="6816" w:hanging="360"/>
      </w:pPr>
      <w:rPr>
        <w:rFonts w:ascii="Courier New" w:hAnsi="Courier New" w:cs="Courier New" w:hint="default"/>
      </w:rPr>
    </w:lvl>
    <w:lvl w:ilvl="8" w:tplc="080C0005" w:tentative="1">
      <w:start w:val="1"/>
      <w:numFmt w:val="bullet"/>
      <w:lvlText w:val=""/>
      <w:lvlJc w:val="left"/>
      <w:pPr>
        <w:ind w:left="7536" w:hanging="360"/>
      </w:pPr>
      <w:rPr>
        <w:rFonts w:ascii="Wingdings" w:hAnsi="Wingdings" w:hint="default"/>
      </w:rPr>
    </w:lvl>
  </w:abstractNum>
  <w:abstractNum w:abstractNumId="4">
    <w:nsid w:val="12366044"/>
    <w:multiLevelType w:val="hybridMultilevel"/>
    <w:tmpl w:val="95CAE69E"/>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13554C02"/>
    <w:multiLevelType w:val="multilevel"/>
    <w:tmpl w:val="39B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6908F4"/>
    <w:multiLevelType w:val="hybridMultilevel"/>
    <w:tmpl w:val="2A92A008"/>
    <w:lvl w:ilvl="0" w:tplc="D47417B0">
      <w:start w:val="1"/>
      <w:numFmt w:val="bullet"/>
      <w:lvlText w:val=""/>
      <w:lvlJc w:val="left"/>
      <w:pPr>
        <w:ind w:left="720" w:hanging="360"/>
      </w:pPr>
      <w:rPr>
        <w:rFonts w:ascii="Symbol" w:hAnsi="Symbol" w:hint="default"/>
        <w:color w:val="auto"/>
        <w:sz w:val="2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A4F79A5"/>
    <w:multiLevelType w:val="hybridMultilevel"/>
    <w:tmpl w:val="556C955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D8A70C2"/>
    <w:multiLevelType w:val="hybridMultilevel"/>
    <w:tmpl w:val="3872C4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1F44221C"/>
    <w:multiLevelType w:val="hybridMultilevel"/>
    <w:tmpl w:val="415A6E42"/>
    <w:lvl w:ilvl="0" w:tplc="8DD472B0">
      <w:start w:val="1"/>
      <w:numFmt w:val="decimal"/>
      <w:lvlText w:val="%1."/>
      <w:lvlJc w:val="left"/>
      <w:pPr>
        <w:ind w:left="405" w:hanging="360"/>
      </w:pPr>
      <w:rPr>
        <w:rFonts w:hint="default"/>
      </w:rPr>
    </w:lvl>
    <w:lvl w:ilvl="1" w:tplc="080C0019" w:tentative="1">
      <w:start w:val="1"/>
      <w:numFmt w:val="lowerLetter"/>
      <w:lvlText w:val="%2."/>
      <w:lvlJc w:val="left"/>
      <w:pPr>
        <w:ind w:left="1125" w:hanging="360"/>
      </w:pPr>
    </w:lvl>
    <w:lvl w:ilvl="2" w:tplc="080C001B" w:tentative="1">
      <w:start w:val="1"/>
      <w:numFmt w:val="lowerRoman"/>
      <w:lvlText w:val="%3."/>
      <w:lvlJc w:val="right"/>
      <w:pPr>
        <w:ind w:left="1845" w:hanging="180"/>
      </w:pPr>
    </w:lvl>
    <w:lvl w:ilvl="3" w:tplc="080C000F" w:tentative="1">
      <w:start w:val="1"/>
      <w:numFmt w:val="decimal"/>
      <w:lvlText w:val="%4."/>
      <w:lvlJc w:val="left"/>
      <w:pPr>
        <w:ind w:left="2565" w:hanging="360"/>
      </w:pPr>
    </w:lvl>
    <w:lvl w:ilvl="4" w:tplc="080C0019" w:tentative="1">
      <w:start w:val="1"/>
      <w:numFmt w:val="lowerLetter"/>
      <w:lvlText w:val="%5."/>
      <w:lvlJc w:val="left"/>
      <w:pPr>
        <w:ind w:left="3285" w:hanging="360"/>
      </w:pPr>
    </w:lvl>
    <w:lvl w:ilvl="5" w:tplc="080C001B" w:tentative="1">
      <w:start w:val="1"/>
      <w:numFmt w:val="lowerRoman"/>
      <w:lvlText w:val="%6."/>
      <w:lvlJc w:val="right"/>
      <w:pPr>
        <w:ind w:left="4005" w:hanging="180"/>
      </w:pPr>
    </w:lvl>
    <w:lvl w:ilvl="6" w:tplc="080C000F" w:tentative="1">
      <w:start w:val="1"/>
      <w:numFmt w:val="decimal"/>
      <w:lvlText w:val="%7."/>
      <w:lvlJc w:val="left"/>
      <w:pPr>
        <w:ind w:left="4725" w:hanging="360"/>
      </w:pPr>
    </w:lvl>
    <w:lvl w:ilvl="7" w:tplc="080C0019" w:tentative="1">
      <w:start w:val="1"/>
      <w:numFmt w:val="lowerLetter"/>
      <w:lvlText w:val="%8."/>
      <w:lvlJc w:val="left"/>
      <w:pPr>
        <w:ind w:left="5445" w:hanging="360"/>
      </w:pPr>
    </w:lvl>
    <w:lvl w:ilvl="8" w:tplc="080C001B" w:tentative="1">
      <w:start w:val="1"/>
      <w:numFmt w:val="lowerRoman"/>
      <w:lvlText w:val="%9."/>
      <w:lvlJc w:val="right"/>
      <w:pPr>
        <w:ind w:left="6165" w:hanging="180"/>
      </w:pPr>
    </w:lvl>
  </w:abstractNum>
  <w:abstractNum w:abstractNumId="10">
    <w:nsid w:val="1F7044B0"/>
    <w:multiLevelType w:val="hybridMultilevel"/>
    <w:tmpl w:val="B0006DF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239D7AA0"/>
    <w:multiLevelType w:val="hybridMultilevel"/>
    <w:tmpl w:val="CE8A21CC"/>
    <w:lvl w:ilvl="0" w:tplc="E410BE48">
      <w:start w:val="1"/>
      <w:numFmt w:val="decimal"/>
      <w:lvlText w:val="%1."/>
      <w:lvlJc w:val="left"/>
      <w:pPr>
        <w:ind w:left="360" w:hanging="360"/>
      </w:pPr>
      <w:rPr>
        <w:b/>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nsid w:val="241159F7"/>
    <w:multiLevelType w:val="hybridMultilevel"/>
    <w:tmpl w:val="1E3A1BE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71F1654"/>
    <w:multiLevelType w:val="hybridMultilevel"/>
    <w:tmpl w:val="AA5E78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nsid w:val="30254AF2"/>
    <w:multiLevelType w:val="hybridMultilevel"/>
    <w:tmpl w:val="46188926"/>
    <w:lvl w:ilvl="0" w:tplc="080C000B">
      <w:start w:val="1"/>
      <w:numFmt w:val="bullet"/>
      <w:lvlText w:val=""/>
      <w:lvlJc w:val="left"/>
      <w:pPr>
        <w:ind w:left="1068" w:hanging="360"/>
      </w:pPr>
      <w:rPr>
        <w:rFonts w:ascii="Wingdings" w:hAnsi="Wingdings" w:hint="default"/>
        <w:b/>
      </w:rPr>
    </w:lvl>
    <w:lvl w:ilvl="1" w:tplc="080C0019" w:tentative="1">
      <w:start w:val="1"/>
      <w:numFmt w:val="lowerLetter"/>
      <w:lvlText w:val="%2."/>
      <w:lvlJc w:val="left"/>
      <w:pPr>
        <w:ind w:left="1068" w:hanging="360"/>
      </w:pPr>
    </w:lvl>
    <w:lvl w:ilvl="2" w:tplc="080C001B" w:tentative="1">
      <w:start w:val="1"/>
      <w:numFmt w:val="lowerRoman"/>
      <w:lvlText w:val="%3."/>
      <w:lvlJc w:val="right"/>
      <w:pPr>
        <w:ind w:left="1788" w:hanging="180"/>
      </w:pPr>
    </w:lvl>
    <w:lvl w:ilvl="3" w:tplc="080C000F" w:tentative="1">
      <w:start w:val="1"/>
      <w:numFmt w:val="decimal"/>
      <w:lvlText w:val="%4."/>
      <w:lvlJc w:val="left"/>
      <w:pPr>
        <w:ind w:left="2508" w:hanging="360"/>
      </w:pPr>
    </w:lvl>
    <w:lvl w:ilvl="4" w:tplc="080C0019" w:tentative="1">
      <w:start w:val="1"/>
      <w:numFmt w:val="lowerLetter"/>
      <w:lvlText w:val="%5."/>
      <w:lvlJc w:val="left"/>
      <w:pPr>
        <w:ind w:left="3228" w:hanging="360"/>
      </w:pPr>
    </w:lvl>
    <w:lvl w:ilvl="5" w:tplc="080C001B" w:tentative="1">
      <w:start w:val="1"/>
      <w:numFmt w:val="lowerRoman"/>
      <w:lvlText w:val="%6."/>
      <w:lvlJc w:val="right"/>
      <w:pPr>
        <w:ind w:left="3948" w:hanging="180"/>
      </w:pPr>
    </w:lvl>
    <w:lvl w:ilvl="6" w:tplc="080C000F" w:tentative="1">
      <w:start w:val="1"/>
      <w:numFmt w:val="decimal"/>
      <w:lvlText w:val="%7."/>
      <w:lvlJc w:val="left"/>
      <w:pPr>
        <w:ind w:left="4668" w:hanging="360"/>
      </w:pPr>
    </w:lvl>
    <w:lvl w:ilvl="7" w:tplc="080C0019" w:tentative="1">
      <w:start w:val="1"/>
      <w:numFmt w:val="lowerLetter"/>
      <w:lvlText w:val="%8."/>
      <w:lvlJc w:val="left"/>
      <w:pPr>
        <w:ind w:left="5388" w:hanging="360"/>
      </w:pPr>
    </w:lvl>
    <w:lvl w:ilvl="8" w:tplc="080C001B" w:tentative="1">
      <w:start w:val="1"/>
      <w:numFmt w:val="lowerRoman"/>
      <w:lvlText w:val="%9."/>
      <w:lvlJc w:val="right"/>
      <w:pPr>
        <w:ind w:left="6108" w:hanging="180"/>
      </w:pPr>
    </w:lvl>
  </w:abstractNum>
  <w:abstractNum w:abstractNumId="15">
    <w:nsid w:val="35C74E69"/>
    <w:multiLevelType w:val="hybridMultilevel"/>
    <w:tmpl w:val="D47AC3F8"/>
    <w:lvl w:ilvl="0" w:tplc="080C000D">
      <w:start w:val="1"/>
      <w:numFmt w:val="bullet"/>
      <w:lvlText w:val=""/>
      <w:lvlJc w:val="left"/>
      <w:pPr>
        <w:ind w:left="360" w:hanging="360"/>
      </w:pPr>
      <w:rPr>
        <w:rFonts w:ascii="Wingdings" w:hAnsi="Wingdings" w:hint="default"/>
        <w:b/>
      </w:rPr>
    </w:lvl>
    <w:lvl w:ilvl="1" w:tplc="080C0003">
      <w:start w:val="1"/>
      <w:numFmt w:val="bullet"/>
      <w:lvlText w:val="o"/>
      <w:lvlJc w:val="left"/>
      <w:pPr>
        <w:ind w:left="1080" w:hanging="360"/>
      </w:pPr>
      <w:rPr>
        <w:rFonts w:ascii="Courier New" w:hAnsi="Courier New" w:cs="Courier New" w:hint="default"/>
      </w:r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nsid w:val="36FA5086"/>
    <w:multiLevelType w:val="hybridMultilevel"/>
    <w:tmpl w:val="F384B10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3DAA5DBE"/>
    <w:multiLevelType w:val="hybridMultilevel"/>
    <w:tmpl w:val="D46AA152"/>
    <w:lvl w:ilvl="0" w:tplc="D4E2691C">
      <w:start w:val="10"/>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nsid w:val="43E744AD"/>
    <w:multiLevelType w:val="multilevel"/>
    <w:tmpl w:val="DFC4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CF7EFB"/>
    <w:multiLevelType w:val="hybridMultilevel"/>
    <w:tmpl w:val="72244BC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50423E1B"/>
    <w:multiLevelType w:val="hybridMultilevel"/>
    <w:tmpl w:val="E508F7F0"/>
    <w:lvl w:ilvl="0" w:tplc="21A894AA">
      <w:start w:val="10"/>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nsid w:val="53547AB2"/>
    <w:multiLevelType w:val="hybridMultilevel"/>
    <w:tmpl w:val="821A816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2">
    <w:nsid w:val="53CB5DD5"/>
    <w:multiLevelType w:val="hybridMultilevel"/>
    <w:tmpl w:val="0C4AF2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53FA64B7"/>
    <w:multiLevelType w:val="hybridMultilevel"/>
    <w:tmpl w:val="69DCB0A2"/>
    <w:lvl w:ilvl="0" w:tplc="EC16A94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nsid w:val="55350A12"/>
    <w:multiLevelType w:val="hybridMultilevel"/>
    <w:tmpl w:val="A3D6C4C2"/>
    <w:lvl w:ilvl="0" w:tplc="C428B5C2">
      <w:start w:val="1"/>
      <w:numFmt w:val="decimal"/>
      <w:lvlText w:val="%1)"/>
      <w:lvlJc w:val="left"/>
      <w:pPr>
        <w:ind w:left="1440" w:hanging="360"/>
      </w:pPr>
      <w:rPr>
        <w:b/>
      </w:rPr>
    </w:lvl>
    <w:lvl w:ilvl="1" w:tplc="080C0019">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25">
    <w:nsid w:val="58CF4B85"/>
    <w:multiLevelType w:val="hybridMultilevel"/>
    <w:tmpl w:val="E29AE7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nsid w:val="5C416BB7"/>
    <w:multiLevelType w:val="hybridMultilevel"/>
    <w:tmpl w:val="2A929726"/>
    <w:lvl w:ilvl="0" w:tplc="72E67A3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nsid w:val="65A66E12"/>
    <w:multiLevelType w:val="hybridMultilevel"/>
    <w:tmpl w:val="F4EA6F7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8">
    <w:nsid w:val="6675750E"/>
    <w:multiLevelType w:val="hybridMultilevel"/>
    <w:tmpl w:val="B7E43582"/>
    <w:lvl w:ilvl="0" w:tplc="080C000B">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nsid w:val="6863781C"/>
    <w:multiLevelType w:val="hybridMultilevel"/>
    <w:tmpl w:val="AE045810"/>
    <w:lvl w:ilvl="0" w:tplc="F43EB45C">
      <w:start w:val="10"/>
      <w:numFmt w:val="bullet"/>
      <w:lvlText w:val="-"/>
      <w:lvlJc w:val="left"/>
      <w:pPr>
        <w:ind w:left="720" w:hanging="360"/>
      </w:pPr>
      <w:rPr>
        <w:rFonts w:ascii="Calibri" w:eastAsiaTheme="minorHAnsi" w:hAnsi="Calibri" w:cstheme="minorHAns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nsid w:val="70523F03"/>
    <w:multiLevelType w:val="hybridMultilevel"/>
    <w:tmpl w:val="3538FA4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nsid w:val="71D71F72"/>
    <w:multiLevelType w:val="multilevel"/>
    <w:tmpl w:val="3198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56B5AE3"/>
    <w:multiLevelType w:val="hybridMultilevel"/>
    <w:tmpl w:val="BCC8D7B8"/>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16"/>
  </w:num>
  <w:num w:numId="2">
    <w:abstractNumId w:val="3"/>
  </w:num>
  <w:num w:numId="3">
    <w:abstractNumId w:val="21"/>
  </w:num>
  <w:num w:numId="4">
    <w:abstractNumId w:val="11"/>
  </w:num>
  <w:num w:numId="5">
    <w:abstractNumId w:val="27"/>
  </w:num>
  <w:num w:numId="6">
    <w:abstractNumId w:val="2"/>
  </w:num>
  <w:num w:numId="7">
    <w:abstractNumId w:val="24"/>
  </w:num>
  <w:num w:numId="8">
    <w:abstractNumId w:val="15"/>
  </w:num>
  <w:num w:numId="9">
    <w:abstractNumId w:val="14"/>
  </w:num>
  <w:num w:numId="10">
    <w:abstractNumId w:val="28"/>
  </w:num>
  <w:num w:numId="11">
    <w:abstractNumId w:val="4"/>
  </w:num>
  <w:num w:numId="12">
    <w:abstractNumId w:val="26"/>
  </w:num>
  <w:num w:numId="13">
    <w:abstractNumId w:val="9"/>
  </w:num>
  <w:num w:numId="14">
    <w:abstractNumId w:val="7"/>
  </w:num>
  <w:num w:numId="15">
    <w:abstractNumId w:val="6"/>
  </w:num>
  <w:num w:numId="16">
    <w:abstractNumId w:val="19"/>
  </w:num>
  <w:num w:numId="17">
    <w:abstractNumId w:val="23"/>
  </w:num>
  <w:num w:numId="18">
    <w:abstractNumId w:val="8"/>
  </w:num>
  <w:num w:numId="19">
    <w:abstractNumId w:val="5"/>
  </w:num>
  <w:num w:numId="20">
    <w:abstractNumId w:val="0"/>
  </w:num>
  <w:num w:numId="21">
    <w:abstractNumId w:val="18"/>
  </w:num>
  <w:num w:numId="22">
    <w:abstractNumId w:val="13"/>
  </w:num>
  <w:num w:numId="23">
    <w:abstractNumId w:val="10"/>
  </w:num>
  <w:num w:numId="24">
    <w:abstractNumId w:val="32"/>
  </w:num>
  <w:num w:numId="25">
    <w:abstractNumId w:val="29"/>
  </w:num>
  <w:num w:numId="26">
    <w:abstractNumId w:val="17"/>
  </w:num>
  <w:num w:numId="27">
    <w:abstractNumId w:val="20"/>
  </w:num>
  <w:num w:numId="28">
    <w:abstractNumId w:val="1"/>
  </w:num>
  <w:num w:numId="29">
    <w:abstractNumId w:val="22"/>
  </w:num>
  <w:num w:numId="30">
    <w:abstractNumId w:val="25"/>
  </w:num>
  <w:num w:numId="31">
    <w:abstractNumId w:val="12"/>
  </w:num>
  <w:num w:numId="32">
    <w:abstractNumId w:val="31"/>
  </w:num>
  <w:num w:numId="33">
    <w:abstractNumId w:val="3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mas Kadar">
    <w15:presenceInfo w15:providerId="AD" w15:userId="S-1-5-21-1349908462-596698765-2432103350-1778"/>
  </w15:person>
  <w15:person w15:author="Jessica Machacova">
    <w15:presenceInfo w15:providerId="AD" w15:userId="S-1-5-21-1349908462-596698765-2432103350-4156"/>
  </w15:person>
  <w15:person w15:author="Katrine Steinfeld">
    <w15:presenceInfo w15:providerId="AD" w15:userId="S-1-5-21-1349908462-596698765-2432103350-427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E1A"/>
    <w:rsid w:val="00003AB8"/>
    <w:rsid w:val="00020606"/>
    <w:rsid w:val="00020F80"/>
    <w:rsid w:val="00047A1C"/>
    <w:rsid w:val="000839AA"/>
    <w:rsid w:val="00083C2B"/>
    <w:rsid w:val="00084194"/>
    <w:rsid w:val="00086DE1"/>
    <w:rsid w:val="000D3315"/>
    <w:rsid w:val="00103F19"/>
    <w:rsid w:val="00113995"/>
    <w:rsid w:val="0013782D"/>
    <w:rsid w:val="001565F4"/>
    <w:rsid w:val="00163399"/>
    <w:rsid w:val="0016388F"/>
    <w:rsid w:val="00197088"/>
    <w:rsid w:val="001A739D"/>
    <w:rsid w:val="001C0A2A"/>
    <w:rsid w:val="001F11B6"/>
    <w:rsid w:val="00215AE4"/>
    <w:rsid w:val="0025317F"/>
    <w:rsid w:val="00261F89"/>
    <w:rsid w:val="002641AA"/>
    <w:rsid w:val="0026595C"/>
    <w:rsid w:val="00283911"/>
    <w:rsid w:val="0029104B"/>
    <w:rsid w:val="002A1CFE"/>
    <w:rsid w:val="002A234F"/>
    <w:rsid w:val="002A2BC5"/>
    <w:rsid w:val="002A63F8"/>
    <w:rsid w:val="002B052C"/>
    <w:rsid w:val="002D2506"/>
    <w:rsid w:val="003165A0"/>
    <w:rsid w:val="00331D31"/>
    <w:rsid w:val="00353415"/>
    <w:rsid w:val="00356645"/>
    <w:rsid w:val="00361222"/>
    <w:rsid w:val="003850FB"/>
    <w:rsid w:val="003900C1"/>
    <w:rsid w:val="003A5442"/>
    <w:rsid w:val="003D59CC"/>
    <w:rsid w:val="003F294C"/>
    <w:rsid w:val="00400D5F"/>
    <w:rsid w:val="00414217"/>
    <w:rsid w:val="00415EE7"/>
    <w:rsid w:val="004334E3"/>
    <w:rsid w:val="00470FAB"/>
    <w:rsid w:val="004816D1"/>
    <w:rsid w:val="004A7C2C"/>
    <w:rsid w:val="004D1564"/>
    <w:rsid w:val="004E6D22"/>
    <w:rsid w:val="004F7BF1"/>
    <w:rsid w:val="005023FE"/>
    <w:rsid w:val="005277C7"/>
    <w:rsid w:val="00550FDD"/>
    <w:rsid w:val="0055189C"/>
    <w:rsid w:val="00556938"/>
    <w:rsid w:val="005576BE"/>
    <w:rsid w:val="005618DE"/>
    <w:rsid w:val="00577975"/>
    <w:rsid w:val="00594490"/>
    <w:rsid w:val="005A0092"/>
    <w:rsid w:val="005B54F0"/>
    <w:rsid w:val="005C60A5"/>
    <w:rsid w:val="005D4742"/>
    <w:rsid w:val="005E642B"/>
    <w:rsid w:val="005F753D"/>
    <w:rsid w:val="00607D08"/>
    <w:rsid w:val="00611FF7"/>
    <w:rsid w:val="006131DC"/>
    <w:rsid w:val="00621F49"/>
    <w:rsid w:val="006425A9"/>
    <w:rsid w:val="00653C38"/>
    <w:rsid w:val="00670783"/>
    <w:rsid w:val="006805A4"/>
    <w:rsid w:val="00685722"/>
    <w:rsid w:val="00690A2C"/>
    <w:rsid w:val="0069502F"/>
    <w:rsid w:val="006E2C50"/>
    <w:rsid w:val="006E4D77"/>
    <w:rsid w:val="006F7B7B"/>
    <w:rsid w:val="00705C8D"/>
    <w:rsid w:val="00743443"/>
    <w:rsid w:val="0076062E"/>
    <w:rsid w:val="00773D2D"/>
    <w:rsid w:val="00776C78"/>
    <w:rsid w:val="0078127B"/>
    <w:rsid w:val="007A31B6"/>
    <w:rsid w:val="007B223E"/>
    <w:rsid w:val="007B55B3"/>
    <w:rsid w:val="007D0824"/>
    <w:rsid w:val="007D2162"/>
    <w:rsid w:val="007E5F0E"/>
    <w:rsid w:val="00832096"/>
    <w:rsid w:val="00834098"/>
    <w:rsid w:val="008371AB"/>
    <w:rsid w:val="0086550B"/>
    <w:rsid w:val="00884F63"/>
    <w:rsid w:val="00887914"/>
    <w:rsid w:val="008C0CDF"/>
    <w:rsid w:val="008C1716"/>
    <w:rsid w:val="008F11EB"/>
    <w:rsid w:val="008F7E87"/>
    <w:rsid w:val="009051EA"/>
    <w:rsid w:val="00910B04"/>
    <w:rsid w:val="00914E1A"/>
    <w:rsid w:val="009322D6"/>
    <w:rsid w:val="00937075"/>
    <w:rsid w:val="00950950"/>
    <w:rsid w:val="00955DF1"/>
    <w:rsid w:val="009632D5"/>
    <w:rsid w:val="00963F45"/>
    <w:rsid w:val="009A61D8"/>
    <w:rsid w:val="009B3259"/>
    <w:rsid w:val="009C07EB"/>
    <w:rsid w:val="009C49A8"/>
    <w:rsid w:val="009D4BB2"/>
    <w:rsid w:val="009E0756"/>
    <w:rsid w:val="00A1739B"/>
    <w:rsid w:val="00A26E54"/>
    <w:rsid w:val="00A272BC"/>
    <w:rsid w:val="00A52706"/>
    <w:rsid w:val="00A55A69"/>
    <w:rsid w:val="00A65AC6"/>
    <w:rsid w:val="00A67033"/>
    <w:rsid w:val="00A75E0D"/>
    <w:rsid w:val="00A95D8A"/>
    <w:rsid w:val="00A95F1A"/>
    <w:rsid w:val="00AA3C37"/>
    <w:rsid w:val="00B0139E"/>
    <w:rsid w:val="00B04D2A"/>
    <w:rsid w:val="00B15208"/>
    <w:rsid w:val="00B3716B"/>
    <w:rsid w:val="00B5037B"/>
    <w:rsid w:val="00B64897"/>
    <w:rsid w:val="00BC38EE"/>
    <w:rsid w:val="00BC733C"/>
    <w:rsid w:val="00BD0028"/>
    <w:rsid w:val="00BD1FA0"/>
    <w:rsid w:val="00BD32DC"/>
    <w:rsid w:val="00C058B1"/>
    <w:rsid w:val="00C064FC"/>
    <w:rsid w:val="00C11C36"/>
    <w:rsid w:val="00C35273"/>
    <w:rsid w:val="00C35D40"/>
    <w:rsid w:val="00C96444"/>
    <w:rsid w:val="00CB1446"/>
    <w:rsid w:val="00CC3D8D"/>
    <w:rsid w:val="00CC7267"/>
    <w:rsid w:val="00CD1D31"/>
    <w:rsid w:val="00CE1F68"/>
    <w:rsid w:val="00CE3EFE"/>
    <w:rsid w:val="00CF5E50"/>
    <w:rsid w:val="00D32F4B"/>
    <w:rsid w:val="00D94433"/>
    <w:rsid w:val="00DB1926"/>
    <w:rsid w:val="00DB24B9"/>
    <w:rsid w:val="00DB5898"/>
    <w:rsid w:val="00DB5A10"/>
    <w:rsid w:val="00DC196E"/>
    <w:rsid w:val="00DC3403"/>
    <w:rsid w:val="00DD351B"/>
    <w:rsid w:val="00E10DE8"/>
    <w:rsid w:val="00E1247F"/>
    <w:rsid w:val="00E3517D"/>
    <w:rsid w:val="00E37F74"/>
    <w:rsid w:val="00E42F34"/>
    <w:rsid w:val="00E47114"/>
    <w:rsid w:val="00E60C21"/>
    <w:rsid w:val="00EB0352"/>
    <w:rsid w:val="00ED3F37"/>
    <w:rsid w:val="00EE01FF"/>
    <w:rsid w:val="00EE0A45"/>
    <w:rsid w:val="00EE1279"/>
    <w:rsid w:val="00EE6BBE"/>
    <w:rsid w:val="00EF1DD8"/>
    <w:rsid w:val="00EF6220"/>
    <w:rsid w:val="00F050EC"/>
    <w:rsid w:val="00F12611"/>
    <w:rsid w:val="00F7416B"/>
    <w:rsid w:val="00F825B2"/>
    <w:rsid w:val="00F831D1"/>
    <w:rsid w:val="00F9384E"/>
    <w:rsid w:val="00FB77C0"/>
    <w:rsid w:val="00FF12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504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1A"/>
    <w:pPr>
      <w:ind w:left="720"/>
      <w:contextualSpacing/>
    </w:pPr>
  </w:style>
  <w:style w:type="character" w:styleId="Hyperlink">
    <w:name w:val="Hyperlink"/>
    <w:basedOn w:val="DefaultParagraphFont"/>
    <w:uiPriority w:val="99"/>
    <w:unhideWhenUsed/>
    <w:rsid w:val="00705C8D"/>
    <w:rPr>
      <w:color w:val="0000FF" w:themeColor="hyperlink"/>
      <w:u w:val="single"/>
    </w:rPr>
  </w:style>
  <w:style w:type="paragraph" w:styleId="BalloonText">
    <w:name w:val="Balloon Text"/>
    <w:basedOn w:val="Normal"/>
    <w:link w:val="BalloonTextChar"/>
    <w:uiPriority w:val="99"/>
    <w:semiHidden/>
    <w:unhideWhenUsed/>
    <w:rsid w:val="0026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89"/>
    <w:rPr>
      <w:rFonts w:ascii="Tahoma" w:hAnsi="Tahoma" w:cs="Tahoma"/>
      <w:sz w:val="16"/>
      <w:szCs w:val="16"/>
    </w:rPr>
  </w:style>
  <w:style w:type="character" w:styleId="FollowedHyperlink">
    <w:name w:val="FollowedHyperlink"/>
    <w:basedOn w:val="DefaultParagraphFont"/>
    <w:uiPriority w:val="99"/>
    <w:semiHidden/>
    <w:unhideWhenUsed/>
    <w:rsid w:val="003900C1"/>
    <w:rPr>
      <w:color w:val="800080" w:themeColor="followedHyperlink"/>
      <w:u w:val="single"/>
    </w:rPr>
  </w:style>
  <w:style w:type="paragraph" w:styleId="FootnoteText">
    <w:name w:val="footnote text"/>
    <w:basedOn w:val="Normal"/>
    <w:link w:val="FootnoteTextChar"/>
    <w:uiPriority w:val="99"/>
    <w:semiHidden/>
    <w:unhideWhenUsed/>
    <w:rsid w:val="00F05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0EC"/>
    <w:rPr>
      <w:sz w:val="20"/>
      <w:szCs w:val="20"/>
    </w:rPr>
  </w:style>
  <w:style w:type="character" w:styleId="FootnoteReference">
    <w:name w:val="footnote reference"/>
    <w:basedOn w:val="DefaultParagraphFont"/>
    <w:uiPriority w:val="99"/>
    <w:semiHidden/>
    <w:unhideWhenUsed/>
    <w:rsid w:val="00F050EC"/>
    <w:rPr>
      <w:vertAlign w:val="superscript"/>
    </w:rPr>
  </w:style>
  <w:style w:type="character" w:customStyle="1" w:styleId="Heading1Char">
    <w:name w:val="Heading 1 Char"/>
    <w:basedOn w:val="DefaultParagraphFont"/>
    <w:link w:val="Heading1"/>
    <w:uiPriority w:val="9"/>
    <w:rsid w:val="00F050E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50EC"/>
    <w:pPr>
      <w:outlineLvl w:val="9"/>
    </w:pPr>
    <w:rPr>
      <w:lang w:val="en-US" w:eastAsia="ja-JP"/>
    </w:rPr>
  </w:style>
  <w:style w:type="paragraph" w:styleId="Title">
    <w:name w:val="Title"/>
    <w:basedOn w:val="Normal"/>
    <w:next w:val="Normal"/>
    <w:link w:val="TitleChar"/>
    <w:uiPriority w:val="10"/>
    <w:qFormat/>
    <w:rsid w:val="00A95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F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52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5273"/>
  </w:style>
  <w:style w:type="paragraph" w:styleId="Footer">
    <w:name w:val="footer"/>
    <w:basedOn w:val="Normal"/>
    <w:link w:val="FooterChar"/>
    <w:uiPriority w:val="99"/>
    <w:unhideWhenUsed/>
    <w:rsid w:val="00C352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5273"/>
  </w:style>
  <w:style w:type="character" w:styleId="CommentReference">
    <w:name w:val="annotation reference"/>
    <w:basedOn w:val="DefaultParagraphFont"/>
    <w:uiPriority w:val="99"/>
    <w:semiHidden/>
    <w:unhideWhenUsed/>
    <w:rsid w:val="00607D08"/>
    <w:rPr>
      <w:sz w:val="16"/>
      <w:szCs w:val="16"/>
    </w:rPr>
  </w:style>
  <w:style w:type="paragraph" w:styleId="CommentText">
    <w:name w:val="annotation text"/>
    <w:basedOn w:val="Normal"/>
    <w:link w:val="CommentTextChar"/>
    <w:uiPriority w:val="99"/>
    <w:semiHidden/>
    <w:unhideWhenUsed/>
    <w:rsid w:val="00607D08"/>
    <w:pPr>
      <w:spacing w:line="240" w:lineRule="auto"/>
    </w:pPr>
    <w:rPr>
      <w:sz w:val="20"/>
      <w:szCs w:val="20"/>
    </w:rPr>
  </w:style>
  <w:style w:type="character" w:customStyle="1" w:styleId="CommentTextChar">
    <w:name w:val="Comment Text Char"/>
    <w:basedOn w:val="DefaultParagraphFont"/>
    <w:link w:val="CommentText"/>
    <w:uiPriority w:val="99"/>
    <w:semiHidden/>
    <w:rsid w:val="00607D08"/>
    <w:rPr>
      <w:sz w:val="20"/>
      <w:szCs w:val="20"/>
    </w:rPr>
  </w:style>
  <w:style w:type="paragraph" w:styleId="CommentSubject">
    <w:name w:val="annotation subject"/>
    <w:basedOn w:val="CommentText"/>
    <w:next w:val="CommentText"/>
    <w:link w:val="CommentSubjectChar"/>
    <w:uiPriority w:val="99"/>
    <w:semiHidden/>
    <w:unhideWhenUsed/>
    <w:rsid w:val="00607D08"/>
    <w:rPr>
      <w:b/>
      <w:bCs/>
    </w:rPr>
  </w:style>
  <w:style w:type="character" w:customStyle="1" w:styleId="CommentSubjectChar">
    <w:name w:val="Comment Subject Char"/>
    <w:basedOn w:val="CommentTextChar"/>
    <w:link w:val="CommentSubject"/>
    <w:uiPriority w:val="99"/>
    <w:semiHidden/>
    <w:rsid w:val="00607D08"/>
    <w:rPr>
      <w:b/>
      <w:bCs/>
      <w:sz w:val="20"/>
      <w:szCs w:val="20"/>
    </w:rPr>
  </w:style>
  <w:style w:type="table" w:styleId="TableGrid">
    <w:name w:val="Table Grid"/>
    <w:basedOn w:val="TableNormal"/>
    <w:uiPriority w:val="59"/>
    <w:rsid w:val="0013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162"/>
    <w:pPr>
      <w:spacing w:after="0" w:line="240" w:lineRule="auto"/>
    </w:pPr>
  </w:style>
  <w:style w:type="paragraph" w:styleId="NormalWeb">
    <w:name w:val="Normal (Web)"/>
    <w:basedOn w:val="Normal"/>
    <w:uiPriority w:val="99"/>
    <w:semiHidden/>
    <w:unhideWhenUsed/>
    <w:rsid w:val="0029104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rsid w:val="00773D2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449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50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4E1A"/>
    <w:pPr>
      <w:ind w:left="720"/>
      <w:contextualSpacing/>
    </w:pPr>
  </w:style>
  <w:style w:type="character" w:styleId="Hyperlink">
    <w:name w:val="Hyperlink"/>
    <w:basedOn w:val="DefaultParagraphFont"/>
    <w:uiPriority w:val="99"/>
    <w:unhideWhenUsed/>
    <w:rsid w:val="00705C8D"/>
    <w:rPr>
      <w:color w:val="0000FF" w:themeColor="hyperlink"/>
      <w:u w:val="single"/>
    </w:rPr>
  </w:style>
  <w:style w:type="paragraph" w:styleId="BalloonText">
    <w:name w:val="Balloon Text"/>
    <w:basedOn w:val="Normal"/>
    <w:link w:val="BalloonTextChar"/>
    <w:uiPriority w:val="99"/>
    <w:semiHidden/>
    <w:unhideWhenUsed/>
    <w:rsid w:val="00261F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F89"/>
    <w:rPr>
      <w:rFonts w:ascii="Tahoma" w:hAnsi="Tahoma" w:cs="Tahoma"/>
      <w:sz w:val="16"/>
      <w:szCs w:val="16"/>
    </w:rPr>
  </w:style>
  <w:style w:type="character" w:styleId="FollowedHyperlink">
    <w:name w:val="FollowedHyperlink"/>
    <w:basedOn w:val="DefaultParagraphFont"/>
    <w:uiPriority w:val="99"/>
    <w:semiHidden/>
    <w:unhideWhenUsed/>
    <w:rsid w:val="003900C1"/>
    <w:rPr>
      <w:color w:val="800080" w:themeColor="followedHyperlink"/>
      <w:u w:val="single"/>
    </w:rPr>
  </w:style>
  <w:style w:type="paragraph" w:styleId="FootnoteText">
    <w:name w:val="footnote text"/>
    <w:basedOn w:val="Normal"/>
    <w:link w:val="FootnoteTextChar"/>
    <w:uiPriority w:val="99"/>
    <w:semiHidden/>
    <w:unhideWhenUsed/>
    <w:rsid w:val="00F05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50EC"/>
    <w:rPr>
      <w:sz w:val="20"/>
      <w:szCs w:val="20"/>
    </w:rPr>
  </w:style>
  <w:style w:type="character" w:styleId="FootnoteReference">
    <w:name w:val="footnote reference"/>
    <w:basedOn w:val="DefaultParagraphFont"/>
    <w:uiPriority w:val="99"/>
    <w:semiHidden/>
    <w:unhideWhenUsed/>
    <w:rsid w:val="00F050EC"/>
    <w:rPr>
      <w:vertAlign w:val="superscript"/>
    </w:rPr>
  </w:style>
  <w:style w:type="character" w:customStyle="1" w:styleId="Heading1Char">
    <w:name w:val="Heading 1 Char"/>
    <w:basedOn w:val="DefaultParagraphFont"/>
    <w:link w:val="Heading1"/>
    <w:uiPriority w:val="9"/>
    <w:rsid w:val="00F050E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050EC"/>
    <w:pPr>
      <w:outlineLvl w:val="9"/>
    </w:pPr>
    <w:rPr>
      <w:lang w:val="en-US" w:eastAsia="ja-JP"/>
    </w:rPr>
  </w:style>
  <w:style w:type="paragraph" w:styleId="Title">
    <w:name w:val="Title"/>
    <w:basedOn w:val="Normal"/>
    <w:next w:val="Normal"/>
    <w:link w:val="TitleChar"/>
    <w:uiPriority w:val="10"/>
    <w:qFormat/>
    <w:rsid w:val="00A95F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95F1A"/>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352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35273"/>
  </w:style>
  <w:style w:type="paragraph" w:styleId="Footer">
    <w:name w:val="footer"/>
    <w:basedOn w:val="Normal"/>
    <w:link w:val="FooterChar"/>
    <w:uiPriority w:val="99"/>
    <w:unhideWhenUsed/>
    <w:rsid w:val="00C352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35273"/>
  </w:style>
  <w:style w:type="character" w:styleId="CommentReference">
    <w:name w:val="annotation reference"/>
    <w:basedOn w:val="DefaultParagraphFont"/>
    <w:uiPriority w:val="99"/>
    <w:semiHidden/>
    <w:unhideWhenUsed/>
    <w:rsid w:val="00607D08"/>
    <w:rPr>
      <w:sz w:val="16"/>
      <w:szCs w:val="16"/>
    </w:rPr>
  </w:style>
  <w:style w:type="paragraph" w:styleId="CommentText">
    <w:name w:val="annotation text"/>
    <w:basedOn w:val="Normal"/>
    <w:link w:val="CommentTextChar"/>
    <w:uiPriority w:val="99"/>
    <w:semiHidden/>
    <w:unhideWhenUsed/>
    <w:rsid w:val="00607D08"/>
    <w:pPr>
      <w:spacing w:line="240" w:lineRule="auto"/>
    </w:pPr>
    <w:rPr>
      <w:sz w:val="20"/>
      <w:szCs w:val="20"/>
    </w:rPr>
  </w:style>
  <w:style w:type="character" w:customStyle="1" w:styleId="CommentTextChar">
    <w:name w:val="Comment Text Char"/>
    <w:basedOn w:val="DefaultParagraphFont"/>
    <w:link w:val="CommentText"/>
    <w:uiPriority w:val="99"/>
    <w:semiHidden/>
    <w:rsid w:val="00607D08"/>
    <w:rPr>
      <w:sz w:val="20"/>
      <w:szCs w:val="20"/>
    </w:rPr>
  </w:style>
  <w:style w:type="paragraph" w:styleId="CommentSubject">
    <w:name w:val="annotation subject"/>
    <w:basedOn w:val="CommentText"/>
    <w:next w:val="CommentText"/>
    <w:link w:val="CommentSubjectChar"/>
    <w:uiPriority w:val="99"/>
    <w:semiHidden/>
    <w:unhideWhenUsed/>
    <w:rsid w:val="00607D08"/>
    <w:rPr>
      <w:b/>
      <w:bCs/>
    </w:rPr>
  </w:style>
  <w:style w:type="character" w:customStyle="1" w:styleId="CommentSubjectChar">
    <w:name w:val="Comment Subject Char"/>
    <w:basedOn w:val="CommentTextChar"/>
    <w:link w:val="CommentSubject"/>
    <w:uiPriority w:val="99"/>
    <w:semiHidden/>
    <w:rsid w:val="00607D08"/>
    <w:rPr>
      <w:b/>
      <w:bCs/>
      <w:sz w:val="20"/>
      <w:szCs w:val="20"/>
    </w:rPr>
  </w:style>
  <w:style w:type="table" w:styleId="TableGrid">
    <w:name w:val="Table Grid"/>
    <w:basedOn w:val="TableNormal"/>
    <w:uiPriority w:val="59"/>
    <w:rsid w:val="00137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2162"/>
    <w:pPr>
      <w:spacing w:after="0" w:line="240" w:lineRule="auto"/>
    </w:pPr>
  </w:style>
  <w:style w:type="paragraph" w:styleId="NormalWeb">
    <w:name w:val="Normal (Web)"/>
    <w:basedOn w:val="Normal"/>
    <w:uiPriority w:val="99"/>
    <w:semiHidden/>
    <w:unhideWhenUsed/>
    <w:rsid w:val="0029104B"/>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Default">
    <w:name w:val="Default"/>
    <w:rsid w:val="00773D2D"/>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5944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49285">
      <w:bodyDiv w:val="1"/>
      <w:marLeft w:val="0"/>
      <w:marRight w:val="0"/>
      <w:marTop w:val="0"/>
      <w:marBottom w:val="0"/>
      <w:divBdr>
        <w:top w:val="none" w:sz="0" w:space="0" w:color="auto"/>
        <w:left w:val="none" w:sz="0" w:space="0" w:color="auto"/>
        <w:bottom w:val="none" w:sz="0" w:space="0" w:color="auto"/>
        <w:right w:val="none" w:sz="0" w:space="0" w:color="auto"/>
      </w:divBdr>
    </w:div>
    <w:div w:id="409818645">
      <w:bodyDiv w:val="1"/>
      <w:marLeft w:val="0"/>
      <w:marRight w:val="0"/>
      <w:marTop w:val="0"/>
      <w:marBottom w:val="0"/>
      <w:divBdr>
        <w:top w:val="none" w:sz="0" w:space="0" w:color="auto"/>
        <w:left w:val="none" w:sz="0" w:space="0" w:color="auto"/>
        <w:bottom w:val="none" w:sz="0" w:space="0" w:color="auto"/>
        <w:right w:val="none" w:sz="0" w:space="0" w:color="auto"/>
      </w:divBdr>
    </w:div>
    <w:div w:id="1160777901">
      <w:bodyDiv w:val="1"/>
      <w:marLeft w:val="0"/>
      <w:marRight w:val="0"/>
      <w:marTop w:val="0"/>
      <w:marBottom w:val="0"/>
      <w:divBdr>
        <w:top w:val="none" w:sz="0" w:space="0" w:color="auto"/>
        <w:left w:val="none" w:sz="0" w:space="0" w:color="auto"/>
        <w:bottom w:val="none" w:sz="0" w:space="0" w:color="auto"/>
        <w:right w:val="none" w:sz="0" w:space="0" w:color="auto"/>
      </w:divBdr>
    </w:div>
    <w:div w:id="1210456100">
      <w:bodyDiv w:val="1"/>
      <w:marLeft w:val="0"/>
      <w:marRight w:val="0"/>
      <w:marTop w:val="0"/>
      <w:marBottom w:val="0"/>
      <w:divBdr>
        <w:top w:val="none" w:sz="0" w:space="0" w:color="auto"/>
        <w:left w:val="none" w:sz="0" w:space="0" w:color="auto"/>
        <w:bottom w:val="none" w:sz="0" w:space="0" w:color="auto"/>
        <w:right w:val="none" w:sz="0" w:space="0" w:color="auto"/>
      </w:divBdr>
    </w:div>
    <w:div w:id="1737314706">
      <w:bodyDiv w:val="1"/>
      <w:marLeft w:val="0"/>
      <w:marRight w:val="0"/>
      <w:marTop w:val="0"/>
      <w:marBottom w:val="0"/>
      <w:divBdr>
        <w:top w:val="none" w:sz="0" w:space="0" w:color="auto"/>
        <w:left w:val="none" w:sz="0" w:space="0" w:color="auto"/>
        <w:bottom w:val="none" w:sz="0" w:space="0" w:color="auto"/>
        <w:right w:val="none" w:sz="0" w:space="0" w:color="auto"/>
      </w:divBdr>
    </w:div>
    <w:div w:id="1764258999">
      <w:bodyDiv w:val="1"/>
      <w:marLeft w:val="0"/>
      <w:marRight w:val="0"/>
      <w:marTop w:val="0"/>
      <w:marBottom w:val="0"/>
      <w:divBdr>
        <w:top w:val="none" w:sz="0" w:space="0" w:color="auto"/>
        <w:left w:val="none" w:sz="0" w:space="0" w:color="auto"/>
        <w:bottom w:val="none" w:sz="0" w:space="0" w:color="auto"/>
        <w:right w:val="none" w:sz="0" w:space="0" w:color="auto"/>
      </w:divBdr>
    </w:div>
    <w:div w:id="2134442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quineteurope.org/Northern-Ireland-Investigation-into-pregnancy-and-maternity-at-work" TargetMode="External"/><Relationship Id="rId18" Type="http://schemas.openxmlformats.org/officeDocument/2006/relationships/header" Target="header1.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qualityhumanrights.com/en/employer-toolkit" TargetMode="External"/><Relationship Id="rId17" Type="http://schemas.openxmlformats.org/officeDocument/2006/relationships/hyperlink" Target="http://www.equineteurop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c.europa.eu/commission/priorities/deeper-and-fairer-economic-and-monetary-union/european-pillar-social-rights/european-pillar-social-rights-20-principles_e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qualityhumanrights.com/en/our-work/managing-pregnancy-and-maternity-workplac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cite.gov.pt/en/campaigns.html" TargetMode="External"/><Relationship Id="rId23"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3.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1" Type="http://schemas.openxmlformats.org/officeDocument/2006/relationships/hyperlink" Target="http://eige.europa.eu/gender-equality-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4F809-88E0-4842-8DBC-B5541A4FF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1289</TotalTime>
  <Pages>5</Pages>
  <Words>1901</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Thorsnes</dc:creator>
  <cp:lastModifiedBy>Sarah Cooke O’Dowd</cp:lastModifiedBy>
  <cp:revision>6</cp:revision>
  <cp:lastPrinted>2018-01-10T17:01:00Z</cp:lastPrinted>
  <dcterms:created xsi:type="dcterms:W3CDTF">2018-03-01T14:21:00Z</dcterms:created>
  <dcterms:modified xsi:type="dcterms:W3CDTF">2018-05-24T10:40:00Z</dcterms:modified>
</cp:coreProperties>
</file>