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0D27" w14:textId="04373A8F" w:rsidR="00F66D27" w:rsidRDefault="00B61869" w:rsidP="000263B4">
      <w:pPr>
        <w:spacing w:line="240" w:lineRule="auto"/>
        <w:jc w:val="both"/>
        <w:rPr>
          <w:rFonts w:asciiTheme="majorHAnsi" w:hAnsiTheme="majorHAnsi"/>
          <w:lang w:val="en-GB"/>
        </w:rPr>
      </w:pPr>
      <w:r>
        <w:rPr>
          <w:rFonts w:asciiTheme="majorHAnsi" w:hAnsiTheme="majorHAnsi"/>
          <w:b/>
          <w:noProof/>
          <w:sz w:val="28"/>
          <w:lang w:eastAsia="fr-BE"/>
        </w:rPr>
        <w:drawing>
          <wp:anchor distT="0" distB="0" distL="114300" distR="114300" simplePos="0" relativeHeight="251668992" behindDoc="0" locked="0" layoutInCell="1" allowOverlap="1" wp14:anchorId="7908CBF6" wp14:editId="62BC41AC">
            <wp:simplePos x="0" y="0"/>
            <wp:positionH relativeFrom="margin">
              <wp:posOffset>-704850</wp:posOffset>
            </wp:positionH>
            <wp:positionV relativeFrom="margin">
              <wp:posOffset>-971550</wp:posOffset>
            </wp:positionV>
            <wp:extent cx="7591425" cy="31578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3157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b/>
          <w:noProof/>
          <w:sz w:val="28"/>
          <w:lang w:val="en-GB" w:eastAsia="fr-BE"/>
        </w:rPr>
        <w:br/>
      </w:r>
      <w:r w:rsidR="00F31126" w:rsidRPr="00372A59">
        <w:rPr>
          <w:rFonts w:asciiTheme="majorHAnsi" w:hAnsiTheme="majorHAnsi"/>
          <w:b/>
          <w:lang w:val="en-GB"/>
        </w:rPr>
        <w:t xml:space="preserve">Dear Equinet Members, </w:t>
      </w:r>
      <w:r w:rsidR="00F31126" w:rsidRPr="00372A59">
        <w:rPr>
          <w:rFonts w:asciiTheme="majorHAnsi" w:hAnsiTheme="majorHAnsi"/>
          <w:b/>
          <w:lang w:val="en-GB"/>
        </w:rPr>
        <w:tab/>
      </w:r>
      <w:r w:rsidR="00F31126" w:rsidRPr="00372A59">
        <w:rPr>
          <w:rFonts w:asciiTheme="majorHAnsi" w:hAnsiTheme="majorHAnsi"/>
          <w:b/>
          <w:lang w:val="en-GB"/>
        </w:rPr>
        <w:br/>
      </w:r>
      <w:r w:rsidR="00F31126" w:rsidRPr="00372A59">
        <w:rPr>
          <w:rFonts w:asciiTheme="majorHAnsi" w:hAnsiTheme="majorHAnsi"/>
          <w:lang w:val="en-GB"/>
        </w:rPr>
        <w:t xml:space="preserve">This Members’ Bulletin gathers </w:t>
      </w:r>
      <w:r w:rsidR="00F31126" w:rsidRPr="00372A59">
        <w:rPr>
          <w:rFonts w:asciiTheme="majorHAnsi" w:hAnsiTheme="majorHAnsi"/>
          <w:b/>
          <w:lang w:val="en-GB"/>
        </w:rPr>
        <w:t>the latest European Union (EU) and international developments</w:t>
      </w:r>
      <w:r w:rsidR="00F31126" w:rsidRPr="00372A59">
        <w:rPr>
          <w:rFonts w:asciiTheme="majorHAnsi" w:hAnsiTheme="majorHAnsi"/>
          <w:lang w:val="en-GB"/>
        </w:rPr>
        <w:t xml:space="preserve">. It aims to give you an </w:t>
      </w:r>
      <w:r w:rsidR="00F31126" w:rsidRPr="00372A59">
        <w:rPr>
          <w:rFonts w:asciiTheme="majorHAnsi" w:hAnsiTheme="majorHAnsi"/>
          <w:b/>
          <w:lang w:val="en-GB"/>
        </w:rPr>
        <w:t>overview of relevant policy and legal developments</w:t>
      </w:r>
      <w:r w:rsidR="00F31126" w:rsidRPr="00372A59">
        <w:rPr>
          <w:rFonts w:asciiTheme="majorHAnsi" w:hAnsiTheme="majorHAnsi"/>
          <w:lang w:val="en-GB"/>
        </w:rPr>
        <w:t xml:space="preserve">, as well as latest calls for interest, funding opportunities and upcoming events. We very much hope this members’ bulletin will be useful in your day-to-day work and we would be grateful if you could </w:t>
      </w:r>
      <w:r w:rsidR="00F31126" w:rsidRPr="00372A59">
        <w:rPr>
          <w:rFonts w:asciiTheme="majorHAnsi" w:hAnsiTheme="majorHAnsi"/>
          <w:b/>
          <w:lang w:val="en-GB"/>
        </w:rPr>
        <w:t>disseminate it among your colleagues</w:t>
      </w:r>
      <w:r w:rsidR="00F31126" w:rsidRPr="00372A59">
        <w:rPr>
          <w:rFonts w:asciiTheme="majorHAnsi" w:hAnsiTheme="majorHAnsi"/>
          <w:lang w:val="en-GB"/>
        </w:rPr>
        <w:t xml:space="preserve">. Your feedback is also greatly appreciated. </w:t>
      </w:r>
    </w:p>
    <w:p w14:paraId="417E4BF5" w14:textId="77777777" w:rsidR="005E6F98" w:rsidRDefault="005E6F98" w:rsidP="000263B4">
      <w:pPr>
        <w:spacing w:line="240" w:lineRule="auto"/>
        <w:jc w:val="both"/>
        <w:rPr>
          <w:rFonts w:asciiTheme="majorHAnsi" w:hAnsiTheme="majorHAnsi"/>
          <w:lang w:val="en-GB"/>
        </w:rPr>
      </w:pPr>
      <w:r>
        <w:rPr>
          <w:rFonts w:asciiTheme="majorHAnsi" w:hAnsiTheme="majorHAnsi"/>
          <w:lang w:val="en-GB"/>
        </w:rPr>
        <w:t xml:space="preserve">Previous Members’ Bulletin are available on the </w:t>
      </w:r>
      <w:hyperlink r:id="rId9" w:history="1">
        <w:r w:rsidRPr="005E6F98">
          <w:rPr>
            <w:rStyle w:val="Hyperlink"/>
            <w:rFonts w:asciiTheme="majorHAnsi" w:hAnsiTheme="majorHAnsi"/>
            <w:lang w:val="en-GB"/>
          </w:rPr>
          <w:t>Equinet Members’ Area</w:t>
        </w:r>
      </w:hyperlink>
      <w:r>
        <w:rPr>
          <w:rFonts w:asciiTheme="majorHAnsi" w:hAnsiTheme="majorHAnsi"/>
          <w:lang w:val="en-GB"/>
        </w:rPr>
        <w:t xml:space="preserve">. </w:t>
      </w:r>
    </w:p>
    <w:p w14:paraId="01A14416" w14:textId="4B2C9F94" w:rsidR="00174B61" w:rsidRPr="00A31615" w:rsidRDefault="005E6F98" w:rsidP="00A31615">
      <w:pPr>
        <w:spacing w:line="240" w:lineRule="auto"/>
        <w:jc w:val="both"/>
        <w:rPr>
          <w:rFonts w:asciiTheme="majorHAnsi" w:hAnsiTheme="majorHAnsi"/>
          <w:b/>
          <w:noProof/>
          <w:sz w:val="28"/>
          <w:lang w:val="en-GB" w:eastAsia="fr-BE"/>
        </w:rPr>
        <w:sectPr w:rsidR="00174B61" w:rsidRPr="00A31615" w:rsidSect="00137699">
          <w:footerReference w:type="default" r:id="rId10"/>
          <w:type w:val="continuous"/>
          <w:pgSz w:w="11906" w:h="16838"/>
          <w:pgMar w:top="1440" w:right="1080" w:bottom="1440" w:left="1080" w:header="708" w:footer="708" w:gutter="0"/>
          <w:cols w:space="708"/>
          <w:docGrid w:linePitch="360"/>
        </w:sectPr>
      </w:pPr>
      <w:r w:rsidRPr="00372A59">
        <w:rPr>
          <w:rFonts w:asciiTheme="majorHAnsi" w:hAnsiTheme="majorHAnsi"/>
          <w:lang w:val="en-GB"/>
        </w:rPr>
        <w:t xml:space="preserve">Should you have any comments or further questions, </w:t>
      </w:r>
      <w:r w:rsidRPr="00372A59">
        <w:rPr>
          <w:rFonts w:asciiTheme="majorHAnsi" w:hAnsiTheme="majorHAnsi"/>
          <w:b/>
          <w:lang w:val="en-GB"/>
        </w:rPr>
        <w:t xml:space="preserve">please do not hesitate to contact Jessica Machacova, Equinet </w:t>
      </w:r>
      <w:r>
        <w:rPr>
          <w:rFonts w:asciiTheme="majorHAnsi" w:hAnsiTheme="majorHAnsi"/>
          <w:b/>
          <w:lang w:val="en-GB"/>
        </w:rPr>
        <w:t>Membership and Policy</w:t>
      </w:r>
      <w:r w:rsidRPr="00372A59">
        <w:rPr>
          <w:rFonts w:asciiTheme="majorHAnsi" w:hAnsiTheme="majorHAnsi"/>
          <w:b/>
          <w:lang w:val="en-GB"/>
        </w:rPr>
        <w:t xml:space="preserve"> Officer</w:t>
      </w:r>
      <w:r w:rsidRPr="00372A59">
        <w:rPr>
          <w:rFonts w:asciiTheme="majorHAnsi" w:hAnsiTheme="majorHAnsi"/>
          <w:lang w:val="en-GB"/>
        </w:rPr>
        <w:t xml:space="preserve"> (</w:t>
      </w:r>
      <w:hyperlink r:id="rId11" w:history="1">
        <w:r w:rsidRPr="00372A59">
          <w:rPr>
            <w:rStyle w:val="Hyperlink"/>
            <w:rFonts w:asciiTheme="majorHAnsi" w:hAnsiTheme="majorHAnsi"/>
            <w:lang w:val="en-GB"/>
          </w:rPr>
          <w:t>Jessica.machacova@equineteurope.org</w:t>
        </w:r>
      </w:hyperlink>
      <w:r w:rsidR="00A31615">
        <w:rPr>
          <w:rFonts w:asciiTheme="majorHAnsi" w:hAnsiTheme="majorHAnsi"/>
          <w:lang w:val="en-GB"/>
        </w:rPr>
        <w:t xml:space="preserve"> / 0032 2 212 31 80)</w:t>
      </w:r>
      <w:r w:rsidR="00A31615">
        <w:rPr>
          <w:rFonts w:asciiTheme="majorHAnsi" w:hAnsiTheme="majorHAnsi"/>
          <w:lang w:val="en-GB"/>
        </w:rPr>
        <w:tab/>
      </w:r>
    </w:p>
    <w:p w14:paraId="7F6347B5" w14:textId="2FF312AC" w:rsidR="0063672C" w:rsidRPr="00A31615" w:rsidRDefault="0063672C" w:rsidP="00A31615">
      <w:pPr>
        <w:rPr>
          <w:rFonts w:asciiTheme="majorHAnsi" w:eastAsiaTheme="majorEastAsia" w:hAnsiTheme="majorHAnsi" w:cstheme="majorBidi"/>
          <w:b/>
          <w:lang w:val="en-GB"/>
        </w:rPr>
        <w:sectPr w:rsidR="0063672C" w:rsidRPr="00A31615" w:rsidSect="00D91B5E">
          <w:type w:val="continuous"/>
          <w:pgSz w:w="11906" w:h="16838"/>
          <w:pgMar w:top="1440" w:right="1077" w:bottom="1440" w:left="1077" w:header="709" w:footer="709" w:gutter="0"/>
          <w:cols w:num="2" w:space="708"/>
          <w:docGrid w:linePitch="360"/>
        </w:sectPr>
      </w:pPr>
      <w:bookmarkStart w:id="0" w:name="_Toc418770742"/>
      <w:bookmarkStart w:id="1" w:name="_Ref418783893"/>
      <w:bookmarkStart w:id="2" w:name="_Ref418783894"/>
      <w:bookmarkStart w:id="3" w:name="_Ref421267367"/>
      <w:bookmarkStart w:id="4" w:name="_Ref467166153"/>
      <w:bookmarkStart w:id="5" w:name="_Ref471484414"/>
    </w:p>
    <w:p w14:paraId="040B29A2" w14:textId="79290F0E" w:rsidR="001140DC" w:rsidRPr="00BD3ED5" w:rsidRDefault="00922F1E" w:rsidP="00DE0777">
      <w:pPr>
        <w:pStyle w:val="Heading1"/>
        <w:shd w:val="clear" w:color="auto" w:fill="002060"/>
        <w:spacing w:line="240" w:lineRule="auto"/>
        <w:rPr>
          <w:color w:val="FFFFFF" w:themeColor="background1"/>
          <w:sz w:val="36"/>
          <w:lang w:val="en-GB"/>
        </w:rPr>
      </w:pPr>
      <w:bookmarkStart w:id="6" w:name="_Ref471829834"/>
      <w:r w:rsidRPr="00BD3ED5">
        <w:rPr>
          <w:color w:val="FFFFFF" w:themeColor="background1"/>
          <w:sz w:val="36"/>
          <w:lang w:val="en-GB"/>
        </w:rPr>
        <w:t>Highlight</w:t>
      </w:r>
      <w:bookmarkEnd w:id="0"/>
      <w:bookmarkEnd w:id="1"/>
      <w:bookmarkEnd w:id="2"/>
      <w:bookmarkEnd w:id="3"/>
      <w:r w:rsidR="00F93FE2" w:rsidRPr="00BD3ED5">
        <w:rPr>
          <w:color w:val="FFFFFF" w:themeColor="background1"/>
          <w:sz w:val="36"/>
          <w:lang w:val="en-GB"/>
        </w:rPr>
        <w:t>:</w:t>
      </w:r>
      <w:r w:rsidR="0071147A" w:rsidRPr="00BD3ED5">
        <w:rPr>
          <w:color w:val="FFFFFF" w:themeColor="background1"/>
          <w:sz w:val="36"/>
          <w:lang w:val="en-GB"/>
        </w:rPr>
        <w:t xml:space="preserve"> </w:t>
      </w:r>
      <w:bookmarkEnd w:id="4"/>
      <w:r w:rsidR="00FE760B">
        <w:rPr>
          <w:color w:val="FFFFFF" w:themeColor="background1"/>
          <w:sz w:val="36"/>
          <w:lang w:val="en-GB"/>
        </w:rPr>
        <w:t>European Pillar of Social Rights</w:t>
      </w:r>
      <w:r w:rsidR="00FE760B">
        <w:rPr>
          <w:color w:val="FFFFFF" w:themeColor="background1"/>
          <w:sz w:val="36"/>
          <w:lang w:val="en-GB"/>
        </w:rPr>
        <w:br/>
        <w:t>Responses to the European Commission’s public consultation</w:t>
      </w:r>
      <w:bookmarkEnd w:id="5"/>
      <w:bookmarkEnd w:id="6"/>
    </w:p>
    <w:p w14:paraId="0BBE6D01" w14:textId="30A932E9" w:rsidR="006028CB" w:rsidRDefault="006028CB" w:rsidP="00865B4E">
      <w:pPr>
        <w:rPr>
          <w:rFonts w:asciiTheme="majorHAnsi" w:hAnsiTheme="majorHAnsi"/>
          <w:lang w:val="en-GB"/>
        </w:rPr>
      </w:pPr>
    </w:p>
    <w:p w14:paraId="35047F37" w14:textId="6347D5CE" w:rsidR="00FE760B" w:rsidRPr="00DD5170" w:rsidRDefault="00CD4220" w:rsidP="00B4743C">
      <w:pPr>
        <w:spacing w:line="240" w:lineRule="auto"/>
        <w:jc w:val="both"/>
        <w:rPr>
          <w:rFonts w:asciiTheme="majorHAnsi" w:hAnsiTheme="majorHAnsi"/>
          <w:b/>
          <w:sz w:val="24"/>
          <w:lang w:val="en-GB"/>
        </w:rPr>
      </w:pPr>
      <w:r>
        <w:rPr>
          <w:noProof/>
          <w:lang w:eastAsia="fr-BE"/>
        </w:rPr>
        <w:drawing>
          <wp:anchor distT="0" distB="0" distL="114300" distR="114300" simplePos="0" relativeHeight="251669504" behindDoc="0" locked="0" layoutInCell="1" allowOverlap="1" wp14:anchorId="119A4FA4" wp14:editId="69C3D208">
            <wp:simplePos x="0" y="0"/>
            <wp:positionH relativeFrom="margin">
              <wp:posOffset>4010025</wp:posOffset>
            </wp:positionH>
            <wp:positionV relativeFrom="margin">
              <wp:posOffset>5461000</wp:posOffset>
            </wp:positionV>
            <wp:extent cx="2133600" cy="1422400"/>
            <wp:effectExtent l="0" t="0" r="0" b="6350"/>
            <wp:wrapSquare wrapText="bothSides"/>
            <wp:docPr id="1" name="Picture 1" descr="Résultat de recherche d'images pour &quot;pillar of social righ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illar of social rights&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422400"/>
                    </a:xfrm>
                    <a:prstGeom prst="rect">
                      <a:avLst/>
                    </a:prstGeom>
                    <a:noFill/>
                    <a:ln>
                      <a:noFill/>
                    </a:ln>
                  </pic:spPr>
                </pic:pic>
              </a:graphicData>
            </a:graphic>
            <wp14:sizeRelH relativeFrom="margin">
              <wp14:pctWidth>0</wp14:pctWidth>
            </wp14:sizeRelH>
          </wp:anchor>
        </w:drawing>
      </w:r>
      <w:r w:rsidR="00FE760B" w:rsidRPr="00DD5170">
        <w:rPr>
          <w:rFonts w:asciiTheme="majorHAnsi" w:hAnsiTheme="majorHAnsi"/>
          <w:b/>
          <w:sz w:val="24"/>
          <w:lang w:val="en-GB"/>
        </w:rPr>
        <w:t xml:space="preserve">What is the European Pillar of Social Rights? </w:t>
      </w:r>
    </w:p>
    <w:p w14:paraId="170709AF" w14:textId="3C494E26" w:rsidR="00E328EF" w:rsidRPr="00E62A71" w:rsidRDefault="00DD5170" w:rsidP="00B4743C">
      <w:pPr>
        <w:spacing w:line="240" w:lineRule="auto"/>
        <w:jc w:val="both"/>
        <w:rPr>
          <w:rFonts w:asciiTheme="majorHAnsi" w:hAnsiTheme="majorHAnsi"/>
          <w:lang w:val="en-US"/>
        </w:rPr>
      </w:pPr>
      <w:r w:rsidRPr="00DD5170">
        <w:rPr>
          <w:rFonts w:asciiTheme="majorHAnsi" w:hAnsiTheme="majorHAnsi"/>
          <w:lang w:val="en-GB"/>
        </w:rPr>
        <w:t>The European Pilla</w:t>
      </w:r>
      <w:r>
        <w:rPr>
          <w:rFonts w:asciiTheme="majorHAnsi" w:hAnsiTheme="majorHAnsi"/>
          <w:lang w:val="en-GB"/>
        </w:rPr>
        <w:t xml:space="preserve">r of Social Rights is a European Commission’s initiative, aiming to </w:t>
      </w:r>
      <w:r w:rsidR="00E84A06">
        <w:rPr>
          <w:rFonts w:asciiTheme="majorHAnsi" w:hAnsiTheme="majorHAnsi"/>
          <w:lang w:val="en-GB"/>
        </w:rPr>
        <w:t xml:space="preserve">put into practice its objective of </w:t>
      </w:r>
      <w:r w:rsidR="002B1646">
        <w:rPr>
          <w:rFonts w:asciiTheme="majorHAnsi" w:hAnsiTheme="majorHAnsi"/>
          <w:lang w:val="en-GB"/>
        </w:rPr>
        <w:t xml:space="preserve">a </w:t>
      </w:r>
      <w:r w:rsidR="00E84A06">
        <w:rPr>
          <w:rFonts w:asciiTheme="majorHAnsi" w:hAnsiTheme="majorHAnsi"/>
          <w:lang w:val="en-GB"/>
        </w:rPr>
        <w:t>“</w:t>
      </w:r>
      <w:r w:rsidR="00E84A06" w:rsidRPr="00E84A06">
        <w:rPr>
          <w:rFonts w:asciiTheme="majorHAnsi" w:hAnsiTheme="majorHAnsi"/>
          <w:b/>
          <w:lang w:val="en-GB"/>
        </w:rPr>
        <w:t>deeper and fairer Economic and Monetary Union</w:t>
      </w:r>
      <w:r w:rsidR="00E84A06">
        <w:rPr>
          <w:rFonts w:asciiTheme="majorHAnsi" w:hAnsiTheme="majorHAnsi"/>
          <w:lang w:val="en-GB"/>
        </w:rPr>
        <w:t xml:space="preserve">”. </w:t>
      </w:r>
      <w:r w:rsidR="00E62A71">
        <w:rPr>
          <w:rFonts w:asciiTheme="majorHAnsi" w:hAnsiTheme="majorHAnsi"/>
          <w:lang w:val="en-GB"/>
        </w:rPr>
        <w:t xml:space="preserve">It targets Eurozone countries. </w:t>
      </w:r>
      <w:r w:rsidR="00E84A06">
        <w:rPr>
          <w:rFonts w:asciiTheme="majorHAnsi" w:hAnsiTheme="majorHAnsi"/>
          <w:lang w:val="en-GB"/>
        </w:rPr>
        <w:t xml:space="preserve">The Pillar will be made up of various initiatives in the following policy domains:  </w:t>
      </w:r>
    </w:p>
    <w:p w14:paraId="6B98226F" w14:textId="45FF5D03" w:rsidR="00E84A06" w:rsidRDefault="00E84A06" w:rsidP="00B4743C">
      <w:pPr>
        <w:pStyle w:val="ListParagraph"/>
        <w:numPr>
          <w:ilvl w:val="0"/>
          <w:numId w:val="2"/>
        </w:numPr>
        <w:spacing w:line="240" w:lineRule="auto"/>
        <w:jc w:val="both"/>
        <w:rPr>
          <w:rFonts w:asciiTheme="majorHAnsi" w:hAnsiTheme="majorHAnsi"/>
          <w:lang w:val="en-GB"/>
        </w:rPr>
      </w:pPr>
      <w:r w:rsidRPr="00E84A06">
        <w:rPr>
          <w:rFonts w:asciiTheme="majorHAnsi" w:hAnsiTheme="majorHAnsi"/>
          <w:lang w:val="en-GB"/>
        </w:rPr>
        <w:t xml:space="preserve">Equal opportunities </w:t>
      </w:r>
      <w:r>
        <w:rPr>
          <w:rFonts w:asciiTheme="majorHAnsi" w:hAnsiTheme="majorHAnsi"/>
          <w:lang w:val="en-GB"/>
        </w:rPr>
        <w:t>and access to the labour market</w:t>
      </w:r>
      <w:r w:rsidR="00CD4220" w:rsidRPr="00CD4220">
        <w:rPr>
          <w:noProof/>
          <w:lang w:val="en-US" w:eastAsia="fr-BE"/>
        </w:rPr>
        <w:t xml:space="preserve"> </w:t>
      </w:r>
    </w:p>
    <w:p w14:paraId="36B296AD" w14:textId="5D4C6417" w:rsidR="00E84A06" w:rsidRDefault="00E84A06" w:rsidP="00B4743C">
      <w:pPr>
        <w:pStyle w:val="ListParagraph"/>
        <w:numPr>
          <w:ilvl w:val="0"/>
          <w:numId w:val="2"/>
        </w:numPr>
        <w:spacing w:line="240" w:lineRule="auto"/>
        <w:jc w:val="both"/>
        <w:rPr>
          <w:rFonts w:asciiTheme="majorHAnsi" w:hAnsiTheme="majorHAnsi"/>
          <w:lang w:val="en-GB"/>
        </w:rPr>
      </w:pPr>
      <w:r>
        <w:rPr>
          <w:rFonts w:asciiTheme="majorHAnsi" w:hAnsiTheme="majorHAnsi"/>
          <w:lang w:val="en-GB"/>
        </w:rPr>
        <w:t>Fair working conditions</w:t>
      </w:r>
    </w:p>
    <w:p w14:paraId="6E12AB8E" w14:textId="01023024" w:rsidR="00E84A06" w:rsidRDefault="00E84A06" w:rsidP="00B4743C">
      <w:pPr>
        <w:pStyle w:val="ListParagraph"/>
        <w:numPr>
          <w:ilvl w:val="0"/>
          <w:numId w:val="2"/>
        </w:numPr>
        <w:spacing w:line="240" w:lineRule="auto"/>
        <w:jc w:val="both"/>
        <w:rPr>
          <w:rFonts w:asciiTheme="majorHAnsi" w:hAnsiTheme="majorHAnsi"/>
          <w:lang w:val="en-GB"/>
        </w:rPr>
      </w:pPr>
      <w:r>
        <w:rPr>
          <w:rFonts w:asciiTheme="majorHAnsi" w:hAnsiTheme="majorHAnsi"/>
          <w:lang w:val="en-GB"/>
        </w:rPr>
        <w:t>Adequate and sustainable social protection</w:t>
      </w:r>
    </w:p>
    <w:p w14:paraId="610B0885" w14:textId="143516C4" w:rsidR="00273D53" w:rsidRPr="00273D53" w:rsidRDefault="00273D53" w:rsidP="00B4743C">
      <w:pPr>
        <w:spacing w:line="240" w:lineRule="auto"/>
        <w:jc w:val="both"/>
        <w:rPr>
          <w:rFonts w:asciiTheme="majorHAnsi" w:hAnsiTheme="majorHAnsi"/>
          <w:lang w:val="en-GB"/>
        </w:rPr>
      </w:pPr>
      <w:r>
        <w:rPr>
          <w:rFonts w:asciiTheme="majorHAnsi" w:hAnsiTheme="majorHAnsi"/>
          <w:lang w:val="en-GB"/>
        </w:rPr>
        <w:t xml:space="preserve">The Pillar will have important implications concerning Equinet and equality bodies’ work on discrimination, equality and gender equality. In particular, the Pillar will be based on </w:t>
      </w:r>
      <w:hyperlink r:id="rId13" w:history="1">
        <w:r w:rsidRPr="00273D53">
          <w:rPr>
            <w:rStyle w:val="Hyperlink"/>
            <w:rFonts w:asciiTheme="majorHAnsi" w:hAnsiTheme="majorHAnsi"/>
            <w:lang w:val="en-GB"/>
          </w:rPr>
          <w:t>20 principles</w:t>
        </w:r>
      </w:hyperlink>
      <w:r>
        <w:rPr>
          <w:rFonts w:asciiTheme="majorHAnsi" w:hAnsiTheme="majorHAnsi"/>
          <w:lang w:val="en-GB"/>
        </w:rPr>
        <w:t xml:space="preserve">. Among them, we can mention </w:t>
      </w:r>
      <w:r w:rsidRPr="00273D53">
        <w:rPr>
          <w:rFonts w:asciiTheme="majorHAnsi" w:hAnsiTheme="majorHAnsi"/>
          <w:b/>
          <w:lang w:val="en-GB"/>
        </w:rPr>
        <w:t>“05. Gender Equality &amp; Work-Life Balance”</w:t>
      </w:r>
      <w:r>
        <w:rPr>
          <w:rFonts w:asciiTheme="majorHAnsi" w:hAnsiTheme="majorHAnsi"/>
          <w:lang w:val="en-GB"/>
        </w:rPr>
        <w:t xml:space="preserve"> and </w:t>
      </w:r>
      <w:r w:rsidRPr="00273D53">
        <w:rPr>
          <w:rFonts w:asciiTheme="majorHAnsi" w:hAnsiTheme="majorHAnsi"/>
          <w:b/>
          <w:lang w:val="en-GB"/>
        </w:rPr>
        <w:t>“06. Equal Opportunities”</w:t>
      </w:r>
      <w:r>
        <w:rPr>
          <w:rFonts w:asciiTheme="majorHAnsi" w:hAnsiTheme="majorHAnsi"/>
          <w:lang w:val="en-GB"/>
        </w:rPr>
        <w:t xml:space="preserve">. </w:t>
      </w:r>
    </w:p>
    <w:p w14:paraId="1F865F49" w14:textId="64F425FC" w:rsidR="00E84A06" w:rsidRDefault="00564CAD" w:rsidP="00B4743C">
      <w:pPr>
        <w:spacing w:line="240" w:lineRule="auto"/>
        <w:jc w:val="both"/>
        <w:rPr>
          <w:rFonts w:asciiTheme="majorHAnsi" w:hAnsiTheme="majorHAnsi"/>
          <w:lang w:val="en-GB"/>
        </w:rPr>
      </w:pPr>
      <w:r>
        <w:rPr>
          <w:rFonts w:asciiTheme="majorHAnsi" w:hAnsiTheme="majorHAnsi"/>
          <w:lang w:val="en-GB"/>
        </w:rPr>
        <w:t xml:space="preserve">The </w:t>
      </w:r>
      <w:hyperlink r:id="rId14" w:anchor="document2" w:history="1">
        <w:r w:rsidRPr="00564CAD">
          <w:rPr>
            <w:rStyle w:val="Hyperlink"/>
            <w:rFonts w:asciiTheme="majorHAnsi" w:hAnsiTheme="majorHAnsi"/>
            <w:lang w:val="en-GB"/>
          </w:rPr>
          <w:t>first preliminary outline</w:t>
        </w:r>
      </w:hyperlink>
      <w:r>
        <w:rPr>
          <w:rFonts w:asciiTheme="majorHAnsi" w:hAnsiTheme="majorHAnsi"/>
          <w:lang w:val="en-GB"/>
        </w:rPr>
        <w:t xml:space="preserve"> of the Pillar was launched in </w:t>
      </w:r>
      <w:r w:rsidRPr="00564CAD">
        <w:rPr>
          <w:rFonts w:asciiTheme="majorHAnsi" w:hAnsiTheme="majorHAnsi"/>
          <w:b/>
          <w:lang w:val="en-GB"/>
        </w:rPr>
        <w:t>March 2016.</w:t>
      </w:r>
      <w:r>
        <w:rPr>
          <w:rFonts w:asciiTheme="majorHAnsi" w:hAnsiTheme="majorHAnsi"/>
          <w:lang w:val="en-GB"/>
        </w:rPr>
        <w:t xml:space="preserve"> At the same time, the European Commission initiated a dialogue with other EU institutions and EU social partners. It also opened a public consultation, which ran until </w:t>
      </w:r>
      <w:r w:rsidRPr="00564CAD">
        <w:rPr>
          <w:rFonts w:asciiTheme="majorHAnsi" w:hAnsiTheme="majorHAnsi"/>
          <w:b/>
          <w:lang w:val="en-GB"/>
        </w:rPr>
        <w:t>31</w:t>
      </w:r>
      <w:r w:rsidRPr="00564CAD">
        <w:rPr>
          <w:rFonts w:asciiTheme="majorHAnsi" w:hAnsiTheme="majorHAnsi"/>
          <w:b/>
          <w:vertAlign w:val="superscript"/>
          <w:lang w:val="en-GB"/>
        </w:rPr>
        <w:t>st</w:t>
      </w:r>
      <w:r w:rsidRPr="00564CAD">
        <w:rPr>
          <w:rFonts w:asciiTheme="majorHAnsi" w:hAnsiTheme="majorHAnsi"/>
          <w:b/>
          <w:lang w:val="en-GB"/>
        </w:rPr>
        <w:t xml:space="preserve"> December 2016</w:t>
      </w:r>
      <w:r>
        <w:rPr>
          <w:rFonts w:asciiTheme="majorHAnsi" w:hAnsiTheme="majorHAnsi"/>
          <w:lang w:val="en-GB"/>
        </w:rPr>
        <w:t xml:space="preserve">. </w:t>
      </w:r>
    </w:p>
    <w:p w14:paraId="09F2BE05" w14:textId="185D6AD4" w:rsidR="00A31615" w:rsidRPr="00CD4220" w:rsidRDefault="00273D53" w:rsidP="00CD4220">
      <w:pPr>
        <w:shd w:val="clear" w:color="auto" w:fill="F2F2F2" w:themeFill="background1" w:themeFillShade="F2"/>
        <w:spacing w:line="240" w:lineRule="auto"/>
        <w:jc w:val="both"/>
        <w:rPr>
          <w:rFonts w:asciiTheme="majorHAnsi" w:hAnsiTheme="majorHAnsi"/>
          <w:lang w:val="en-GB"/>
        </w:rPr>
      </w:pPr>
      <w:r>
        <w:rPr>
          <w:rFonts w:asciiTheme="majorHAnsi" w:hAnsiTheme="majorHAnsi"/>
          <w:lang w:val="en-GB"/>
        </w:rPr>
        <w:t xml:space="preserve">More information about the European Pillar of Social Rights is available </w:t>
      </w:r>
      <w:hyperlink r:id="rId15" w:history="1">
        <w:r w:rsidRPr="00273D53">
          <w:rPr>
            <w:rStyle w:val="Hyperlink"/>
            <w:rFonts w:asciiTheme="majorHAnsi" w:hAnsiTheme="majorHAnsi"/>
            <w:lang w:val="en-GB"/>
          </w:rPr>
          <w:t>here</w:t>
        </w:r>
      </w:hyperlink>
      <w:r>
        <w:rPr>
          <w:rFonts w:asciiTheme="majorHAnsi" w:hAnsiTheme="majorHAnsi"/>
          <w:lang w:val="en-GB"/>
        </w:rPr>
        <w:t xml:space="preserve">. </w:t>
      </w:r>
    </w:p>
    <w:p w14:paraId="4248ECFA" w14:textId="02B80133" w:rsidR="00FE760B" w:rsidRDefault="00FE760B" w:rsidP="00B4743C">
      <w:pPr>
        <w:spacing w:line="240" w:lineRule="auto"/>
        <w:jc w:val="both"/>
        <w:rPr>
          <w:rFonts w:asciiTheme="majorHAnsi" w:hAnsiTheme="majorHAnsi"/>
          <w:b/>
          <w:sz w:val="24"/>
          <w:lang w:val="en-GB"/>
        </w:rPr>
      </w:pPr>
      <w:r w:rsidRPr="004D7D8B">
        <w:rPr>
          <w:rFonts w:asciiTheme="majorHAnsi" w:hAnsiTheme="majorHAnsi"/>
          <w:b/>
          <w:sz w:val="24"/>
          <w:lang w:val="en-GB"/>
        </w:rPr>
        <w:t>Contributions to the public consultation</w:t>
      </w:r>
    </w:p>
    <w:p w14:paraId="2F4D6CE5" w14:textId="6C4EA94A" w:rsidR="000C50D7" w:rsidRDefault="000C50D7" w:rsidP="00B4743C">
      <w:pPr>
        <w:spacing w:line="240" w:lineRule="auto"/>
        <w:jc w:val="both"/>
        <w:rPr>
          <w:rFonts w:asciiTheme="majorHAnsi" w:hAnsiTheme="majorHAnsi"/>
          <w:lang w:val="en-GB"/>
        </w:rPr>
      </w:pPr>
      <w:r w:rsidRPr="000C50D7">
        <w:rPr>
          <w:rFonts w:asciiTheme="majorHAnsi" w:hAnsiTheme="majorHAnsi"/>
          <w:lang w:val="en-GB"/>
        </w:rPr>
        <w:t xml:space="preserve">Many </w:t>
      </w:r>
      <w:r w:rsidR="00190C14" w:rsidRPr="000C50D7">
        <w:rPr>
          <w:rFonts w:asciiTheme="majorHAnsi" w:hAnsiTheme="majorHAnsi"/>
          <w:lang w:val="en-GB"/>
        </w:rPr>
        <w:t>organisations</w:t>
      </w:r>
      <w:r w:rsidRPr="000C50D7">
        <w:rPr>
          <w:rFonts w:asciiTheme="majorHAnsi" w:hAnsiTheme="majorHAnsi"/>
          <w:lang w:val="en-GB"/>
        </w:rPr>
        <w:t xml:space="preserve"> and EU citizens contributed to the public consultation. </w:t>
      </w:r>
    </w:p>
    <w:p w14:paraId="3348C861" w14:textId="3A7C6737" w:rsidR="000C50D7" w:rsidRPr="00190C14" w:rsidRDefault="000C50D7" w:rsidP="00B4743C">
      <w:pPr>
        <w:spacing w:line="240" w:lineRule="auto"/>
        <w:jc w:val="both"/>
        <w:rPr>
          <w:rFonts w:asciiTheme="majorHAnsi" w:hAnsiTheme="majorHAnsi"/>
          <w:i/>
          <w:lang w:val="en-GB"/>
        </w:rPr>
      </w:pPr>
      <w:r w:rsidRPr="00190C14">
        <w:rPr>
          <w:rFonts w:asciiTheme="majorHAnsi" w:hAnsiTheme="majorHAnsi"/>
          <w:i/>
          <w:lang w:val="en-GB"/>
        </w:rPr>
        <w:t>Equinet and equality bodies</w:t>
      </w:r>
    </w:p>
    <w:p w14:paraId="0A3BFD98" w14:textId="128D57F4" w:rsidR="000C50D7" w:rsidRDefault="000C50D7" w:rsidP="00B4743C">
      <w:pPr>
        <w:spacing w:line="240" w:lineRule="auto"/>
        <w:jc w:val="both"/>
        <w:rPr>
          <w:rFonts w:asciiTheme="majorHAnsi" w:hAnsiTheme="majorHAnsi"/>
          <w:lang w:val="en-GB"/>
        </w:rPr>
      </w:pPr>
      <w:r w:rsidRPr="00190C14">
        <w:rPr>
          <w:rFonts w:asciiTheme="majorHAnsi" w:hAnsiTheme="majorHAnsi"/>
          <w:b/>
          <w:lang w:val="en-GB"/>
        </w:rPr>
        <w:t xml:space="preserve">Equinet </w:t>
      </w:r>
      <w:r w:rsidRPr="00190C14">
        <w:rPr>
          <w:rFonts w:asciiTheme="majorHAnsi" w:hAnsiTheme="majorHAnsi"/>
          <w:lang w:val="en-GB"/>
        </w:rPr>
        <w:t xml:space="preserve">built its contribution on the conclusions of the 2015 Perspective </w:t>
      </w:r>
      <w:hyperlink r:id="rId16" w:history="1">
        <w:r w:rsidR="00C14A13" w:rsidRPr="00C14A13">
          <w:rPr>
            <w:rStyle w:val="Hyperlink"/>
            <w:rFonts w:asciiTheme="majorHAnsi" w:hAnsiTheme="majorHAnsi"/>
            <w:lang w:val="en-GB"/>
          </w:rPr>
          <w:t>“Equality Bodies Contributing to the Protection, Respect and Fulfilment of Economic and Social Rights”</w:t>
        </w:r>
      </w:hyperlink>
      <w:r w:rsidR="00C14A13">
        <w:rPr>
          <w:rFonts w:asciiTheme="majorHAnsi" w:hAnsiTheme="majorHAnsi"/>
          <w:lang w:val="en-GB"/>
        </w:rPr>
        <w:t xml:space="preserve">. Our main messages include: </w:t>
      </w:r>
    </w:p>
    <w:p w14:paraId="451288D0" w14:textId="2E92273F" w:rsidR="00C14A13" w:rsidRDefault="00C14A13" w:rsidP="00B4743C">
      <w:pPr>
        <w:pStyle w:val="ListParagraph"/>
        <w:numPr>
          <w:ilvl w:val="0"/>
          <w:numId w:val="5"/>
        </w:numPr>
        <w:spacing w:line="240" w:lineRule="auto"/>
        <w:jc w:val="both"/>
        <w:rPr>
          <w:rFonts w:asciiTheme="majorHAnsi" w:hAnsiTheme="majorHAnsi"/>
          <w:lang w:val="en-GB"/>
        </w:rPr>
      </w:pPr>
      <w:r w:rsidRPr="00C14A13">
        <w:rPr>
          <w:rFonts w:asciiTheme="majorHAnsi" w:hAnsiTheme="majorHAnsi"/>
          <w:lang w:val="en-GB"/>
        </w:rPr>
        <w:t xml:space="preserve">Outline of a European Pillar of Social Rights could </w:t>
      </w:r>
      <w:r w:rsidRPr="00ED1334">
        <w:rPr>
          <w:rFonts w:asciiTheme="majorHAnsi" w:hAnsiTheme="majorHAnsi"/>
          <w:b/>
          <w:lang w:val="en-GB"/>
        </w:rPr>
        <w:t>be strengthened to fully respect and be in compliance with the social and economic rights the European Union</w:t>
      </w:r>
      <w:r w:rsidRPr="00C14A13">
        <w:rPr>
          <w:rFonts w:asciiTheme="majorHAnsi" w:hAnsiTheme="majorHAnsi"/>
          <w:lang w:val="en-GB"/>
        </w:rPr>
        <w:t xml:space="preserve"> and its member states have agreed to be bound by.</w:t>
      </w:r>
    </w:p>
    <w:p w14:paraId="53D5D05D" w14:textId="227833B9" w:rsidR="00B4743C" w:rsidRDefault="00B4743C" w:rsidP="00B4743C">
      <w:pPr>
        <w:pStyle w:val="ListParagraph"/>
        <w:numPr>
          <w:ilvl w:val="0"/>
          <w:numId w:val="5"/>
        </w:numPr>
        <w:spacing w:line="240" w:lineRule="auto"/>
        <w:jc w:val="both"/>
        <w:rPr>
          <w:rFonts w:asciiTheme="majorHAnsi" w:hAnsiTheme="majorHAnsi"/>
          <w:lang w:val="en-GB"/>
        </w:rPr>
      </w:pPr>
      <w:r w:rsidRPr="00B4743C">
        <w:rPr>
          <w:rFonts w:asciiTheme="majorHAnsi" w:hAnsiTheme="majorHAnsi"/>
          <w:lang w:val="en-GB"/>
        </w:rPr>
        <w:t xml:space="preserve">In line with the concerns of its members, Equinet highlights the need for attention to be paid to </w:t>
      </w:r>
      <w:r w:rsidRPr="00B4743C">
        <w:rPr>
          <w:rFonts w:asciiTheme="majorHAnsi" w:hAnsiTheme="majorHAnsi"/>
          <w:b/>
          <w:lang w:val="en-GB"/>
        </w:rPr>
        <w:t>equality and non-discrimination concerns</w:t>
      </w:r>
      <w:r w:rsidRPr="00B4743C">
        <w:rPr>
          <w:rFonts w:asciiTheme="majorHAnsi" w:hAnsiTheme="majorHAnsi"/>
          <w:lang w:val="en-GB"/>
        </w:rPr>
        <w:t xml:space="preserve"> </w:t>
      </w:r>
      <w:r w:rsidRPr="00B4743C">
        <w:rPr>
          <w:rFonts w:asciiTheme="majorHAnsi" w:hAnsiTheme="majorHAnsi"/>
          <w:b/>
          <w:lang w:val="en-GB"/>
        </w:rPr>
        <w:t>in all proposed policy domains</w:t>
      </w:r>
      <w:r w:rsidRPr="00B4743C">
        <w:rPr>
          <w:rFonts w:asciiTheme="majorHAnsi" w:hAnsiTheme="majorHAnsi"/>
          <w:lang w:val="en-GB"/>
        </w:rPr>
        <w:t>, and to consider throughout the policy design the need for progressive, and not retrogressive, realization of social and economic rights.</w:t>
      </w:r>
    </w:p>
    <w:p w14:paraId="69CF04C1" w14:textId="77777777" w:rsidR="00C14A13" w:rsidRPr="00C14A13" w:rsidRDefault="00C14A13" w:rsidP="00B4743C">
      <w:pPr>
        <w:pStyle w:val="ListParagraph"/>
        <w:numPr>
          <w:ilvl w:val="0"/>
          <w:numId w:val="5"/>
        </w:numPr>
        <w:spacing w:line="240" w:lineRule="auto"/>
        <w:jc w:val="both"/>
        <w:rPr>
          <w:rFonts w:asciiTheme="majorHAnsi" w:hAnsiTheme="majorHAnsi"/>
          <w:lang w:val="en-GB"/>
        </w:rPr>
      </w:pPr>
      <w:r w:rsidRPr="00C14A13">
        <w:rPr>
          <w:rFonts w:asciiTheme="majorHAnsi" w:hAnsiTheme="majorHAnsi"/>
          <w:lang w:val="en-GB"/>
        </w:rPr>
        <w:t xml:space="preserve">National equality bodies </w:t>
      </w:r>
      <w:r w:rsidRPr="00C14A13">
        <w:rPr>
          <w:rFonts w:asciiTheme="majorHAnsi" w:hAnsiTheme="majorHAnsi"/>
          <w:b/>
          <w:lang w:val="en-GB"/>
        </w:rPr>
        <w:t>continue to support monitoring of social and economic rights</w:t>
      </w:r>
      <w:r w:rsidRPr="00C14A13">
        <w:rPr>
          <w:rFonts w:asciiTheme="majorHAnsi" w:hAnsiTheme="majorHAnsi"/>
          <w:lang w:val="en-GB"/>
        </w:rPr>
        <w:t xml:space="preserve"> at member state level, and could fruitfully be strengthened to fulfil this role where that is not yet the case.</w:t>
      </w:r>
    </w:p>
    <w:p w14:paraId="36CDDC68" w14:textId="45F64890" w:rsidR="00C14A13" w:rsidRDefault="00C14A13" w:rsidP="00B4743C">
      <w:pPr>
        <w:pStyle w:val="ListParagraph"/>
        <w:numPr>
          <w:ilvl w:val="0"/>
          <w:numId w:val="5"/>
        </w:numPr>
        <w:spacing w:line="240" w:lineRule="auto"/>
        <w:jc w:val="both"/>
        <w:rPr>
          <w:rFonts w:asciiTheme="majorHAnsi" w:hAnsiTheme="majorHAnsi"/>
          <w:lang w:val="en-GB"/>
        </w:rPr>
      </w:pPr>
      <w:r w:rsidRPr="00C14A13">
        <w:rPr>
          <w:rFonts w:asciiTheme="majorHAnsi" w:hAnsiTheme="majorHAnsi"/>
          <w:lang w:val="en-GB"/>
        </w:rPr>
        <w:t>National equality bodies could be involved in developing suitable and human rights compliant indicators for measuring and monitoring social and economic rights within the framework of the European Semester.</w:t>
      </w:r>
    </w:p>
    <w:p w14:paraId="7B056136" w14:textId="77777777" w:rsidR="00B4743C" w:rsidRPr="00B4743C" w:rsidRDefault="00B4743C" w:rsidP="00B4743C">
      <w:pPr>
        <w:spacing w:line="240" w:lineRule="auto"/>
        <w:jc w:val="both"/>
        <w:rPr>
          <w:rFonts w:asciiTheme="majorHAnsi" w:hAnsiTheme="majorHAnsi"/>
          <w:lang w:val="en-GB"/>
        </w:rPr>
      </w:pPr>
      <w:r w:rsidRPr="00B4743C">
        <w:rPr>
          <w:rFonts w:asciiTheme="majorHAnsi" w:hAnsiTheme="majorHAnsi"/>
          <w:lang w:val="en-GB"/>
        </w:rPr>
        <w:t>At the outset, Equinet offers the opinions of three of its members for general consideration when designing the next iteration of the proposed Pillar of Social Rights:</w:t>
      </w:r>
    </w:p>
    <w:p w14:paraId="186F4DA1" w14:textId="151B36F5" w:rsidR="00B4743C" w:rsidRPr="00B4743C" w:rsidRDefault="00B4743C" w:rsidP="00B4743C">
      <w:pPr>
        <w:pStyle w:val="ListParagraph"/>
        <w:numPr>
          <w:ilvl w:val="0"/>
          <w:numId w:val="7"/>
        </w:numPr>
        <w:spacing w:line="240" w:lineRule="auto"/>
        <w:jc w:val="both"/>
        <w:rPr>
          <w:rFonts w:asciiTheme="majorHAnsi" w:hAnsiTheme="majorHAnsi"/>
          <w:lang w:val="en-GB"/>
        </w:rPr>
      </w:pPr>
      <w:r w:rsidRPr="00B4743C">
        <w:rPr>
          <w:rFonts w:asciiTheme="majorHAnsi" w:hAnsiTheme="majorHAnsi"/>
          <w:lang w:val="en-GB"/>
        </w:rPr>
        <w:t xml:space="preserve">The </w:t>
      </w:r>
      <w:hyperlink r:id="rId17" w:history="1">
        <w:r w:rsidRPr="00B4743C">
          <w:rPr>
            <w:rStyle w:val="Hyperlink"/>
            <w:rFonts w:asciiTheme="majorHAnsi" w:hAnsiTheme="majorHAnsi"/>
            <w:lang w:val="en-GB"/>
          </w:rPr>
          <w:t>Irish Human Rights and Equality Commission</w:t>
        </w:r>
      </w:hyperlink>
      <w:r w:rsidRPr="00B4743C">
        <w:rPr>
          <w:rFonts w:asciiTheme="majorHAnsi" w:hAnsiTheme="majorHAnsi"/>
          <w:lang w:val="en-GB"/>
        </w:rPr>
        <w:t xml:space="preserve"> submitted a report (2015) to the UN Committee on Economic, Social and Cultural Rights in which the Commission inter alia raised “[t]he need for a state to invest in, develop and promote wider use of Social Impact Assessments as a monitoring tool for the </w:t>
      </w:r>
      <w:r w:rsidRPr="00B4743C">
        <w:rPr>
          <w:rFonts w:asciiTheme="majorHAnsi" w:hAnsiTheme="majorHAnsi"/>
          <w:lang w:val="en-GB"/>
        </w:rPr>
        <w:lastRenderedPageBreak/>
        <w:t>impact of budgetary decision-making on the socio-economic status of people living in poverty in a range of policy areas."</w:t>
      </w:r>
    </w:p>
    <w:p w14:paraId="0101DA75" w14:textId="7B5C5F76" w:rsidR="00B4743C" w:rsidRPr="00B4743C" w:rsidRDefault="00B4743C" w:rsidP="00B4743C">
      <w:pPr>
        <w:pStyle w:val="ListParagraph"/>
        <w:numPr>
          <w:ilvl w:val="0"/>
          <w:numId w:val="7"/>
        </w:numPr>
        <w:spacing w:line="240" w:lineRule="auto"/>
        <w:jc w:val="both"/>
        <w:rPr>
          <w:rFonts w:asciiTheme="majorHAnsi" w:hAnsiTheme="majorHAnsi"/>
          <w:lang w:val="en-GB"/>
        </w:rPr>
      </w:pPr>
      <w:r w:rsidRPr="00B4743C">
        <w:rPr>
          <w:rFonts w:asciiTheme="majorHAnsi" w:hAnsiTheme="majorHAnsi"/>
          <w:lang w:val="en-GB"/>
        </w:rPr>
        <w:t xml:space="preserve">The </w:t>
      </w:r>
      <w:hyperlink r:id="rId18" w:history="1">
        <w:r w:rsidRPr="00B4743C">
          <w:rPr>
            <w:rStyle w:val="Hyperlink"/>
            <w:rFonts w:asciiTheme="majorHAnsi" w:hAnsiTheme="majorHAnsi"/>
            <w:lang w:val="en-GB"/>
          </w:rPr>
          <w:t>Equality Commission for Northern Ireland</w:t>
        </w:r>
      </w:hyperlink>
      <w:r w:rsidRPr="00B4743C">
        <w:rPr>
          <w:rFonts w:asciiTheme="majorHAnsi" w:hAnsiTheme="majorHAnsi"/>
          <w:lang w:val="en-GB"/>
        </w:rPr>
        <w:t>, in its communication with national government departments, has inter alia urged that “equality considerations, including the need to identify and mitigate any adverse impacts of policy on equality groups are taken into account. The Commission has drawn attention to the obligations to prevent retrogression of rights and to promote ‘progressive realization’ of the relevant rights to the maximum of available resources.”</w:t>
      </w:r>
    </w:p>
    <w:p w14:paraId="637B348B" w14:textId="50942262" w:rsidR="00B4743C" w:rsidRDefault="00B4743C" w:rsidP="00B4743C">
      <w:pPr>
        <w:pStyle w:val="ListParagraph"/>
        <w:numPr>
          <w:ilvl w:val="0"/>
          <w:numId w:val="7"/>
        </w:numPr>
        <w:spacing w:line="240" w:lineRule="auto"/>
        <w:jc w:val="both"/>
        <w:rPr>
          <w:rFonts w:asciiTheme="majorHAnsi" w:hAnsiTheme="majorHAnsi"/>
          <w:lang w:val="en-GB"/>
        </w:rPr>
      </w:pPr>
      <w:r w:rsidRPr="00B4743C">
        <w:rPr>
          <w:rFonts w:asciiTheme="majorHAnsi" w:hAnsiTheme="majorHAnsi"/>
          <w:lang w:val="en-GB"/>
        </w:rPr>
        <w:t xml:space="preserve">In its investigation of a case where the complainant was adversely impacted by austerity measures in 2013, the </w:t>
      </w:r>
      <w:hyperlink r:id="rId19" w:history="1">
        <w:r w:rsidRPr="00B4743C">
          <w:rPr>
            <w:rStyle w:val="Hyperlink"/>
            <w:rFonts w:asciiTheme="majorHAnsi" w:hAnsiTheme="majorHAnsi"/>
            <w:lang w:val="en-GB"/>
          </w:rPr>
          <w:t>Ombudsman of the Republic of Latvia</w:t>
        </w:r>
      </w:hyperlink>
      <w:r w:rsidRPr="00B4743C">
        <w:rPr>
          <w:rFonts w:asciiTheme="majorHAnsi" w:hAnsiTheme="majorHAnsi"/>
          <w:lang w:val="en-GB"/>
        </w:rPr>
        <w:t xml:space="preserve"> opined that the austerity measures in question “should not have been applied to vulnerable groups and may not affect such areas as health care, education and social security.”</w:t>
      </w:r>
    </w:p>
    <w:p w14:paraId="78650583" w14:textId="0E7AA630" w:rsidR="00B4743C" w:rsidRPr="00B4743C" w:rsidRDefault="00B4743C" w:rsidP="00B4743C">
      <w:pPr>
        <w:shd w:val="clear" w:color="auto" w:fill="F2F2F2" w:themeFill="background1" w:themeFillShade="F2"/>
        <w:spacing w:line="240" w:lineRule="auto"/>
        <w:jc w:val="both"/>
        <w:rPr>
          <w:rFonts w:asciiTheme="majorHAnsi" w:hAnsiTheme="majorHAnsi"/>
          <w:lang w:val="en-GB"/>
        </w:rPr>
      </w:pPr>
      <w:r>
        <w:rPr>
          <w:rFonts w:asciiTheme="majorHAnsi" w:hAnsiTheme="majorHAnsi"/>
          <w:lang w:val="en-GB"/>
        </w:rPr>
        <w:t xml:space="preserve">The full Equinet contribution is available </w:t>
      </w:r>
      <w:hyperlink r:id="rId20" w:history="1">
        <w:r w:rsidRPr="00B4743C">
          <w:rPr>
            <w:rStyle w:val="Hyperlink"/>
            <w:rFonts w:asciiTheme="majorHAnsi" w:hAnsiTheme="majorHAnsi"/>
            <w:lang w:val="en-GB"/>
          </w:rPr>
          <w:t>here</w:t>
        </w:r>
      </w:hyperlink>
      <w:r>
        <w:rPr>
          <w:rFonts w:asciiTheme="majorHAnsi" w:hAnsiTheme="majorHAnsi"/>
          <w:lang w:val="en-GB"/>
        </w:rPr>
        <w:t xml:space="preserve">. </w:t>
      </w:r>
    </w:p>
    <w:p w14:paraId="74A206BA" w14:textId="06E908D5" w:rsidR="00FE760B" w:rsidRPr="00FE760B" w:rsidRDefault="00FE760B" w:rsidP="00B4743C">
      <w:pPr>
        <w:spacing w:line="240" w:lineRule="auto"/>
        <w:jc w:val="both"/>
        <w:rPr>
          <w:rFonts w:asciiTheme="majorHAnsi" w:hAnsiTheme="majorHAnsi"/>
          <w:i/>
          <w:lang w:val="en-GB"/>
        </w:rPr>
      </w:pPr>
      <w:r w:rsidRPr="00FE760B">
        <w:rPr>
          <w:rFonts w:asciiTheme="majorHAnsi" w:hAnsiTheme="majorHAnsi"/>
          <w:i/>
          <w:lang w:val="en-GB"/>
        </w:rPr>
        <w:t>Civil society organisations</w:t>
      </w:r>
    </w:p>
    <w:p w14:paraId="6812B4DA" w14:textId="0D37C356" w:rsidR="00FE760B" w:rsidRPr="00555B6A" w:rsidRDefault="00303759" w:rsidP="00B4743C">
      <w:pPr>
        <w:pStyle w:val="ListParagraph"/>
        <w:numPr>
          <w:ilvl w:val="0"/>
          <w:numId w:val="1"/>
        </w:numPr>
        <w:spacing w:line="240" w:lineRule="auto"/>
        <w:jc w:val="both"/>
        <w:rPr>
          <w:rFonts w:asciiTheme="majorHAnsi" w:hAnsiTheme="majorHAnsi"/>
          <w:lang w:val="en-US"/>
        </w:rPr>
      </w:pPr>
      <w:hyperlink r:id="rId21" w:history="1">
        <w:r w:rsidR="00FE760B" w:rsidRPr="00555B6A">
          <w:rPr>
            <w:rStyle w:val="Hyperlink"/>
            <w:rFonts w:asciiTheme="majorHAnsi" w:hAnsiTheme="majorHAnsi"/>
            <w:b/>
            <w:lang w:val="en-US"/>
          </w:rPr>
          <w:t>COFACE</w:t>
        </w:r>
        <w:r w:rsidR="0048089B" w:rsidRPr="00555B6A">
          <w:rPr>
            <w:rStyle w:val="Hyperlink"/>
            <w:rFonts w:asciiTheme="majorHAnsi" w:hAnsiTheme="majorHAnsi"/>
            <w:b/>
            <w:lang w:val="en-US"/>
          </w:rPr>
          <w:t>-Families Europe</w:t>
        </w:r>
      </w:hyperlink>
      <w:r w:rsidR="00555B6A" w:rsidRPr="00555B6A">
        <w:rPr>
          <w:rFonts w:asciiTheme="majorHAnsi" w:hAnsiTheme="majorHAnsi"/>
          <w:lang w:val="en-US"/>
        </w:rPr>
        <w:t xml:space="preserve"> mainly recommends the Social Pillar </w:t>
      </w:r>
      <w:r w:rsidR="000C50D7">
        <w:rPr>
          <w:rFonts w:asciiTheme="majorHAnsi" w:hAnsiTheme="majorHAnsi"/>
          <w:lang w:val="en-US"/>
        </w:rPr>
        <w:t>to focus</w:t>
      </w:r>
      <w:r w:rsidR="00555B6A">
        <w:rPr>
          <w:rFonts w:asciiTheme="majorHAnsi" w:hAnsiTheme="majorHAnsi"/>
          <w:lang w:val="en-US"/>
        </w:rPr>
        <w:t xml:space="preserve"> on social inclusion of all families, with strong prioritization of </w:t>
      </w:r>
      <w:r w:rsidR="000C50D7">
        <w:rPr>
          <w:rFonts w:asciiTheme="majorHAnsi" w:hAnsiTheme="majorHAnsi"/>
          <w:lang w:val="en-US"/>
        </w:rPr>
        <w:t xml:space="preserve">education, </w:t>
      </w:r>
      <w:proofErr w:type="spellStart"/>
      <w:r w:rsidR="000C50D7">
        <w:rPr>
          <w:rFonts w:asciiTheme="majorHAnsi" w:hAnsiTheme="majorHAnsi"/>
          <w:lang w:val="en-US"/>
        </w:rPr>
        <w:t>skils</w:t>
      </w:r>
      <w:proofErr w:type="spellEnd"/>
      <w:r w:rsidR="000C50D7">
        <w:rPr>
          <w:rFonts w:asciiTheme="majorHAnsi" w:hAnsiTheme="majorHAnsi"/>
          <w:lang w:val="en-US"/>
        </w:rPr>
        <w:t xml:space="preserve">, lifelong learning, gender equality and non-discrimination. </w:t>
      </w:r>
    </w:p>
    <w:p w14:paraId="49DB12D0" w14:textId="14B00216" w:rsidR="00FE760B" w:rsidRDefault="000C50D7" w:rsidP="00B4743C">
      <w:pPr>
        <w:pStyle w:val="ListParagraph"/>
        <w:numPr>
          <w:ilvl w:val="0"/>
          <w:numId w:val="1"/>
        </w:numPr>
        <w:spacing w:line="240" w:lineRule="auto"/>
        <w:jc w:val="both"/>
        <w:rPr>
          <w:rFonts w:asciiTheme="majorHAnsi" w:hAnsiTheme="majorHAnsi"/>
          <w:lang w:val="en-GB"/>
        </w:rPr>
      </w:pPr>
      <w:r>
        <w:rPr>
          <w:rFonts w:asciiTheme="majorHAnsi" w:hAnsiTheme="majorHAnsi"/>
          <w:lang w:val="en-GB"/>
        </w:rPr>
        <w:t xml:space="preserve">The </w:t>
      </w:r>
      <w:hyperlink r:id="rId22" w:history="1">
        <w:r w:rsidR="00FE760B" w:rsidRPr="000C50D7">
          <w:rPr>
            <w:rStyle w:val="Hyperlink"/>
            <w:rFonts w:asciiTheme="majorHAnsi" w:hAnsiTheme="majorHAnsi"/>
            <w:b/>
            <w:lang w:val="en-GB"/>
          </w:rPr>
          <w:t>European Youth Forum</w:t>
        </w:r>
      </w:hyperlink>
      <w:r>
        <w:rPr>
          <w:rFonts w:asciiTheme="majorHAnsi" w:hAnsiTheme="majorHAnsi"/>
          <w:lang w:val="en-GB"/>
        </w:rPr>
        <w:t xml:space="preserve"> also highlights the need to take into account </w:t>
      </w:r>
      <w:r w:rsidR="00A724FE">
        <w:rPr>
          <w:rFonts w:asciiTheme="majorHAnsi" w:hAnsiTheme="majorHAnsi"/>
          <w:lang w:val="en-GB"/>
        </w:rPr>
        <w:t xml:space="preserve">all young people in the Pillar through a holistic approach of social inclusion. </w:t>
      </w:r>
    </w:p>
    <w:p w14:paraId="28EFA1EE" w14:textId="73B388E1" w:rsidR="00FE760B" w:rsidRDefault="008579A0" w:rsidP="00B4743C">
      <w:pPr>
        <w:pStyle w:val="ListParagraph"/>
        <w:numPr>
          <w:ilvl w:val="0"/>
          <w:numId w:val="1"/>
        </w:numPr>
        <w:spacing w:line="240" w:lineRule="auto"/>
        <w:jc w:val="both"/>
        <w:rPr>
          <w:rFonts w:asciiTheme="majorHAnsi" w:hAnsiTheme="majorHAnsi"/>
          <w:lang w:val="en-GB"/>
        </w:rPr>
      </w:pPr>
      <w:r>
        <w:rPr>
          <w:rFonts w:asciiTheme="majorHAnsi" w:hAnsiTheme="majorHAnsi"/>
          <w:lang w:val="en-GB"/>
        </w:rPr>
        <w:t xml:space="preserve">The </w:t>
      </w:r>
      <w:hyperlink r:id="rId23" w:history="1">
        <w:r w:rsidRPr="00E62A71">
          <w:rPr>
            <w:rStyle w:val="Hyperlink"/>
            <w:rFonts w:asciiTheme="majorHAnsi" w:hAnsiTheme="majorHAnsi"/>
            <w:b/>
            <w:lang w:val="en-GB"/>
          </w:rPr>
          <w:t>European Disability Forum</w:t>
        </w:r>
      </w:hyperlink>
      <w:r>
        <w:rPr>
          <w:rFonts w:asciiTheme="majorHAnsi" w:hAnsiTheme="majorHAnsi"/>
          <w:lang w:val="en-GB"/>
        </w:rPr>
        <w:t xml:space="preserve"> </w:t>
      </w:r>
      <w:r w:rsidR="00E62A71">
        <w:rPr>
          <w:rFonts w:asciiTheme="majorHAnsi" w:hAnsiTheme="majorHAnsi"/>
          <w:lang w:val="en-GB"/>
        </w:rPr>
        <w:t xml:space="preserve">recommends to mainstream the rights of persons with disabilities in the Social Pillar, as well as to enlarge its scope to all EU Member States. </w:t>
      </w:r>
    </w:p>
    <w:p w14:paraId="0F66FA85" w14:textId="77777777" w:rsidR="00E60E54" w:rsidRPr="00372A59" w:rsidRDefault="00E60E54" w:rsidP="000263B4">
      <w:pPr>
        <w:pBdr>
          <w:bottom w:val="dotted" w:sz="36" w:space="1" w:color="auto"/>
        </w:pBdr>
        <w:spacing w:line="240" w:lineRule="auto"/>
        <w:rPr>
          <w:rFonts w:asciiTheme="majorHAnsi" w:hAnsiTheme="majorHAnsi"/>
          <w:lang w:val="en-GB"/>
        </w:rPr>
      </w:pPr>
    </w:p>
    <w:p w14:paraId="54158D4D" w14:textId="15F3E94E" w:rsidR="00F93FE2" w:rsidRPr="00372A59" w:rsidRDefault="00F93FE2">
      <w:pPr>
        <w:rPr>
          <w:rFonts w:asciiTheme="majorHAnsi" w:eastAsiaTheme="majorEastAsia" w:hAnsiTheme="majorHAnsi" w:cstheme="majorBidi"/>
          <w:b/>
          <w:color w:val="2E74B5" w:themeColor="accent1" w:themeShade="BF"/>
          <w:sz w:val="32"/>
          <w:szCs w:val="32"/>
          <w:lang w:val="en-GB"/>
        </w:rPr>
      </w:pPr>
      <w:bookmarkStart w:id="7" w:name="_Toc418770746"/>
      <w:bookmarkStart w:id="8" w:name="_Ref418784288"/>
      <w:bookmarkStart w:id="9" w:name="_Ref421267472"/>
      <w:r w:rsidRPr="00372A59">
        <w:rPr>
          <w:rFonts w:asciiTheme="majorHAnsi" w:hAnsiTheme="majorHAnsi"/>
          <w:lang w:val="en-GB"/>
        </w:rPr>
        <w:br w:type="page"/>
      </w:r>
    </w:p>
    <w:p w14:paraId="326F9116" w14:textId="3AAA184A" w:rsidR="000515A0" w:rsidRPr="00372A59" w:rsidRDefault="00372A59" w:rsidP="00372A59">
      <w:pPr>
        <w:pStyle w:val="Heading1"/>
        <w:shd w:val="clear" w:color="auto" w:fill="002060"/>
        <w:rPr>
          <w:color w:val="FFFFFF" w:themeColor="background1"/>
          <w:sz w:val="36"/>
          <w:lang w:val="en-GB"/>
        </w:rPr>
      </w:pPr>
      <w:bookmarkStart w:id="10" w:name="_Ref421267521"/>
      <w:bookmarkStart w:id="11" w:name="_Toc418770747"/>
      <w:bookmarkStart w:id="12" w:name="_Ref418784309"/>
      <w:bookmarkEnd w:id="7"/>
      <w:bookmarkEnd w:id="8"/>
      <w:bookmarkEnd w:id="9"/>
      <w:r w:rsidRPr="00372A59">
        <w:rPr>
          <w:color w:val="FFFFFF" w:themeColor="background1"/>
          <w:sz w:val="36"/>
          <w:lang w:val="en-GB"/>
        </w:rPr>
        <w:t>GENERAL INFORMATION</w:t>
      </w:r>
      <w:bookmarkEnd w:id="10"/>
    </w:p>
    <w:p w14:paraId="7EF690FF" w14:textId="38E61D41" w:rsidR="00372A59" w:rsidRPr="00372A59" w:rsidRDefault="00372A59" w:rsidP="00EF446F">
      <w:pPr>
        <w:rPr>
          <w:rFonts w:asciiTheme="majorHAnsi" w:hAnsiTheme="majorHAnsi"/>
          <w:color w:val="C45911" w:themeColor="accent2" w:themeShade="BF"/>
          <w:lang w:val="en-GB"/>
        </w:rPr>
      </w:pPr>
    </w:p>
    <w:p w14:paraId="45BD1337" w14:textId="7E4E6AEB" w:rsidR="00372A59" w:rsidRDefault="00EF446F" w:rsidP="00E60E54">
      <w:pPr>
        <w:pStyle w:val="Heading2"/>
        <w:rPr>
          <w:lang w:val="en-GB"/>
        </w:rPr>
      </w:pPr>
      <w:bookmarkStart w:id="13" w:name="_Ref467166165"/>
      <w:r w:rsidRPr="00830828">
        <w:rPr>
          <w:lang w:val="en-GB"/>
        </w:rPr>
        <w:t>Thematic developments</w:t>
      </w:r>
      <w:bookmarkEnd w:id="13"/>
    </w:p>
    <w:p w14:paraId="4B8AC309" w14:textId="01F64A86" w:rsidR="00190C14" w:rsidRPr="00190C14" w:rsidRDefault="000A265E" w:rsidP="00190C14">
      <w:pPr>
        <w:rPr>
          <w:lang w:val="en-GB"/>
        </w:rPr>
      </w:pPr>
      <w:r>
        <w:rPr>
          <w:rFonts w:asciiTheme="majorHAnsi" w:hAnsiTheme="majorHAnsi"/>
          <w:b/>
          <w:noProof/>
          <w:sz w:val="24"/>
          <w:lang w:eastAsia="fr-BE"/>
        </w:rPr>
        <w:drawing>
          <wp:anchor distT="0" distB="0" distL="114300" distR="114300" simplePos="0" relativeHeight="251654144" behindDoc="0" locked="0" layoutInCell="1" allowOverlap="1" wp14:anchorId="6F78E937" wp14:editId="60EB7FBC">
            <wp:simplePos x="0" y="0"/>
            <wp:positionH relativeFrom="margin">
              <wp:posOffset>3864610</wp:posOffset>
            </wp:positionH>
            <wp:positionV relativeFrom="margin">
              <wp:posOffset>1095375</wp:posOffset>
            </wp:positionV>
            <wp:extent cx="2314575" cy="8191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4575" cy="819150"/>
                    </a:xfrm>
                    <a:prstGeom prst="rect">
                      <a:avLst/>
                    </a:prstGeom>
                    <a:noFill/>
                    <a:ln>
                      <a:noFill/>
                    </a:ln>
                  </pic:spPr>
                </pic:pic>
              </a:graphicData>
            </a:graphic>
          </wp:anchor>
        </w:drawing>
      </w:r>
    </w:p>
    <w:p w14:paraId="20C16190" w14:textId="1F1BA0D8" w:rsidR="00190C14" w:rsidRPr="00D271AE" w:rsidRDefault="00190C14" w:rsidP="00D47008">
      <w:pPr>
        <w:pStyle w:val="NoSpacing"/>
        <w:shd w:val="clear" w:color="auto" w:fill="F2F2F2" w:themeFill="background1" w:themeFillShade="F2"/>
        <w:rPr>
          <w:rFonts w:asciiTheme="majorHAnsi" w:hAnsiTheme="majorHAnsi"/>
          <w:b/>
          <w:sz w:val="24"/>
          <w:lang w:val="en-US"/>
        </w:rPr>
      </w:pPr>
      <w:r w:rsidRPr="00190C14">
        <w:rPr>
          <w:rFonts w:asciiTheme="majorHAnsi" w:hAnsiTheme="majorHAnsi"/>
          <w:b/>
          <w:sz w:val="24"/>
          <w:lang w:val="en-GB"/>
        </w:rPr>
        <w:t>Malta takes over the Presidency of the European Union</w:t>
      </w:r>
    </w:p>
    <w:p w14:paraId="55C78B03" w14:textId="75882951" w:rsidR="00190C14" w:rsidRDefault="00190C14" w:rsidP="00D47008">
      <w:pPr>
        <w:pStyle w:val="NoSpacing"/>
        <w:shd w:val="clear" w:color="auto" w:fill="F2F2F2" w:themeFill="background1" w:themeFillShade="F2"/>
        <w:rPr>
          <w:rFonts w:asciiTheme="majorHAnsi" w:hAnsiTheme="majorHAnsi"/>
          <w:lang w:val="en-GB"/>
        </w:rPr>
      </w:pPr>
    </w:p>
    <w:p w14:paraId="4FC75A24" w14:textId="3A9D4765" w:rsidR="00190C14" w:rsidRDefault="00190C14" w:rsidP="00D47008">
      <w:pPr>
        <w:pStyle w:val="NoSpacing"/>
        <w:shd w:val="clear" w:color="auto" w:fill="F2F2F2" w:themeFill="background1" w:themeFillShade="F2"/>
        <w:jc w:val="both"/>
        <w:rPr>
          <w:rFonts w:asciiTheme="majorHAnsi" w:hAnsiTheme="majorHAnsi"/>
          <w:lang w:val="en-GB"/>
        </w:rPr>
      </w:pPr>
      <w:r w:rsidRPr="00190C14">
        <w:rPr>
          <w:rFonts w:asciiTheme="majorHAnsi" w:hAnsiTheme="majorHAnsi"/>
          <w:lang w:val="en-GB"/>
        </w:rPr>
        <w:t xml:space="preserve">From </w:t>
      </w:r>
      <w:r w:rsidRPr="000A0CE2">
        <w:rPr>
          <w:rFonts w:asciiTheme="majorHAnsi" w:hAnsiTheme="majorHAnsi"/>
          <w:b/>
          <w:lang w:val="en-GB"/>
        </w:rPr>
        <w:t>1</w:t>
      </w:r>
      <w:r w:rsidRPr="000A0CE2">
        <w:rPr>
          <w:rFonts w:asciiTheme="majorHAnsi" w:hAnsiTheme="majorHAnsi"/>
          <w:b/>
          <w:vertAlign w:val="superscript"/>
          <w:lang w:val="en-GB"/>
        </w:rPr>
        <w:t>st</w:t>
      </w:r>
      <w:r w:rsidRPr="000A0CE2">
        <w:rPr>
          <w:rFonts w:asciiTheme="majorHAnsi" w:hAnsiTheme="majorHAnsi"/>
          <w:b/>
          <w:lang w:val="en-GB"/>
        </w:rPr>
        <w:t xml:space="preserve"> January to 30</w:t>
      </w:r>
      <w:r w:rsidRPr="000A0CE2">
        <w:rPr>
          <w:rFonts w:asciiTheme="majorHAnsi" w:hAnsiTheme="majorHAnsi"/>
          <w:b/>
          <w:vertAlign w:val="superscript"/>
          <w:lang w:val="en-GB"/>
        </w:rPr>
        <w:t>th</w:t>
      </w:r>
      <w:r w:rsidRPr="000A0CE2">
        <w:rPr>
          <w:rFonts w:asciiTheme="majorHAnsi" w:hAnsiTheme="majorHAnsi"/>
          <w:b/>
          <w:lang w:val="en-GB"/>
        </w:rPr>
        <w:t xml:space="preserve"> June 2017, </w:t>
      </w:r>
      <w:r w:rsidRPr="00190C14">
        <w:rPr>
          <w:rFonts w:asciiTheme="majorHAnsi" w:hAnsiTheme="majorHAnsi"/>
          <w:lang w:val="en-GB"/>
        </w:rPr>
        <w:t xml:space="preserve">Malta </w:t>
      </w:r>
      <w:r w:rsidR="000A0CE2">
        <w:rPr>
          <w:rFonts w:asciiTheme="majorHAnsi" w:hAnsiTheme="majorHAnsi"/>
          <w:lang w:val="en-GB"/>
        </w:rPr>
        <w:t xml:space="preserve">takes over the Presidency of the Council of the European Union. One of its </w:t>
      </w:r>
      <w:hyperlink r:id="rId25" w:history="1">
        <w:r w:rsidR="000A0CE2" w:rsidRPr="000A0CE2">
          <w:rPr>
            <w:rStyle w:val="Hyperlink"/>
            <w:rFonts w:asciiTheme="majorHAnsi" w:hAnsiTheme="majorHAnsi"/>
            <w:lang w:val="en-GB"/>
          </w:rPr>
          <w:t>6 priorities</w:t>
        </w:r>
      </w:hyperlink>
      <w:r w:rsidR="000A0CE2">
        <w:rPr>
          <w:rFonts w:asciiTheme="majorHAnsi" w:hAnsiTheme="majorHAnsi"/>
          <w:lang w:val="en-GB"/>
        </w:rPr>
        <w:t xml:space="preserve"> is social inclusion, which includes advancing “</w:t>
      </w:r>
      <w:r w:rsidR="000A0CE2" w:rsidRPr="000A0CE2">
        <w:rPr>
          <w:rFonts w:asciiTheme="majorHAnsi" w:hAnsiTheme="majorHAnsi"/>
          <w:lang w:val="en-GB"/>
        </w:rPr>
        <w:t>advance gender equality and</w:t>
      </w:r>
      <w:r w:rsidR="000A0CE2">
        <w:rPr>
          <w:rFonts w:asciiTheme="majorHAnsi" w:hAnsiTheme="majorHAnsi"/>
          <w:lang w:val="en-GB"/>
        </w:rPr>
        <w:t xml:space="preserve"> [the]</w:t>
      </w:r>
      <w:r w:rsidR="000A0CE2" w:rsidRPr="000A0CE2">
        <w:rPr>
          <w:rFonts w:asciiTheme="majorHAnsi" w:hAnsiTheme="majorHAnsi"/>
          <w:lang w:val="en-GB"/>
        </w:rPr>
        <w:t xml:space="preserve"> rights of </w:t>
      </w:r>
      <w:r w:rsidR="000A0CE2">
        <w:rPr>
          <w:rFonts w:asciiTheme="majorHAnsi" w:hAnsiTheme="majorHAnsi"/>
          <w:lang w:val="en-GB"/>
        </w:rPr>
        <w:t xml:space="preserve">minorities and </w:t>
      </w:r>
      <w:r w:rsidR="000A0CE2" w:rsidRPr="000A0CE2">
        <w:rPr>
          <w:rFonts w:asciiTheme="majorHAnsi" w:hAnsiTheme="majorHAnsi"/>
          <w:lang w:val="en-GB"/>
        </w:rPr>
        <w:t>vulnerable groups</w:t>
      </w:r>
      <w:r w:rsidR="000A0CE2">
        <w:rPr>
          <w:rFonts w:asciiTheme="majorHAnsi" w:hAnsiTheme="majorHAnsi"/>
          <w:lang w:val="en-GB"/>
        </w:rPr>
        <w:t xml:space="preserve">”. </w:t>
      </w:r>
    </w:p>
    <w:p w14:paraId="164D1171" w14:textId="3AC6110E" w:rsidR="000A0CE2" w:rsidRDefault="000A0CE2" w:rsidP="00D47008">
      <w:pPr>
        <w:pStyle w:val="NoSpacing"/>
        <w:shd w:val="clear" w:color="auto" w:fill="F2F2F2" w:themeFill="background1" w:themeFillShade="F2"/>
        <w:jc w:val="both"/>
        <w:rPr>
          <w:rFonts w:asciiTheme="majorHAnsi" w:hAnsiTheme="majorHAnsi"/>
          <w:lang w:val="en-GB"/>
        </w:rPr>
      </w:pPr>
    </w:p>
    <w:p w14:paraId="25A2E722" w14:textId="67B7BBCE" w:rsidR="000A0CE2" w:rsidRDefault="000A0CE2" w:rsidP="00D47008">
      <w:pPr>
        <w:pStyle w:val="NoSpacing"/>
        <w:shd w:val="clear" w:color="auto" w:fill="F2F2F2" w:themeFill="background1" w:themeFillShade="F2"/>
        <w:jc w:val="both"/>
        <w:rPr>
          <w:rFonts w:asciiTheme="majorHAnsi" w:hAnsiTheme="majorHAnsi"/>
          <w:lang w:val="en-GB"/>
        </w:rPr>
      </w:pPr>
      <w:r>
        <w:rPr>
          <w:rFonts w:asciiTheme="majorHAnsi" w:hAnsiTheme="majorHAnsi"/>
          <w:lang w:val="en-GB"/>
        </w:rPr>
        <w:t xml:space="preserve">The website of the Maltese EU Presidency is available </w:t>
      </w:r>
      <w:hyperlink r:id="rId26" w:history="1">
        <w:r w:rsidRPr="000A0CE2">
          <w:rPr>
            <w:rStyle w:val="Hyperlink"/>
            <w:rFonts w:asciiTheme="majorHAnsi" w:hAnsiTheme="majorHAnsi"/>
            <w:lang w:val="en-GB"/>
          </w:rPr>
          <w:t>here</w:t>
        </w:r>
      </w:hyperlink>
      <w:r>
        <w:rPr>
          <w:rFonts w:asciiTheme="majorHAnsi" w:hAnsiTheme="majorHAnsi"/>
          <w:lang w:val="en-GB"/>
        </w:rPr>
        <w:t xml:space="preserve">. </w:t>
      </w:r>
    </w:p>
    <w:p w14:paraId="785A4B4A" w14:textId="44D13C47" w:rsidR="000A0CE2" w:rsidRDefault="000A0CE2" w:rsidP="00D47008">
      <w:pPr>
        <w:pStyle w:val="NoSpacing"/>
        <w:shd w:val="clear" w:color="auto" w:fill="F2F2F2" w:themeFill="background1" w:themeFillShade="F2"/>
        <w:jc w:val="both"/>
        <w:rPr>
          <w:rFonts w:asciiTheme="majorHAnsi" w:hAnsiTheme="majorHAnsi"/>
          <w:lang w:val="en-GB"/>
        </w:rPr>
      </w:pPr>
    </w:p>
    <w:p w14:paraId="3B075CFB" w14:textId="019BC714" w:rsidR="000A0CE2" w:rsidRPr="000A0CE2" w:rsidRDefault="000A0CE2" w:rsidP="00D47008">
      <w:pPr>
        <w:pStyle w:val="NoSpacing"/>
        <w:shd w:val="clear" w:color="auto" w:fill="F2F2F2" w:themeFill="background1" w:themeFillShade="F2"/>
        <w:jc w:val="both"/>
        <w:rPr>
          <w:rFonts w:asciiTheme="majorHAnsi" w:hAnsiTheme="majorHAnsi"/>
          <w:b/>
          <w:lang w:val="en-GB"/>
        </w:rPr>
      </w:pPr>
      <w:r w:rsidRPr="000A0CE2">
        <w:rPr>
          <w:rFonts w:asciiTheme="majorHAnsi" w:hAnsiTheme="majorHAnsi"/>
          <w:b/>
          <w:lang w:val="en-GB"/>
        </w:rPr>
        <w:t>Key dates</w:t>
      </w:r>
    </w:p>
    <w:p w14:paraId="2486CFD8" w14:textId="5A15B0B4" w:rsidR="000A0CE2" w:rsidRPr="0072791A" w:rsidRDefault="000A0CE2" w:rsidP="00D47008">
      <w:pPr>
        <w:pStyle w:val="NoSpacing"/>
        <w:numPr>
          <w:ilvl w:val="0"/>
          <w:numId w:val="3"/>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1-2 February 2017:</w:t>
      </w:r>
      <w:r>
        <w:rPr>
          <w:rFonts w:asciiTheme="majorHAnsi" w:hAnsiTheme="majorHAnsi"/>
          <w:lang w:val="en-GB"/>
        </w:rPr>
        <w:t xml:space="preserve"> </w:t>
      </w:r>
      <w:r w:rsidRPr="000A0CE2">
        <w:rPr>
          <w:rFonts w:asciiTheme="majorHAnsi" w:hAnsiTheme="majorHAnsi"/>
          <w:lang w:val="en-GB"/>
        </w:rPr>
        <w:t xml:space="preserve">High Level Group Meeting on </w:t>
      </w:r>
      <w:r w:rsidRPr="000A0CE2">
        <w:rPr>
          <w:rFonts w:asciiTheme="majorHAnsi" w:hAnsiTheme="majorHAnsi"/>
          <w:b/>
          <w:lang w:val="en-GB"/>
        </w:rPr>
        <w:t>Gender Mainstreaming</w:t>
      </w:r>
    </w:p>
    <w:p w14:paraId="69BB6760" w14:textId="396E4EC5" w:rsidR="0072791A" w:rsidRDefault="0072791A" w:rsidP="00D47008">
      <w:pPr>
        <w:pStyle w:val="NoSpacing"/>
        <w:numPr>
          <w:ilvl w:val="0"/>
          <w:numId w:val="3"/>
        </w:numPr>
        <w:shd w:val="clear" w:color="auto" w:fill="F2F2F2" w:themeFill="background1" w:themeFillShade="F2"/>
        <w:ind w:left="284" w:hanging="284"/>
        <w:jc w:val="both"/>
        <w:rPr>
          <w:rFonts w:asciiTheme="majorHAnsi" w:hAnsiTheme="majorHAnsi"/>
          <w:lang w:val="en-GB"/>
        </w:rPr>
      </w:pPr>
      <w:r>
        <w:rPr>
          <w:rFonts w:asciiTheme="majorHAnsi" w:hAnsiTheme="majorHAnsi"/>
          <w:b/>
          <w:lang w:val="en-GB"/>
        </w:rPr>
        <w:t xml:space="preserve">3 February 2017: </w:t>
      </w:r>
      <w:r w:rsidRPr="0072791A">
        <w:rPr>
          <w:rFonts w:asciiTheme="majorHAnsi" w:hAnsiTheme="majorHAnsi"/>
          <w:lang w:val="en-GB"/>
        </w:rPr>
        <w:t>European Event on</w:t>
      </w:r>
      <w:r>
        <w:rPr>
          <w:rFonts w:asciiTheme="majorHAnsi" w:hAnsiTheme="majorHAnsi"/>
          <w:b/>
          <w:lang w:val="en-GB"/>
        </w:rPr>
        <w:t xml:space="preserve"> Violence against Women</w:t>
      </w:r>
    </w:p>
    <w:p w14:paraId="2447D4CD" w14:textId="2CF252B9" w:rsidR="000A0CE2" w:rsidRDefault="000A0CE2" w:rsidP="00D47008">
      <w:pPr>
        <w:pStyle w:val="NoSpacing"/>
        <w:numPr>
          <w:ilvl w:val="0"/>
          <w:numId w:val="3"/>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23 February 2017:</w:t>
      </w:r>
      <w:r>
        <w:rPr>
          <w:rFonts w:asciiTheme="majorHAnsi" w:hAnsiTheme="majorHAnsi"/>
          <w:lang w:val="en-GB"/>
        </w:rPr>
        <w:t xml:space="preserve"> Ministerial C</w:t>
      </w:r>
      <w:r w:rsidRPr="000A0CE2">
        <w:rPr>
          <w:rFonts w:asciiTheme="majorHAnsi" w:hAnsiTheme="majorHAnsi"/>
          <w:lang w:val="en-GB"/>
        </w:rPr>
        <w:t xml:space="preserve">onference on </w:t>
      </w:r>
      <w:r w:rsidRPr="000A0CE2">
        <w:rPr>
          <w:rFonts w:asciiTheme="majorHAnsi" w:hAnsiTheme="majorHAnsi"/>
          <w:b/>
          <w:lang w:val="en-GB"/>
        </w:rPr>
        <w:t>LGBTIQ</w:t>
      </w:r>
      <w:r w:rsidRPr="000A0CE2">
        <w:rPr>
          <w:rFonts w:asciiTheme="majorHAnsi" w:hAnsiTheme="majorHAnsi"/>
          <w:lang w:val="en-GB"/>
        </w:rPr>
        <w:t xml:space="preserve"> will take place on 23 Feb 2017</w:t>
      </w:r>
    </w:p>
    <w:p w14:paraId="0AB3B223" w14:textId="300F64F6" w:rsidR="000A0CE2" w:rsidRDefault="000A0CE2" w:rsidP="00D47008">
      <w:pPr>
        <w:pStyle w:val="NoSpacing"/>
        <w:shd w:val="clear" w:color="auto" w:fill="F2F2F2" w:themeFill="background1" w:themeFillShade="F2"/>
        <w:jc w:val="both"/>
        <w:rPr>
          <w:rFonts w:asciiTheme="majorHAnsi" w:hAnsiTheme="majorHAnsi"/>
          <w:lang w:val="en-GB"/>
        </w:rPr>
      </w:pPr>
    </w:p>
    <w:p w14:paraId="52685693" w14:textId="26FE4F44" w:rsidR="000A0CE2" w:rsidRPr="000A0CE2" w:rsidRDefault="000A0CE2" w:rsidP="00D47008">
      <w:pPr>
        <w:pStyle w:val="NoSpacing"/>
        <w:shd w:val="clear" w:color="auto" w:fill="F2F2F2" w:themeFill="background1" w:themeFillShade="F2"/>
        <w:jc w:val="both"/>
        <w:rPr>
          <w:rFonts w:asciiTheme="majorHAnsi" w:hAnsiTheme="majorHAnsi"/>
          <w:b/>
          <w:lang w:val="en-GB"/>
        </w:rPr>
      </w:pPr>
      <w:r w:rsidRPr="000A0CE2">
        <w:rPr>
          <w:rFonts w:asciiTheme="majorHAnsi" w:hAnsiTheme="majorHAnsi"/>
          <w:b/>
          <w:lang w:val="en-GB"/>
        </w:rPr>
        <w:t>Next EU Presidencies</w:t>
      </w:r>
    </w:p>
    <w:p w14:paraId="122E3B69" w14:textId="61AA8300" w:rsidR="00304E5B" w:rsidRPr="00304E5B" w:rsidRDefault="00304E5B" w:rsidP="00D47008">
      <w:pPr>
        <w:pStyle w:val="NoSpacing"/>
        <w:numPr>
          <w:ilvl w:val="0"/>
          <w:numId w:val="4"/>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Estonia:</w:t>
      </w:r>
      <w:r w:rsidRPr="00304E5B">
        <w:rPr>
          <w:rFonts w:asciiTheme="majorHAnsi" w:hAnsiTheme="majorHAnsi"/>
          <w:lang w:val="en-GB"/>
        </w:rPr>
        <w:t xml:space="preserve"> July-December 2017</w:t>
      </w:r>
    </w:p>
    <w:p w14:paraId="12A9F94C" w14:textId="70EC56AC" w:rsidR="00304E5B" w:rsidRPr="00304E5B" w:rsidRDefault="00304E5B" w:rsidP="00D47008">
      <w:pPr>
        <w:pStyle w:val="NoSpacing"/>
        <w:numPr>
          <w:ilvl w:val="0"/>
          <w:numId w:val="4"/>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Bulgaria:</w:t>
      </w:r>
      <w:r w:rsidRPr="00304E5B">
        <w:rPr>
          <w:rFonts w:asciiTheme="majorHAnsi" w:hAnsiTheme="majorHAnsi"/>
          <w:lang w:val="en-GB"/>
        </w:rPr>
        <w:t xml:space="preserve"> January-June 2018</w:t>
      </w:r>
    </w:p>
    <w:p w14:paraId="1DCD9D65" w14:textId="3B9BA175" w:rsidR="00304E5B" w:rsidRPr="00304E5B" w:rsidRDefault="00304E5B" w:rsidP="00D47008">
      <w:pPr>
        <w:pStyle w:val="NoSpacing"/>
        <w:numPr>
          <w:ilvl w:val="0"/>
          <w:numId w:val="4"/>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Austria:</w:t>
      </w:r>
      <w:r w:rsidRPr="00304E5B">
        <w:rPr>
          <w:rFonts w:asciiTheme="majorHAnsi" w:hAnsiTheme="majorHAnsi"/>
          <w:lang w:val="en-GB"/>
        </w:rPr>
        <w:t xml:space="preserve"> July-December 2018</w:t>
      </w:r>
    </w:p>
    <w:p w14:paraId="741BFBC9" w14:textId="4E36BBEC" w:rsidR="00304E5B" w:rsidRPr="00304E5B" w:rsidRDefault="00304E5B" w:rsidP="00D47008">
      <w:pPr>
        <w:pStyle w:val="NoSpacing"/>
        <w:numPr>
          <w:ilvl w:val="0"/>
          <w:numId w:val="4"/>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Romania:</w:t>
      </w:r>
      <w:r w:rsidRPr="00304E5B">
        <w:rPr>
          <w:rFonts w:asciiTheme="majorHAnsi" w:hAnsiTheme="majorHAnsi"/>
          <w:lang w:val="en-GB"/>
        </w:rPr>
        <w:t xml:space="preserve"> January-June 2019</w:t>
      </w:r>
    </w:p>
    <w:p w14:paraId="709754E3" w14:textId="77777777" w:rsidR="00304E5B" w:rsidRPr="00304E5B" w:rsidRDefault="00304E5B" w:rsidP="00D47008">
      <w:pPr>
        <w:pStyle w:val="NoSpacing"/>
        <w:numPr>
          <w:ilvl w:val="0"/>
          <w:numId w:val="4"/>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Finland:</w:t>
      </w:r>
      <w:r w:rsidRPr="00304E5B">
        <w:rPr>
          <w:rFonts w:asciiTheme="majorHAnsi" w:hAnsiTheme="majorHAnsi"/>
          <w:lang w:val="en-GB"/>
        </w:rPr>
        <w:t xml:space="preserve"> July-December 2019</w:t>
      </w:r>
    </w:p>
    <w:p w14:paraId="78A086DE" w14:textId="1EF618C1" w:rsidR="00304E5B" w:rsidRPr="00304E5B" w:rsidRDefault="00304E5B" w:rsidP="00D47008">
      <w:pPr>
        <w:pStyle w:val="NoSpacing"/>
        <w:numPr>
          <w:ilvl w:val="0"/>
          <w:numId w:val="4"/>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Croatia:</w:t>
      </w:r>
      <w:r w:rsidRPr="00304E5B">
        <w:rPr>
          <w:rFonts w:asciiTheme="majorHAnsi" w:hAnsiTheme="majorHAnsi"/>
          <w:lang w:val="en-GB"/>
        </w:rPr>
        <w:t xml:space="preserve"> January-June 2020</w:t>
      </w:r>
    </w:p>
    <w:p w14:paraId="208C3379" w14:textId="4162DCF9" w:rsidR="000A0CE2" w:rsidRPr="00190C14" w:rsidRDefault="00304E5B" w:rsidP="00D47008">
      <w:pPr>
        <w:pStyle w:val="NoSpacing"/>
        <w:numPr>
          <w:ilvl w:val="0"/>
          <w:numId w:val="4"/>
        </w:numPr>
        <w:shd w:val="clear" w:color="auto" w:fill="F2F2F2" w:themeFill="background1" w:themeFillShade="F2"/>
        <w:ind w:left="284" w:hanging="284"/>
        <w:jc w:val="both"/>
        <w:rPr>
          <w:rFonts w:asciiTheme="majorHAnsi" w:hAnsiTheme="majorHAnsi"/>
          <w:lang w:val="en-GB"/>
        </w:rPr>
      </w:pPr>
      <w:r w:rsidRPr="00304E5B">
        <w:rPr>
          <w:rFonts w:asciiTheme="majorHAnsi" w:hAnsiTheme="majorHAnsi"/>
          <w:b/>
          <w:lang w:val="en-GB"/>
        </w:rPr>
        <w:t>Germany:</w:t>
      </w:r>
      <w:r w:rsidRPr="00304E5B">
        <w:rPr>
          <w:rFonts w:asciiTheme="majorHAnsi" w:hAnsiTheme="majorHAnsi"/>
          <w:lang w:val="en-GB"/>
        </w:rPr>
        <w:t xml:space="preserve"> July-December 2020</w:t>
      </w:r>
    </w:p>
    <w:p w14:paraId="6B69AAB9" w14:textId="30BE19AE" w:rsidR="00190C14" w:rsidRDefault="00190C14" w:rsidP="00D47008">
      <w:pPr>
        <w:spacing w:line="240" w:lineRule="auto"/>
        <w:rPr>
          <w:lang w:val="en-GB"/>
        </w:rPr>
      </w:pPr>
    </w:p>
    <w:p w14:paraId="48314124" w14:textId="07EBEF19" w:rsidR="00E71127" w:rsidRPr="00E71127" w:rsidRDefault="00303759" w:rsidP="00D47008">
      <w:pPr>
        <w:shd w:val="clear" w:color="auto" w:fill="F2F2F2" w:themeFill="background1" w:themeFillShade="F2"/>
        <w:spacing w:line="240" w:lineRule="auto"/>
        <w:rPr>
          <w:rFonts w:asciiTheme="majorHAnsi" w:hAnsiTheme="majorHAnsi"/>
          <w:b/>
          <w:sz w:val="24"/>
          <w:lang w:val="en-GB"/>
        </w:rPr>
      </w:pPr>
      <w:r>
        <w:rPr>
          <w:rFonts w:asciiTheme="majorHAnsi" w:hAnsiTheme="majorHAnsi"/>
          <w:noProof/>
          <w:sz w:val="24"/>
          <w:lang w:eastAsia="fr-BE"/>
        </w:rPr>
        <w:drawing>
          <wp:anchor distT="0" distB="0" distL="114300" distR="114300" simplePos="0" relativeHeight="251657216" behindDoc="0" locked="0" layoutInCell="1" allowOverlap="1" wp14:anchorId="7BAA9D9B" wp14:editId="5E43256A">
            <wp:simplePos x="0" y="0"/>
            <wp:positionH relativeFrom="margin">
              <wp:posOffset>4217035</wp:posOffset>
            </wp:positionH>
            <wp:positionV relativeFrom="margin">
              <wp:posOffset>5260340</wp:posOffset>
            </wp:positionV>
            <wp:extent cx="1838325" cy="866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325" cy="866775"/>
                    </a:xfrm>
                    <a:prstGeom prst="rect">
                      <a:avLst/>
                    </a:prstGeom>
                    <a:noFill/>
                    <a:ln>
                      <a:noFill/>
                    </a:ln>
                  </pic:spPr>
                </pic:pic>
              </a:graphicData>
            </a:graphic>
          </wp:anchor>
        </w:drawing>
      </w:r>
      <w:r w:rsidR="00E71127" w:rsidRPr="00E71127">
        <w:rPr>
          <w:rFonts w:asciiTheme="majorHAnsi" w:hAnsiTheme="majorHAnsi"/>
          <w:b/>
          <w:sz w:val="24"/>
          <w:lang w:val="en-GB"/>
        </w:rPr>
        <w:t xml:space="preserve">EU </w:t>
      </w:r>
      <w:r w:rsidR="00D271AE" w:rsidRPr="00E71127">
        <w:rPr>
          <w:rFonts w:asciiTheme="majorHAnsi" w:hAnsiTheme="majorHAnsi"/>
          <w:b/>
          <w:sz w:val="24"/>
          <w:lang w:val="en-GB"/>
        </w:rPr>
        <w:t>Agency for Fundamental Rights (FRA) – Calendar of 2017 activities</w:t>
      </w:r>
    </w:p>
    <w:p w14:paraId="1A2AAB59" w14:textId="6FE57518" w:rsidR="00E71127" w:rsidRPr="006902C7" w:rsidRDefault="00D271AE" w:rsidP="00D47008">
      <w:pPr>
        <w:shd w:val="clear" w:color="auto" w:fill="F2F2F2" w:themeFill="background1" w:themeFillShade="F2"/>
        <w:spacing w:line="240" w:lineRule="auto"/>
        <w:jc w:val="both"/>
        <w:rPr>
          <w:rFonts w:asciiTheme="majorHAnsi" w:hAnsiTheme="majorHAnsi"/>
          <w:lang w:val="en-GB"/>
        </w:rPr>
      </w:pPr>
      <w:r w:rsidRPr="006902C7">
        <w:rPr>
          <w:rFonts w:asciiTheme="majorHAnsi" w:hAnsiTheme="majorHAnsi"/>
          <w:lang w:val="en-GB"/>
        </w:rPr>
        <w:t>This year, FRA will celebrate its 10</w:t>
      </w:r>
      <w:r w:rsidRPr="006902C7">
        <w:rPr>
          <w:rFonts w:asciiTheme="majorHAnsi" w:hAnsiTheme="majorHAnsi"/>
          <w:vertAlign w:val="superscript"/>
          <w:lang w:val="en-GB"/>
        </w:rPr>
        <w:t>th</w:t>
      </w:r>
      <w:r w:rsidRPr="006902C7">
        <w:rPr>
          <w:rFonts w:asciiTheme="majorHAnsi" w:hAnsiTheme="majorHAnsi"/>
          <w:lang w:val="en-GB"/>
        </w:rPr>
        <w:t xml:space="preserve"> anniversary.</w:t>
      </w:r>
      <w:r w:rsidR="006902C7">
        <w:rPr>
          <w:rFonts w:asciiTheme="majorHAnsi" w:hAnsiTheme="majorHAnsi"/>
          <w:lang w:val="en-GB"/>
        </w:rPr>
        <w:tab/>
      </w:r>
      <w:r w:rsidRPr="006902C7">
        <w:rPr>
          <w:rFonts w:asciiTheme="majorHAnsi" w:hAnsiTheme="majorHAnsi"/>
          <w:lang w:val="en-GB"/>
        </w:rPr>
        <w:t xml:space="preserve"> </w:t>
      </w:r>
      <w:r w:rsidRPr="006902C7">
        <w:rPr>
          <w:rFonts w:asciiTheme="majorHAnsi" w:hAnsiTheme="majorHAnsi"/>
          <w:lang w:val="en-GB"/>
        </w:rPr>
        <w:br/>
        <w:t xml:space="preserve">More information about their projects for 2017 as well as a calendar of their activities is available </w:t>
      </w:r>
      <w:hyperlink r:id="rId28" w:history="1">
        <w:r w:rsidRPr="006902C7">
          <w:rPr>
            <w:rStyle w:val="Hyperlink"/>
            <w:rFonts w:asciiTheme="majorHAnsi" w:hAnsiTheme="majorHAnsi"/>
            <w:lang w:val="en-GB"/>
          </w:rPr>
          <w:t>here</w:t>
        </w:r>
      </w:hyperlink>
      <w:r w:rsidRPr="006902C7">
        <w:rPr>
          <w:rFonts w:asciiTheme="majorHAnsi" w:hAnsiTheme="majorHAnsi"/>
          <w:lang w:val="en-GB"/>
        </w:rPr>
        <w:t xml:space="preserve">. </w:t>
      </w:r>
    </w:p>
    <w:p w14:paraId="65975FFF" w14:textId="65457D9C" w:rsidR="00D271AE" w:rsidRDefault="00D271AE" w:rsidP="00D47008">
      <w:pPr>
        <w:shd w:val="clear" w:color="auto" w:fill="F2F2F2" w:themeFill="background1" w:themeFillShade="F2"/>
        <w:spacing w:line="240" w:lineRule="auto"/>
        <w:rPr>
          <w:rFonts w:asciiTheme="majorHAnsi" w:hAnsiTheme="majorHAnsi"/>
          <w:b/>
          <w:sz w:val="24"/>
          <w:lang w:val="en-GB"/>
        </w:rPr>
      </w:pPr>
      <w:r>
        <w:rPr>
          <w:rFonts w:asciiTheme="majorHAnsi" w:hAnsiTheme="majorHAnsi"/>
          <w:b/>
          <w:sz w:val="24"/>
          <w:lang w:val="en-GB"/>
        </w:rPr>
        <w:t xml:space="preserve">EU </w:t>
      </w:r>
      <w:r w:rsidRPr="00E71127">
        <w:rPr>
          <w:rFonts w:asciiTheme="majorHAnsi" w:hAnsiTheme="majorHAnsi"/>
          <w:b/>
          <w:sz w:val="24"/>
          <w:lang w:val="en-GB"/>
        </w:rPr>
        <w:t xml:space="preserve">Agency for Fundamental Rights (FRA) – </w:t>
      </w:r>
      <w:r>
        <w:rPr>
          <w:rFonts w:asciiTheme="majorHAnsi" w:hAnsiTheme="majorHAnsi"/>
          <w:b/>
          <w:sz w:val="24"/>
          <w:lang w:val="en-GB"/>
        </w:rPr>
        <w:t xml:space="preserve">Cooperation agreement with </w:t>
      </w:r>
      <w:r w:rsidR="00556F48">
        <w:rPr>
          <w:rFonts w:asciiTheme="majorHAnsi" w:hAnsiTheme="majorHAnsi"/>
          <w:b/>
          <w:sz w:val="24"/>
          <w:lang w:val="en-GB"/>
        </w:rPr>
        <w:t>t</w:t>
      </w:r>
      <w:r w:rsidR="00556F48" w:rsidRPr="00556F48">
        <w:rPr>
          <w:rFonts w:asciiTheme="majorHAnsi" w:hAnsiTheme="majorHAnsi"/>
          <w:b/>
          <w:sz w:val="24"/>
          <w:lang w:val="en-GB"/>
        </w:rPr>
        <w:t>he EEA and Norway Grants</w:t>
      </w:r>
    </w:p>
    <w:p w14:paraId="35F0ABAE" w14:textId="0A3D7F97" w:rsidR="00556F48" w:rsidRDefault="00556F48" w:rsidP="00D47008">
      <w:pPr>
        <w:shd w:val="clear" w:color="auto" w:fill="F2F2F2" w:themeFill="background1" w:themeFillShade="F2"/>
        <w:spacing w:line="240" w:lineRule="auto"/>
        <w:jc w:val="both"/>
        <w:rPr>
          <w:rFonts w:asciiTheme="majorHAnsi" w:hAnsiTheme="majorHAnsi"/>
          <w:lang w:val="en-GB"/>
        </w:rPr>
      </w:pPr>
      <w:r w:rsidRPr="00556F48">
        <w:rPr>
          <w:rFonts w:asciiTheme="majorHAnsi" w:hAnsiTheme="majorHAnsi"/>
          <w:lang w:val="en-GB"/>
        </w:rPr>
        <w:t>On 15</w:t>
      </w:r>
      <w:r w:rsidRPr="00556F48">
        <w:rPr>
          <w:rFonts w:asciiTheme="majorHAnsi" w:hAnsiTheme="majorHAnsi"/>
          <w:vertAlign w:val="superscript"/>
          <w:lang w:val="en-GB"/>
        </w:rPr>
        <w:t>th</w:t>
      </w:r>
      <w:r w:rsidRPr="00556F48">
        <w:rPr>
          <w:rFonts w:asciiTheme="majorHAnsi" w:hAnsiTheme="majorHAnsi"/>
          <w:lang w:val="en-GB"/>
        </w:rPr>
        <w:t xml:space="preserve"> December, the FRA and EEA and Norway Grants signed a cooperation agreement </w:t>
      </w:r>
      <w:r>
        <w:rPr>
          <w:rFonts w:asciiTheme="majorHAnsi" w:hAnsiTheme="majorHAnsi"/>
          <w:lang w:val="en-GB"/>
        </w:rPr>
        <w:t xml:space="preserve">to better promote fundamental rights in the EU together. In particular, the agreement will allow the FRA to provide fundamental rights assistance and expertise to EU Member States when designing projects funded by the Grants. </w:t>
      </w:r>
    </w:p>
    <w:p w14:paraId="3A2FE6B1" w14:textId="126C6B62" w:rsidR="00D271AE" w:rsidRPr="00CD32B6" w:rsidRDefault="00556F48" w:rsidP="00D47008">
      <w:pPr>
        <w:shd w:val="clear" w:color="auto" w:fill="F2F2F2" w:themeFill="background1" w:themeFillShade="F2"/>
        <w:spacing w:line="240" w:lineRule="auto"/>
        <w:jc w:val="both"/>
        <w:rPr>
          <w:rFonts w:asciiTheme="majorHAnsi" w:hAnsiTheme="majorHAnsi"/>
          <w:b/>
          <w:lang w:val="en-GB"/>
        </w:rPr>
      </w:pPr>
      <w:r w:rsidRPr="00CD32B6">
        <w:rPr>
          <w:rFonts w:asciiTheme="majorHAnsi" w:hAnsiTheme="majorHAnsi"/>
          <w:b/>
          <w:lang w:val="en-GB"/>
        </w:rPr>
        <w:t>More information</w:t>
      </w:r>
      <w:r w:rsidR="00CD32B6">
        <w:rPr>
          <w:rFonts w:asciiTheme="majorHAnsi" w:hAnsiTheme="majorHAnsi"/>
          <w:b/>
          <w:lang w:val="en-GB"/>
        </w:rPr>
        <w:t xml:space="preserve"> about the agreement</w:t>
      </w:r>
      <w:r w:rsidRPr="00CD32B6">
        <w:rPr>
          <w:rFonts w:asciiTheme="majorHAnsi" w:hAnsiTheme="majorHAnsi"/>
          <w:b/>
          <w:lang w:val="en-GB"/>
        </w:rPr>
        <w:t xml:space="preserve"> is available </w:t>
      </w:r>
      <w:hyperlink r:id="rId29" w:history="1">
        <w:r w:rsidRPr="00CD32B6">
          <w:rPr>
            <w:rStyle w:val="Hyperlink"/>
            <w:rFonts w:asciiTheme="majorHAnsi" w:hAnsiTheme="majorHAnsi"/>
            <w:b/>
            <w:lang w:val="en-GB"/>
          </w:rPr>
          <w:t>here.</w:t>
        </w:r>
      </w:hyperlink>
      <w:r w:rsidRPr="00CD32B6">
        <w:rPr>
          <w:rFonts w:asciiTheme="majorHAnsi" w:hAnsiTheme="majorHAnsi"/>
          <w:b/>
          <w:lang w:val="en-GB"/>
        </w:rPr>
        <w:t xml:space="preserve"> </w:t>
      </w:r>
    </w:p>
    <w:p w14:paraId="17D0D774" w14:textId="77777777" w:rsidR="008F5BA4" w:rsidRDefault="008F5BA4" w:rsidP="00E60E54">
      <w:pPr>
        <w:rPr>
          <w:lang w:val="en-GB"/>
        </w:rPr>
      </w:pPr>
    </w:p>
    <w:p w14:paraId="249CD04E" w14:textId="61817CC2" w:rsidR="00E71127" w:rsidRPr="00766B57" w:rsidRDefault="00D47008" w:rsidP="008F5BA4">
      <w:pPr>
        <w:shd w:val="clear" w:color="auto" w:fill="F2F2F2" w:themeFill="background1" w:themeFillShade="F2"/>
        <w:rPr>
          <w:rFonts w:asciiTheme="majorHAnsi" w:hAnsiTheme="majorHAnsi"/>
          <w:b/>
          <w:sz w:val="24"/>
          <w:lang w:val="en-GB"/>
        </w:rPr>
      </w:pPr>
      <w:r w:rsidRPr="00766B57">
        <w:rPr>
          <w:rFonts w:asciiTheme="majorHAnsi" w:hAnsiTheme="majorHAnsi"/>
          <w:b/>
          <w:sz w:val="24"/>
          <w:lang w:val="en-GB"/>
        </w:rPr>
        <w:t>Rule of Law: European Commission issues complementary recommendations to Poland</w:t>
      </w:r>
    </w:p>
    <w:p w14:paraId="3F9C0D98" w14:textId="1AF510AA" w:rsidR="00D47008" w:rsidRDefault="00D47008" w:rsidP="00533F27">
      <w:pPr>
        <w:shd w:val="clear" w:color="auto" w:fill="F2F2F2" w:themeFill="background1" w:themeFillShade="F2"/>
        <w:jc w:val="both"/>
        <w:rPr>
          <w:rFonts w:asciiTheme="majorHAnsi" w:hAnsiTheme="majorHAnsi"/>
          <w:lang w:val="en-GB"/>
        </w:rPr>
      </w:pPr>
      <w:r w:rsidRPr="00766B57">
        <w:rPr>
          <w:rFonts w:asciiTheme="majorHAnsi" w:hAnsiTheme="majorHAnsi"/>
          <w:lang w:val="en-GB"/>
        </w:rPr>
        <w:t>On 21</w:t>
      </w:r>
      <w:r w:rsidRPr="00766B57">
        <w:rPr>
          <w:rFonts w:asciiTheme="majorHAnsi" w:hAnsiTheme="majorHAnsi"/>
          <w:vertAlign w:val="superscript"/>
          <w:lang w:val="en-GB"/>
        </w:rPr>
        <w:t>st</w:t>
      </w:r>
      <w:r w:rsidRPr="00766B57">
        <w:rPr>
          <w:rFonts w:asciiTheme="majorHAnsi" w:hAnsiTheme="majorHAnsi"/>
          <w:lang w:val="en-GB"/>
        </w:rPr>
        <w:t xml:space="preserve"> December 2017, the European Commission issued </w:t>
      </w:r>
      <w:r w:rsidRPr="00A54CFA">
        <w:rPr>
          <w:rFonts w:asciiTheme="majorHAnsi" w:hAnsiTheme="majorHAnsi"/>
          <w:b/>
          <w:lang w:val="en-GB"/>
        </w:rPr>
        <w:t xml:space="preserve">complementary </w:t>
      </w:r>
      <w:r w:rsidR="00A54CFA">
        <w:rPr>
          <w:rFonts w:asciiTheme="majorHAnsi" w:hAnsiTheme="majorHAnsi"/>
          <w:b/>
          <w:lang w:val="en-GB"/>
        </w:rPr>
        <w:t>Rule of Law R</w:t>
      </w:r>
      <w:r w:rsidR="00A54CFA" w:rsidRPr="00A54CFA">
        <w:rPr>
          <w:rFonts w:asciiTheme="majorHAnsi" w:hAnsiTheme="majorHAnsi"/>
          <w:b/>
          <w:lang w:val="en-GB"/>
        </w:rPr>
        <w:t>ecommendation</w:t>
      </w:r>
      <w:r w:rsidR="00A54CFA">
        <w:rPr>
          <w:rFonts w:asciiTheme="majorHAnsi" w:hAnsiTheme="majorHAnsi"/>
          <w:lang w:val="en-GB"/>
        </w:rPr>
        <w:t xml:space="preserve"> to Poland, taking into account the last developments since the first recommendations issued in June 2016. </w:t>
      </w:r>
      <w:r w:rsidR="00533F27">
        <w:rPr>
          <w:rFonts w:asciiTheme="majorHAnsi" w:hAnsiTheme="majorHAnsi"/>
          <w:lang w:val="en-GB"/>
        </w:rPr>
        <w:t xml:space="preserve">The European Commission highlights that some issues of concerns remain and invite the Polish government within 2 months. The recommendations mostly deal with the appointment of the new President of the Constitutional Tribunal. </w:t>
      </w:r>
    </w:p>
    <w:p w14:paraId="468D0E2B" w14:textId="1836884F" w:rsidR="00533F27" w:rsidRPr="00766B57" w:rsidRDefault="00533F27" w:rsidP="00533F27">
      <w:pPr>
        <w:shd w:val="clear" w:color="auto" w:fill="F2F2F2" w:themeFill="background1" w:themeFillShade="F2"/>
        <w:jc w:val="both"/>
        <w:rPr>
          <w:rFonts w:asciiTheme="majorHAnsi" w:hAnsiTheme="majorHAnsi"/>
          <w:lang w:val="en-GB"/>
        </w:rPr>
      </w:pPr>
      <w:r>
        <w:rPr>
          <w:rFonts w:asciiTheme="majorHAnsi" w:hAnsiTheme="majorHAnsi"/>
          <w:lang w:val="en-GB"/>
        </w:rPr>
        <w:t xml:space="preserve">More information is available </w:t>
      </w:r>
      <w:hyperlink r:id="rId30" w:history="1">
        <w:r w:rsidRPr="00533F27">
          <w:rPr>
            <w:rStyle w:val="Hyperlink"/>
            <w:rFonts w:asciiTheme="majorHAnsi" w:hAnsiTheme="majorHAnsi"/>
            <w:lang w:val="en-GB"/>
          </w:rPr>
          <w:t>here</w:t>
        </w:r>
      </w:hyperlink>
      <w:r>
        <w:rPr>
          <w:rFonts w:asciiTheme="majorHAnsi" w:hAnsiTheme="majorHAnsi"/>
          <w:lang w:val="en-GB"/>
        </w:rPr>
        <w:t xml:space="preserve">. </w:t>
      </w:r>
    </w:p>
    <w:p w14:paraId="7F180008" w14:textId="77777777" w:rsidR="00533F27" w:rsidRDefault="00533F27" w:rsidP="00533F27">
      <w:pPr>
        <w:rPr>
          <w:lang w:val="en-GB"/>
        </w:rPr>
      </w:pPr>
      <w:bookmarkStart w:id="14" w:name="_Ref467166166"/>
    </w:p>
    <w:p w14:paraId="1C8677DA" w14:textId="2D2C1454" w:rsidR="00EF446F" w:rsidRDefault="00EF446F" w:rsidP="00830828">
      <w:pPr>
        <w:pStyle w:val="Heading2"/>
        <w:rPr>
          <w:lang w:val="en-GB"/>
        </w:rPr>
      </w:pPr>
      <w:bookmarkStart w:id="15" w:name="_Ref471484418"/>
      <w:r w:rsidRPr="00830828">
        <w:rPr>
          <w:lang w:val="en-GB"/>
        </w:rPr>
        <w:t>Publications, funding opportunities and events</w:t>
      </w:r>
      <w:bookmarkEnd w:id="14"/>
      <w:bookmarkEnd w:id="15"/>
    </w:p>
    <w:p w14:paraId="011DF6FF" w14:textId="77777777" w:rsidR="008C552E" w:rsidRPr="008C552E" w:rsidRDefault="008C552E" w:rsidP="008C552E">
      <w:pPr>
        <w:pStyle w:val="NoSpacing"/>
        <w:rPr>
          <w:b/>
          <w:lang w:val="en-US"/>
        </w:rPr>
      </w:pPr>
    </w:p>
    <w:p w14:paraId="11499DD8" w14:textId="77777777" w:rsidR="00533F27" w:rsidRPr="005240BC" w:rsidRDefault="004B6ED2" w:rsidP="00533F27">
      <w:pPr>
        <w:pStyle w:val="NoSpacing"/>
        <w:shd w:val="clear" w:color="auto" w:fill="F2F2F2" w:themeFill="background1" w:themeFillShade="F2"/>
        <w:rPr>
          <w:rFonts w:asciiTheme="majorHAnsi" w:hAnsiTheme="majorHAnsi"/>
          <w:shd w:val="clear" w:color="auto" w:fill="F2F2F2" w:themeFill="background1" w:themeFillShade="F2"/>
          <w:lang w:val="en-US"/>
        </w:rPr>
      </w:pPr>
      <w:r w:rsidRPr="005240BC">
        <w:rPr>
          <w:rFonts w:asciiTheme="majorHAnsi" w:hAnsiTheme="majorHAnsi"/>
          <w:b/>
          <w:highlight w:val="yellow"/>
          <w:shd w:val="clear" w:color="auto" w:fill="F2F2F2" w:themeFill="background1" w:themeFillShade="F2"/>
          <w:lang w:val="en-US"/>
        </w:rPr>
        <w:t>EVENT</w:t>
      </w:r>
      <w:r w:rsidRPr="005240BC">
        <w:rPr>
          <w:rFonts w:asciiTheme="majorHAnsi" w:hAnsiTheme="majorHAnsi"/>
          <w:shd w:val="clear" w:color="auto" w:fill="F2F2F2" w:themeFill="background1" w:themeFillShade="F2"/>
          <w:lang w:val="en-US"/>
        </w:rPr>
        <w:t xml:space="preserve"> </w:t>
      </w:r>
      <w:r w:rsidR="00533F27" w:rsidRPr="005240BC">
        <w:rPr>
          <w:rFonts w:asciiTheme="majorHAnsi" w:hAnsiTheme="majorHAnsi"/>
          <w:b/>
          <w:shd w:val="clear" w:color="auto" w:fill="F2F2F2" w:themeFill="background1" w:themeFillShade="F2"/>
          <w:lang w:val="en-US"/>
        </w:rPr>
        <w:t>ERA – Academy of European Law – Seminars on EU Anti-Discrimination Law</w:t>
      </w:r>
    </w:p>
    <w:p w14:paraId="3F4CC8F2" w14:textId="3C93139B" w:rsidR="008C552E" w:rsidRPr="005240BC" w:rsidRDefault="00533F27" w:rsidP="00533F27">
      <w:pPr>
        <w:pStyle w:val="NoSpacing"/>
        <w:shd w:val="clear" w:color="auto" w:fill="FFFFFF" w:themeFill="background1"/>
        <w:jc w:val="both"/>
        <w:rPr>
          <w:rFonts w:asciiTheme="majorHAnsi" w:hAnsiTheme="majorHAnsi"/>
          <w:lang w:val="en-US"/>
        </w:rPr>
      </w:pPr>
      <w:r w:rsidRPr="005240BC">
        <w:rPr>
          <w:rFonts w:asciiTheme="majorHAnsi" w:hAnsiTheme="majorHAnsi"/>
          <w:lang w:val="en-US"/>
        </w:rPr>
        <w:t>The seminars deal with EU Anti-Discrimination 2000/78 and 2000/43. They will take place in Trier, Germany on the following dates:</w:t>
      </w:r>
    </w:p>
    <w:p w14:paraId="0014E49D" w14:textId="79C16C8F" w:rsidR="00533F27" w:rsidRPr="005240BC" w:rsidRDefault="00303759" w:rsidP="00533F27">
      <w:pPr>
        <w:pStyle w:val="NoSpacing"/>
        <w:numPr>
          <w:ilvl w:val="0"/>
          <w:numId w:val="8"/>
        </w:numPr>
        <w:shd w:val="clear" w:color="auto" w:fill="FFFFFF" w:themeFill="background1"/>
        <w:jc w:val="both"/>
        <w:rPr>
          <w:rFonts w:asciiTheme="majorHAnsi" w:hAnsiTheme="majorHAnsi"/>
          <w:lang w:val="en-US"/>
        </w:rPr>
      </w:pPr>
      <w:hyperlink r:id="rId31" w:history="1">
        <w:r w:rsidR="00533F27" w:rsidRPr="005240BC">
          <w:rPr>
            <w:rStyle w:val="Hyperlink"/>
            <w:rFonts w:asciiTheme="majorHAnsi" w:hAnsiTheme="majorHAnsi"/>
            <w:b/>
            <w:lang w:val="en-US"/>
          </w:rPr>
          <w:t>13</w:t>
        </w:r>
        <w:r w:rsidR="00533F27" w:rsidRPr="005240BC">
          <w:rPr>
            <w:rStyle w:val="Hyperlink"/>
            <w:rFonts w:asciiTheme="majorHAnsi" w:hAnsiTheme="majorHAnsi"/>
            <w:b/>
            <w:vertAlign w:val="superscript"/>
            <w:lang w:val="en-US"/>
          </w:rPr>
          <w:t>th</w:t>
        </w:r>
        <w:r w:rsidR="00533F27" w:rsidRPr="005240BC">
          <w:rPr>
            <w:rStyle w:val="Hyperlink"/>
            <w:rFonts w:asciiTheme="majorHAnsi" w:hAnsiTheme="majorHAnsi"/>
            <w:b/>
            <w:lang w:val="en-US"/>
          </w:rPr>
          <w:t xml:space="preserve"> &amp; 14</w:t>
        </w:r>
        <w:r w:rsidR="00533F27" w:rsidRPr="005240BC">
          <w:rPr>
            <w:rStyle w:val="Hyperlink"/>
            <w:rFonts w:asciiTheme="majorHAnsi" w:hAnsiTheme="majorHAnsi"/>
            <w:b/>
            <w:vertAlign w:val="superscript"/>
            <w:lang w:val="en-US"/>
          </w:rPr>
          <w:t>th</w:t>
        </w:r>
        <w:r w:rsidR="00533F27" w:rsidRPr="005240BC">
          <w:rPr>
            <w:rStyle w:val="Hyperlink"/>
            <w:rFonts w:asciiTheme="majorHAnsi" w:hAnsiTheme="majorHAnsi"/>
            <w:b/>
            <w:lang w:val="en-US"/>
          </w:rPr>
          <w:t xml:space="preserve"> March 2017</w:t>
        </w:r>
      </w:hyperlink>
      <w:r w:rsidR="00533F27" w:rsidRPr="005240BC">
        <w:rPr>
          <w:rFonts w:asciiTheme="majorHAnsi" w:hAnsiTheme="majorHAnsi"/>
          <w:lang w:val="en-US"/>
        </w:rPr>
        <w:t xml:space="preserve"> (English/French) – Deadline for registering: 18</w:t>
      </w:r>
      <w:r w:rsidR="00533F27" w:rsidRPr="005240BC">
        <w:rPr>
          <w:rFonts w:asciiTheme="majorHAnsi" w:hAnsiTheme="majorHAnsi"/>
          <w:vertAlign w:val="superscript"/>
          <w:lang w:val="en-US"/>
        </w:rPr>
        <w:t>th</w:t>
      </w:r>
      <w:r w:rsidR="00533F27" w:rsidRPr="005240BC">
        <w:rPr>
          <w:rFonts w:asciiTheme="majorHAnsi" w:hAnsiTheme="majorHAnsi"/>
          <w:lang w:val="en-US"/>
        </w:rPr>
        <w:t xml:space="preserve"> January 2017</w:t>
      </w:r>
    </w:p>
    <w:p w14:paraId="07C4A363" w14:textId="12737D2E" w:rsidR="00533F27" w:rsidRPr="005240BC" w:rsidRDefault="00303759" w:rsidP="00533F27">
      <w:pPr>
        <w:pStyle w:val="NoSpacing"/>
        <w:numPr>
          <w:ilvl w:val="0"/>
          <w:numId w:val="8"/>
        </w:numPr>
        <w:shd w:val="clear" w:color="auto" w:fill="FFFFFF" w:themeFill="background1"/>
        <w:jc w:val="both"/>
        <w:rPr>
          <w:rFonts w:asciiTheme="majorHAnsi" w:hAnsiTheme="majorHAnsi"/>
          <w:lang w:val="en-US"/>
        </w:rPr>
      </w:pPr>
      <w:hyperlink r:id="rId32" w:history="1">
        <w:r w:rsidR="00533F27" w:rsidRPr="005240BC">
          <w:rPr>
            <w:rStyle w:val="Hyperlink"/>
            <w:rFonts w:asciiTheme="majorHAnsi" w:hAnsiTheme="majorHAnsi"/>
            <w:b/>
            <w:lang w:val="en-US"/>
          </w:rPr>
          <w:t>18</w:t>
        </w:r>
        <w:r w:rsidR="00533F27" w:rsidRPr="005240BC">
          <w:rPr>
            <w:rStyle w:val="Hyperlink"/>
            <w:rFonts w:asciiTheme="majorHAnsi" w:hAnsiTheme="majorHAnsi"/>
            <w:b/>
            <w:vertAlign w:val="superscript"/>
            <w:lang w:val="en-US"/>
          </w:rPr>
          <w:t>th</w:t>
        </w:r>
        <w:r w:rsidR="00533F27" w:rsidRPr="005240BC">
          <w:rPr>
            <w:rStyle w:val="Hyperlink"/>
            <w:rFonts w:asciiTheme="majorHAnsi" w:hAnsiTheme="majorHAnsi"/>
            <w:b/>
            <w:lang w:val="en-US"/>
          </w:rPr>
          <w:t xml:space="preserve"> &amp; 19</w:t>
        </w:r>
        <w:r w:rsidR="00533F27" w:rsidRPr="005240BC">
          <w:rPr>
            <w:rStyle w:val="Hyperlink"/>
            <w:rFonts w:asciiTheme="majorHAnsi" w:hAnsiTheme="majorHAnsi"/>
            <w:b/>
            <w:vertAlign w:val="superscript"/>
            <w:lang w:val="en-US"/>
          </w:rPr>
          <w:t>th</w:t>
        </w:r>
        <w:r w:rsidR="00533F27" w:rsidRPr="005240BC">
          <w:rPr>
            <w:rStyle w:val="Hyperlink"/>
            <w:rFonts w:asciiTheme="majorHAnsi" w:hAnsiTheme="majorHAnsi"/>
            <w:b/>
            <w:lang w:val="en-US"/>
          </w:rPr>
          <w:t xml:space="preserve"> September 2017</w:t>
        </w:r>
      </w:hyperlink>
      <w:r w:rsidR="00533F27" w:rsidRPr="005240BC">
        <w:rPr>
          <w:rFonts w:asciiTheme="majorHAnsi" w:hAnsiTheme="majorHAnsi"/>
          <w:lang w:val="en-US"/>
        </w:rPr>
        <w:t xml:space="preserve"> (English/German) - Deadline for registering: 19</w:t>
      </w:r>
      <w:r w:rsidR="00533F27" w:rsidRPr="005240BC">
        <w:rPr>
          <w:rFonts w:asciiTheme="majorHAnsi" w:hAnsiTheme="majorHAnsi"/>
          <w:vertAlign w:val="superscript"/>
          <w:lang w:val="en-US"/>
        </w:rPr>
        <w:t>th</w:t>
      </w:r>
      <w:r w:rsidR="00533F27" w:rsidRPr="005240BC">
        <w:rPr>
          <w:rFonts w:asciiTheme="majorHAnsi" w:hAnsiTheme="majorHAnsi"/>
          <w:lang w:val="en-US"/>
        </w:rPr>
        <w:t xml:space="preserve"> July 2017</w:t>
      </w:r>
    </w:p>
    <w:p w14:paraId="33A177CF" w14:textId="77777777" w:rsidR="00533F27" w:rsidRPr="005240BC" w:rsidRDefault="00533F27" w:rsidP="00533F27">
      <w:pPr>
        <w:pStyle w:val="NoSpacing"/>
        <w:shd w:val="clear" w:color="auto" w:fill="FFFFFF" w:themeFill="background1"/>
        <w:jc w:val="both"/>
        <w:rPr>
          <w:rFonts w:asciiTheme="majorHAnsi" w:hAnsiTheme="majorHAnsi"/>
          <w:lang w:val="en-US"/>
        </w:rPr>
      </w:pPr>
    </w:p>
    <w:p w14:paraId="547E1A90" w14:textId="77777777" w:rsidR="00533F27" w:rsidRPr="005240BC" w:rsidRDefault="00533F27" w:rsidP="00533F27">
      <w:pPr>
        <w:pStyle w:val="NoSpacing"/>
        <w:shd w:val="clear" w:color="auto" w:fill="FFFFFF" w:themeFill="background1"/>
        <w:jc w:val="both"/>
        <w:rPr>
          <w:rFonts w:asciiTheme="majorHAnsi" w:hAnsiTheme="majorHAnsi"/>
          <w:lang w:val="en-US"/>
        </w:rPr>
      </w:pPr>
    </w:p>
    <w:p w14:paraId="3EED4BB5" w14:textId="377CB771" w:rsidR="00E35214" w:rsidRPr="005240BC" w:rsidRDefault="00830828" w:rsidP="00A03866">
      <w:pPr>
        <w:pStyle w:val="NoSpacing"/>
        <w:shd w:val="clear" w:color="auto" w:fill="F2F2F2" w:themeFill="background1" w:themeFillShade="F2"/>
        <w:jc w:val="both"/>
        <w:rPr>
          <w:rFonts w:asciiTheme="majorHAnsi" w:eastAsia="Calibri" w:hAnsiTheme="majorHAnsi" w:cs="Times New Roman"/>
          <w:b/>
          <w:color w:val="FFFFFF" w:themeColor="background1"/>
          <w:lang w:val="en-US"/>
        </w:rPr>
      </w:pPr>
      <w:r w:rsidRPr="005240BC">
        <w:rPr>
          <w:rFonts w:asciiTheme="majorHAnsi" w:eastAsia="Calibri" w:hAnsiTheme="majorHAnsi" w:cs="Times New Roman"/>
          <w:b/>
          <w:color w:val="FFFFFF" w:themeColor="background1"/>
          <w:shd w:val="clear" w:color="auto" w:fill="00B050"/>
          <w:lang w:val="en-GB"/>
        </w:rPr>
        <w:t>FUNDING OPPORTUNITIES</w:t>
      </w:r>
      <w:r w:rsidR="00542EAA" w:rsidRPr="005240BC">
        <w:rPr>
          <w:rFonts w:asciiTheme="majorHAnsi" w:eastAsia="Calibri" w:hAnsiTheme="majorHAnsi" w:cs="Times New Roman"/>
          <w:b/>
          <w:color w:val="FFFFFF" w:themeColor="background1"/>
          <w:lang w:val="en-GB"/>
        </w:rPr>
        <w:t xml:space="preserve"> </w:t>
      </w:r>
      <w:r w:rsidR="00A03866" w:rsidRPr="005240BC">
        <w:rPr>
          <w:rFonts w:asciiTheme="majorHAnsi" w:hAnsiTheme="majorHAnsi"/>
          <w:b/>
          <w:lang w:val="en-US"/>
        </w:rPr>
        <w:t>European Commission</w:t>
      </w:r>
      <w:r w:rsidR="00A03866" w:rsidRPr="005240BC">
        <w:rPr>
          <w:rFonts w:asciiTheme="majorHAnsi" w:hAnsiTheme="majorHAnsi"/>
          <w:lang w:val="en-US"/>
        </w:rPr>
        <w:t xml:space="preserve"> - </w:t>
      </w:r>
      <w:hyperlink r:id="rId33" w:history="1">
        <w:r w:rsidR="00A03866" w:rsidRPr="005240BC">
          <w:rPr>
            <w:rStyle w:val="Hyperlink"/>
            <w:rFonts w:asciiTheme="majorHAnsi" w:hAnsiTheme="majorHAnsi"/>
            <w:lang w:val="en-US"/>
          </w:rPr>
          <w:t>Action grants to support national or transnational projects on non-discrimination and Roma integration</w:t>
        </w:r>
      </w:hyperlink>
      <w:r w:rsidR="00A03866" w:rsidRPr="005240BC">
        <w:rPr>
          <w:rFonts w:asciiTheme="majorHAnsi" w:hAnsiTheme="majorHAnsi"/>
          <w:lang w:val="en-US"/>
        </w:rPr>
        <w:t xml:space="preserve"> – </w:t>
      </w:r>
      <w:r w:rsidR="00A03866" w:rsidRPr="005240BC">
        <w:rPr>
          <w:rFonts w:asciiTheme="majorHAnsi" w:hAnsiTheme="majorHAnsi"/>
          <w:i/>
          <w:lang w:val="en-US"/>
        </w:rPr>
        <w:t>To be published on 17</w:t>
      </w:r>
      <w:r w:rsidR="00A03866" w:rsidRPr="005240BC">
        <w:rPr>
          <w:rFonts w:asciiTheme="majorHAnsi" w:hAnsiTheme="majorHAnsi"/>
          <w:i/>
          <w:sz w:val="14"/>
          <w:szCs w:val="14"/>
          <w:lang w:val="en-US"/>
        </w:rPr>
        <w:t xml:space="preserve">th </w:t>
      </w:r>
      <w:r w:rsidR="00A03866" w:rsidRPr="005240BC">
        <w:rPr>
          <w:rFonts w:asciiTheme="majorHAnsi" w:hAnsiTheme="majorHAnsi"/>
          <w:i/>
          <w:lang w:val="en-US"/>
        </w:rPr>
        <w:t>January 2017</w:t>
      </w:r>
      <w:r w:rsidR="00A03866" w:rsidRPr="005240BC">
        <w:rPr>
          <w:rFonts w:asciiTheme="majorHAnsi" w:hAnsiTheme="majorHAnsi"/>
          <w:lang w:val="en-US"/>
        </w:rPr>
        <w:t xml:space="preserve"> (Deadline: 21</w:t>
      </w:r>
      <w:r w:rsidR="00A03866" w:rsidRPr="005240BC">
        <w:rPr>
          <w:rFonts w:asciiTheme="majorHAnsi" w:hAnsiTheme="majorHAnsi"/>
          <w:sz w:val="14"/>
          <w:szCs w:val="14"/>
          <w:lang w:val="en-US"/>
        </w:rPr>
        <w:t xml:space="preserve">st </w:t>
      </w:r>
      <w:r w:rsidR="00A03866" w:rsidRPr="005240BC">
        <w:rPr>
          <w:rFonts w:asciiTheme="majorHAnsi" w:hAnsiTheme="majorHAnsi"/>
          <w:lang w:val="en-US"/>
        </w:rPr>
        <w:t>March 2017)</w:t>
      </w:r>
      <w:r w:rsidR="009D73BB">
        <w:rPr>
          <w:rFonts w:asciiTheme="majorHAnsi" w:hAnsiTheme="majorHAnsi"/>
          <w:lang w:val="en-US"/>
        </w:rPr>
        <w:br/>
      </w:r>
      <w:r w:rsidR="009D73BB" w:rsidRPr="009D73BB">
        <w:rPr>
          <w:rFonts w:asciiTheme="majorHAnsi" w:hAnsiTheme="majorHAnsi"/>
          <w:b/>
          <w:color w:val="FF0000"/>
          <w:lang w:val="en-US"/>
        </w:rPr>
        <w:t xml:space="preserve">Note: </w:t>
      </w:r>
      <w:r w:rsidR="009D73BB" w:rsidRPr="009D73BB">
        <w:rPr>
          <w:rFonts w:asciiTheme="majorHAnsi" w:hAnsiTheme="majorHAnsi"/>
          <w:b/>
          <w:lang w:val="en-US"/>
        </w:rPr>
        <w:t>If you are planning to apply for this call and are looking for partners among other national equality bodies, please contact Jessica Machacova</w:t>
      </w:r>
      <w:r w:rsidR="009D73BB">
        <w:rPr>
          <w:rFonts w:asciiTheme="majorHAnsi" w:hAnsiTheme="majorHAnsi"/>
          <w:lang w:val="en-US"/>
        </w:rPr>
        <w:t xml:space="preserve"> – </w:t>
      </w:r>
      <w:hyperlink r:id="rId34" w:history="1">
        <w:r w:rsidR="009D73BB" w:rsidRPr="006C2040">
          <w:rPr>
            <w:rStyle w:val="Hyperlink"/>
            <w:rFonts w:asciiTheme="majorHAnsi" w:hAnsiTheme="majorHAnsi"/>
            <w:lang w:val="en-US"/>
          </w:rPr>
          <w:t>Jessica.machacova@equineteurope.org</w:t>
        </w:r>
      </w:hyperlink>
      <w:r w:rsidR="009D73BB">
        <w:rPr>
          <w:rFonts w:asciiTheme="majorHAnsi" w:hAnsiTheme="majorHAnsi"/>
          <w:lang w:val="en-US"/>
        </w:rPr>
        <w:t xml:space="preserve">  </w:t>
      </w:r>
    </w:p>
    <w:p w14:paraId="130062C4" w14:textId="77777777" w:rsidR="008C552E" w:rsidRPr="005240BC" w:rsidRDefault="008C552E" w:rsidP="008C552E">
      <w:pPr>
        <w:pStyle w:val="NoSpacing"/>
        <w:rPr>
          <w:rFonts w:asciiTheme="majorHAnsi" w:hAnsiTheme="majorHAnsi"/>
          <w:b/>
          <w:shd w:val="clear" w:color="auto" w:fill="7030A0"/>
          <w:lang w:val="en-GB"/>
        </w:rPr>
      </w:pPr>
    </w:p>
    <w:p w14:paraId="55D21969" w14:textId="2CC78A13" w:rsidR="00C80896" w:rsidRPr="005240BC" w:rsidRDefault="00C80896" w:rsidP="00A03866">
      <w:pPr>
        <w:pStyle w:val="NoSpacing"/>
        <w:shd w:val="clear" w:color="auto" w:fill="F2F2F2" w:themeFill="background1" w:themeFillShade="F2"/>
        <w:rPr>
          <w:rFonts w:asciiTheme="majorHAnsi" w:hAnsiTheme="majorHAnsi"/>
          <w:b/>
          <w:color w:val="FFFFFF" w:themeColor="background1"/>
          <w:lang w:val="en-US"/>
        </w:rPr>
      </w:pPr>
      <w:r w:rsidRPr="005240BC">
        <w:rPr>
          <w:rFonts w:asciiTheme="majorHAnsi" w:hAnsiTheme="majorHAnsi"/>
          <w:b/>
          <w:color w:val="FFFFFF" w:themeColor="background1"/>
          <w:shd w:val="clear" w:color="auto" w:fill="7030A0"/>
          <w:lang w:val="en-GB"/>
        </w:rPr>
        <w:t>PUBLICATION</w:t>
      </w:r>
      <w:r w:rsidRPr="005240BC">
        <w:rPr>
          <w:rFonts w:asciiTheme="majorHAnsi" w:hAnsiTheme="majorHAnsi"/>
          <w:b/>
          <w:color w:val="FFFFFF" w:themeColor="background1"/>
          <w:lang w:val="en-GB"/>
        </w:rPr>
        <w:t xml:space="preserve"> </w:t>
      </w:r>
      <w:r w:rsidR="00A03866" w:rsidRPr="005240BC">
        <w:rPr>
          <w:rFonts w:asciiTheme="majorHAnsi" w:hAnsiTheme="majorHAnsi"/>
          <w:b/>
          <w:lang w:val="en-GB"/>
        </w:rPr>
        <w:t xml:space="preserve">European Equality Law Network – </w:t>
      </w:r>
      <w:hyperlink r:id="rId35" w:history="1">
        <w:r w:rsidR="00A03866" w:rsidRPr="005240BC">
          <w:rPr>
            <w:rStyle w:val="Hyperlink"/>
            <w:rFonts w:asciiTheme="majorHAnsi" w:hAnsiTheme="majorHAnsi"/>
            <w:b/>
            <w:lang w:val="en-GB"/>
          </w:rPr>
          <w:t>Non-Discrimination Country Reports</w:t>
        </w:r>
      </w:hyperlink>
    </w:p>
    <w:p w14:paraId="12AE73F1" w14:textId="77777777" w:rsidR="00E41825" w:rsidRDefault="00E41825" w:rsidP="00C13BF8">
      <w:pPr>
        <w:pBdr>
          <w:bottom w:val="dotted" w:sz="36" w:space="1" w:color="auto"/>
        </w:pBdr>
        <w:spacing w:line="240" w:lineRule="auto"/>
        <w:jc w:val="both"/>
        <w:rPr>
          <w:rFonts w:asciiTheme="majorHAnsi" w:eastAsia="Calibri" w:hAnsiTheme="majorHAnsi" w:cs="Times New Roman"/>
          <w:lang w:val="en-GB"/>
        </w:rPr>
      </w:pPr>
    </w:p>
    <w:p w14:paraId="7E08CE72" w14:textId="77777777" w:rsidR="00A03866" w:rsidRPr="004B6ED2" w:rsidRDefault="00A03866" w:rsidP="00C13BF8">
      <w:pPr>
        <w:pBdr>
          <w:bottom w:val="dotted" w:sz="36" w:space="1" w:color="auto"/>
        </w:pBdr>
        <w:spacing w:line="240" w:lineRule="auto"/>
        <w:jc w:val="both"/>
        <w:rPr>
          <w:rFonts w:asciiTheme="majorHAnsi" w:eastAsia="Calibri" w:hAnsiTheme="majorHAnsi" w:cs="Times New Roman"/>
          <w:lang w:val="en-GB"/>
        </w:rPr>
      </w:pPr>
    </w:p>
    <w:p w14:paraId="4F46DDAA" w14:textId="3CF34E71" w:rsidR="00EF446F" w:rsidRPr="00965A8C" w:rsidRDefault="003710A5" w:rsidP="003710A5">
      <w:pPr>
        <w:pStyle w:val="Heading1"/>
        <w:shd w:val="clear" w:color="auto" w:fill="002060"/>
        <w:rPr>
          <w:color w:val="FFFFFF" w:themeColor="background1"/>
          <w:sz w:val="36"/>
          <w:lang w:val="en-GB"/>
        </w:rPr>
      </w:pPr>
      <w:bookmarkStart w:id="16" w:name="_Ref467166168"/>
      <w:r w:rsidRPr="00965A8C">
        <w:rPr>
          <w:color w:val="FFFFFF" w:themeColor="background1"/>
          <w:sz w:val="36"/>
          <w:lang w:val="en-GB"/>
        </w:rPr>
        <w:t>GENDER EQUALITY</w:t>
      </w:r>
      <w:bookmarkEnd w:id="16"/>
    </w:p>
    <w:p w14:paraId="5D150C02" w14:textId="77777777" w:rsidR="003710A5" w:rsidRDefault="003710A5" w:rsidP="00EF446F">
      <w:pPr>
        <w:rPr>
          <w:rFonts w:asciiTheme="majorHAnsi" w:hAnsiTheme="majorHAnsi"/>
          <w:color w:val="C45911" w:themeColor="accent2" w:themeShade="BF"/>
          <w:lang w:val="en-GB"/>
        </w:rPr>
      </w:pPr>
    </w:p>
    <w:p w14:paraId="7EC19789" w14:textId="77777777" w:rsidR="00EF446F" w:rsidRDefault="00EF446F" w:rsidP="003710A5">
      <w:pPr>
        <w:pStyle w:val="Heading2"/>
        <w:rPr>
          <w:lang w:val="en-GB"/>
        </w:rPr>
      </w:pPr>
      <w:bookmarkStart w:id="17" w:name="_Ref467166172"/>
      <w:r w:rsidRPr="00372A59">
        <w:rPr>
          <w:lang w:val="en-GB"/>
        </w:rPr>
        <w:t>Thematic developments</w:t>
      </w:r>
      <w:bookmarkEnd w:id="17"/>
    </w:p>
    <w:p w14:paraId="107B1D64" w14:textId="77777777" w:rsidR="00A03866" w:rsidRDefault="00A03866" w:rsidP="00A03866">
      <w:pPr>
        <w:rPr>
          <w:lang w:val="en-GB"/>
        </w:rPr>
      </w:pPr>
    </w:p>
    <w:p w14:paraId="5E234205" w14:textId="7E078D17" w:rsidR="00A03866" w:rsidRPr="00A03866" w:rsidRDefault="00A03866" w:rsidP="00A03866">
      <w:pPr>
        <w:shd w:val="clear" w:color="auto" w:fill="F2F2F2" w:themeFill="background1" w:themeFillShade="F2"/>
        <w:jc w:val="both"/>
        <w:rPr>
          <w:rFonts w:asciiTheme="majorHAnsi" w:hAnsiTheme="majorHAnsi"/>
          <w:b/>
          <w:sz w:val="24"/>
          <w:lang w:val="en-GB"/>
        </w:rPr>
      </w:pPr>
      <w:r>
        <w:rPr>
          <w:rFonts w:asciiTheme="majorHAnsi" w:hAnsiTheme="majorHAnsi"/>
          <w:b/>
          <w:sz w:val="24"/>
          <w:lang w:val="en-GB"/>
        </w:rPr>
        <w:t xml:space="preserve">Step Up! </w:t>
      </w:r>
      <w:r w:rsidRPr="00A03866">
        <w:rPr>
          <w:rFonts w:asciiTheme="majorHAnsi" w:hAnsiTheme="majorHAnsi"/>
          <w:b/>
          <w:sz w:val="24"/>
          <w:lang w:val="en-GB"/>
        </w:rPr>
        <w:t>Campaign: Help Improve Access to Services for Undocumented Women Survivors of Violence</w:t>
      </w:r>
    </w:p>
    <w:p w14:paraId="6A829992" w14:textId="75D659F3" w:rsidR="00A03866" w:rsidRDefault="00A03866" w:rsidP="00A03866">
      <w:pPr>
        <w:shd w:val="clear" w:color="auto" w:fill="F2F2F2" w:themeFill="background1" w:themeFillShade="F2"/>
        <w:jc w:val="both"/>
        <w:rPr>
          <w:rFonts w:asciiTheme="majorHAnsi" w:hAnsiTheme="majorHAnsi"/>
          <w:lang w:val="en-GB"/>
        </w:rPr>
      </w:pPr>
      <w:r>
        <w:rPr>
          <w:rFonts w:asciiTheme="majorHAnsi" w:hAnsiTheme="majorHAnsi"/>
          <w:lang w:val="en-GB"/>
        </w:rPr>
        <w:t xml:space="preserve">PICUM and WAVE are launching a campaign </w:t>
      </w:r>
      <w:r w:rsidRPr="00A03866">
        <w:rPr>
          <w:rFonts w:asciiTheme="majorHAnsi" w:hAnsiTheme="majorHAnsi"/>
          <w:lang w:val="en-GB"/>
        </w:rPr>
        <w:t>to improve access to services for undocumented women and women who have precarious immigration status.</w:t>
      </w:r>
    </w:p>
    <w:p w14:paraId="3B45BFA1" w14:textId="7E4A6719" w:rsidR="00A03866" w:rsidRDefault="00A03866" w:rsidP="00A03866">
      <w:pPr>
        <w:shd w:val="clear" w:color="auto" w:fill="F2F2F2" w:themeFill="background1" w:themeFillShade="F2"/>
        <w:jc w:val="both"/>
        <w:rPr>
          <w:rFonts w:asciiTheme="majorHAnsi" w:hAnsiTheme="majorHAnsi"/>
          <w:lang w:val="en-GB"/>
        </w:rPr>
      </w:pPr>
      <w:r>
        <w:rPr>
          <w:rFonts w:asciiTheme="majorHAnsi" w:hAnsiTheme="majorHAnsi"/>
          <w:lang w:val="en-GB"/>
        </w:rPr>
        <w:t xml:space="preserve">The campaign is based on the 4 following core principles: </w:t>
      </w:r>
    </w:p>
    <w:p w14:paraId="7DD5632B" w14:textId="4D9F1730" w:rsidR="00A03866" w:rsidRDefault="00A03866" w:rsidP="00387A76">
      <w:pPr>
        <w:shd w:val="clear" w:color="auto" w:fill="F2F2F2" w:themeFill="background1" w:themeFillShade="F2"/>
        <w:rPr>
          <w:rFonts w:asciiTheme="majorHAnsi" w:hAnsiTheme="majorHAnsi"/>
          <w:lang w:val="en-GB"/>
        </w:rPr>
      </w:pPr>
      <w:r w:rsidRPr="00A03866">
        <w:rPr>
          <w:rFonts w:asciiTheme="majorHAnsi" w:hAnsiTheme="majorHAnsi"/>
          <w:b/>
          <w:lang w:val="en-GB"/>
        </w:rPr>
        <w:t>1.  Women’s rights are human rights.</w:t>
      </w:r>
      <w:r w:rsidRPr="00A03866">
        <w:rPr>
          <w:rFonts w:asciiTheme="majorHAnsi" w:hAnsiTheme="majorHAnsi"/>
          <w:lang w:val="en-GB"/>
        </w:rPr>
        <w:t xml:space="preserve"> </w:t>
      </w:r>
      <w:r w:rsidR="00387A76">
        <w:rPr>
          <w:rFonts w:asciiTheme="majorHAnsi" w:hAnsiTheme="majorHAnsi"/>
          <w:lang w:val="en-GB"/>
        </w:rPr>
        <w:br/>
      </w:r>
      <w:r w:rsidRPr="00A03866">
        <w:rPr>
          <w:rFonts w:asciiTheme="majorHAnsi" w:hAnsiTheme="majorHAnsi"/>
          <w:b/>
          <w:lang w:val="en-GB"/>
        </w:rPr>
        <w:t>2.  Protection and safety come first.</w:t>
      </w:r>
      <w:r w:rsidRPr="00A03866">
        <w:rPr>
          <w:rFonts w:asciiTheme="majorHAnsi" w:hAnsiTheme="majorHAnsi"/>
          <w:lang w:val="en-GB"/>
        </w:rPr>
        <w:t xml:space="preserve"> </w:t>
      </w:r>
      <w:r w:rsidR="00387A76">
        <w:rPr>
          <w:rFonts w:asciiTheme="majorHAnsi" w:hAnsiTheme="majorHAnsi"/>
          <w:lang w:val="en-GB"/>
        </w:rPr>
        <w:br/>
      </w:r>
      <w:r w:rsidRPr="00A03866">
        <w:rPr>
          <w:rFonts w:asciiTheme="majorHAnsi" w:hAnsiTheme="majorHAnsi"/>
          <w:b/>
          <w:lang w:val="en-GB"/>
        </w:rPr>
        <w:t>3.  Give them a way out, a way forward.</w:t>
      </w:r>
      <w:r w:rsidRPr="00A03866">
        <w:rPr>
          <w:rFonts w:asciiTheme="majorHAnsi" w:hAnsiTheme="majorHAnsi"/>
          <w:lang w:val="en-GB"/>
        </w:rPr>
        <w:t xml:space="preserve"> </w:t>
      </w:r>
      <w:r w:rsidR="00387A76">
        <w:rPr>
          <w:rFonts w:asciiTheme="majorHAnsi" w:hAnsiTheme="majorHAnsi"/>
          <w:lang w:val="en-GB"/>
        </w:rPr>
        <w:br/>
      </w:r>
      <w:r w:rsidRPr="00A03866">
        <w:rPr>
          <w:rFonts w:asciiTheme="majorHAnsi" w:hAnsiTheme="majorHAnsi"/>
          <w:b/>
          <w:lang w:val="en-GB"/>
        </w:rPr>
        <w:t>4.  Solidarity against discrimination.</w:t>
      </w:r>
      <w:r w:rsidRPr="00A03866">
        <w:rPr>
          <w:rFonts w:asciiTheme="majorHAnsi" w:hAnsiTheme="majorHAnsi"/>
          <w:lang w:val="en-GB"/>
        </w:rPr>
        <w:t xml:space="preserve"> </w:t>
      </w:r>
    </w:p>
    <w:p w14:paraId="02BCB155" w14:textId="73BDAC11" w:rsidR="00A03866" w:rsidRPr="00A03866" w:rsidRDefault="00A03866" w:rsidP="00A03866">
      <w:pPr>
        <w:shd w:val="clear" w:color="auto" w:fill="F2F2F2" w:themeFill="background1" w:themeFillShade="F2"/>
        <w:jc w:val="both"/>
        <w:rPr>
          <w:rFonts w:asciiTheme="majorHAnsi" w:hAnsiTheme="majorHAnsi"/>
          <w:lang w:val="en-GB"/>
        </w:rPr>
      </w:pPr>
      <w:r>
        <w:rPr>
          <w:rFonts w:asciiTheme="majorHAnsi" w:hAnsiTheme="majorHAnsi"/>
          <w:lang w:val="en-GB"/>
        </w:rPr>
        <w:t xml:space="preserve">More information about the campaign is available </w:t>
      </w:r>
      <w:hyperlink r:id="rId36" w:history="1">
        <w:r w:rsidRPr="00A03866">
          <w:rPr>
            <w:rStyle w:val="Hyperlink"/>
            <w:rFonts w:asciiTheme="majorHAnsi" w:hAnsiTheme="majorHAnsi"/>
            <w:lang w:val="en-GB"/>
          </w:rPr>
          <w:t>here</w:t>
        </w:r>
      </w:hyperlink>
      <w:r>
        <w:rPr>
          <w:rFonts w:asciiTheme="majorHAnsi" w:hAnsiTheme="majorHAnsi"/>
          <w:lang w:val="en-GB"/>
        </w:rPr>
        <w:t>.</w:t>
      </w:r>
    </w:p>
    <w:p w14:paraId="6D297237" w14:textId="77777777" w:rsidR="00E03E62" w:rsidRDefault="00E03E62" w:rsidP="00965A8C">
      <w:pPr>
        <w:pStyle w:val="Heading2"/>
        <w:rPr>
          <w:lang w:val="en-GB"/>
        </w:rPr>
      </w:pPr>
      <w:bookmarkStart w:id="18" w:name="_Ref467166173"/>
    </w:p>
    <w:p w14:paraId="6A0FA76E" w14:textId="77777777" w:rsidR="00E03E62" w:rsidRDefault="00E03E62" w:rsidP="00965A8C">
      <w:pPr>
        <w:pStyle w:val="Heading2"/>
        <w:rPr>
          <w:lang w:val="en-GB"/>
        </w:rPr>
      </w:pPr>
    </w:p>
    <w:p w14:paraId="3AF432C9" w14:textId="6CB29B65" w:rsidR="00EF446F" w:rsidRPr="00372A59" w:rsidRDefault="00EF446F" w:rsidP="00965A8C">
      <w:pPr>
        <w:pStyle w:val="Heading2"/>
        <w:rPr>
          <w:lang w:val="en-GB"/>
        </w:rPr>
      </w:pPr>
      <w:r w:rsidRPr="00372A59">
        <w:rPr>
          <w:lang w:val="en-GB"/>
        </w:rPr>
        <w:t>Publications, funding opportunities and events</w:t>
      </w:r>
      <w:bookmarkEnd w:id="18"/>
    </w:p>
    <w:p w14:paraId="1D63C1B9" w14:textId="77777777" w:rsidR="008C552E" w:rsidRPr="008C552E" w:rsidRDefault="008C552E" w:rsidP="008C552E">
      <w:pPr>
        <w:pStyle w:val="NoSpacing"/>
        <w:rPr>
          <w:b/>
          <w:shd w:val="clear" w:color="auto" w:fill="7030A0"/>
          <w:lang w:val="en-GB"/>
        </w:rPr>
      </w:pPr>
    </w:p>
    <w:p w14:paraId="170B972C" w14:textId="2A8A37F3" w:rsidR="008C552E" w:rsidRPr="008423D8" w:rsidRDefault="008C552E" w:rsidP="008423D8">
      <w:pPr>
        <w:pStyle w:val="NoSpacing"/>
        <w:shd w:val="clear" w:color="auto" w:fill="F2F2F2" w:themeFill="background1" w:themeFillShade="F2"/>
        <w:jc w:val="both"/>
        <w:rPr>
          <w:rFonts w:asciiTheme="majorHAnsi" w:hAnsiTheme="majorHAnsi"/>
          <w:b/>
          <w:color w:val="FFFFFF" w:themeColor="background1"/>
          <w:lang w:val="en-US"/>
        </w:rPr>
      </w:pPr>
      <w:r w:rsidRPr="008423D8">
        <w:rPr>
          <w:rFonts w:asciiTheme="majorHAnsi" w:hAnsiTheme="majorHAnsi"/>
          <w:b/>
          <w:color w:val="FFFFFF" w:themeColor="background1"/>
          <w:shd w:val="clear" w:color="auto" w:fill="7030A0"/>
          <w:lang w:val="en-GB"/>
        </w:rPr>
        <w:t>PUBLICATION</w:t>
      </w:r>
      <w:r w:rsidRPr="008423D8">
        <w:rPr>
          <w:rFonts w:asciiTheme="majorHAnsi" w:hAnsiTheme="majorHAnsi"/>
          <w:lang w:val="en-US"/>
        </w:rPr>
        <w:t xml:space="preserve"> </w:t>
      </w:r>
      <w:r w:rsidR="008423D8" w:rsidRPr="008423D8">
        <w:rPr>
          <w:rFonts w:asciiTheme="majorHAnsi" w:hAnsiTheme="majorHAnsi"/>
          <w:lang w:val="en-US"/>
        </w:rPr>
        <w:t xml:space="preserve">Study - </w:t>
      </w:r>
      <w:r w:rsidR="008423D8" w:rsidRPr="008423D8">
        <w:rPr>
          <w:rFonts w:asciiTheme="majorHAnsi" w:hAnsiTheme="majorHAnsi"/>
          <w:b/>
          <w:lang w:val="en-US"/>
        </w:rPr>
        <w:t>European Parliament – Women’s Rights and Gender Equality Committee</w:t>
      </w:r>
      <w:r w:rsidR="008423D8" w:rsidRPr="008423D8">
        <w:rPr>
          <w:rFonts w:asciiTheme="majorHAnsi" w:hAnsiTheme="majorHAnsi"/>
          <w:lang w:val="en-US"/>
        </w:rPr>
        <w:t xml:space="preserve"> - </w:t>
      </w:r>
      <w:hyperlink r:id="rId37" w:history="1">
        <w:r w:rsidR="008423D8" w:rsidRPr="008423D8">
          <w:rPr>
            <w:rStyle w:val="Hyperlink"/>
            <w:rFonts w:asciiTheme="majorHAnsi" w:hAnsiTheme="majorHAnsi"/>
            <w:lang w:val="en-US"/>
          </w:rPr>
          <w:t>Demography and family policies from a gender perspective</w:t>
        </w:r>
      </w:hyperlink>
    </w:p>
    <w:p w14:paraId="01694EC0" w14:textId="6A116059" w:rsidR="008423D8" w:rsidRDefault="008423D8" w:rsidP="008423D8">
      <w:pPr>
        <w:pStyle w:val="NoSpacing"/>
        <w:shd w:val="clear" w:color="auto" w:fill="FFFFFF" w:themeFill="background1"/>
        <w:rPr>
          <w:b/>
          <w:color w:val="FFFFFF" w:themeColor="background1"/>
          <w:shd w:val="clear" w:color="auto" w:fill="7030A0"/>
          <w:lang w:val="en-GB"/>
        </w:rPr>
      </w:pPr>
    </w:p>
    <w:p w14:paraId="7B495122" w14:textId="041695D6" w:rsidR="000438D1" w:rsidRPr="008423D8" w:rsidRDefault="008423D8" w:rsidP="005240BC">
      <w:pPr>
        <w:pStyle w:val="NoSpacing"/>
        <w:shd w:val="clear" w:color="auto" w:fill="F2F2F2" w:themeFill="background1" w:themeFillShade="F2"/>
        <w:jc w:val="both"/>
        <w:rPr>
          <w:rFonts w:eastAsia="Calibri" w:cs="Times New Roman"/>
          <w:lang w:val="en-US"/>
        </w:rPr>
      </w:pPr>
      <w:r w:rsidRPr="005240BC">
        <w:rPr>
          <w:rFonts w:asciiTheme="majorHAnsi" w:hAnsiTheme="majorHAnsi"/>
          <w:b/>
          <w:color w:val="FFFFFF" w:themeColor="background1"/>
          <w:shd w:val="clear" w:color="auto" w:fill="7030A0"/>
          <w:lang w:val="en-GB"/>
        </w:rPr>
        <w:t>PUBLICATION</w:t>
      </w:r>
      <w:r w:rsidR="00102B04">
        <w:rPr>
          <w:rFonts w:asciiTheme="majorHAnsi" w:hAnsiTheme="majorHAnsi"/>
          <w:lang w:val="en-US"/>
        </w:rPr>
        <w:t xml:space="preserve"> </w:t>
      </w:r>
      <w:r w:rsidRPr="005240BC">
        <w:rPr>
          <w:rFonts w:asciiTheme="majorHAnsi" w:hAnsiTheme="majorHAnsi"/>
          <w:lang w:val="en-US"/>
        </w:rPr>
        <w:t xml:space="preserve">Study - </w:t>
      </w:r>
      <w:r w:rsidRPr="005240BC">
        <w:rPr>
          <w:rFonts w:asciiTheme="majorHAnsi" w:hAnsiTheme="majorHAnsi"/>
          <w:b/>
          <w:lang w:val="en-US"/>
        </w:rPr>
        <w:t>European Parliament – Women’s Rights and Gender Equality Committee</w:t>
      </w:r>
      <w:r w:rsidRPr="005240BC">
        <w:rPr>
          <w:rFonts w:asciiTheme="majorHAnsi" w:hAnsiTheme="majorHAnsi"/>
          <w:lang w:val="en-US"/>
        </w:rPr>
        <w:t xml:space="preserve"> </w:t>
      </w:r>
      <w:r w:rsidR="005240BC">
        <w:rPr>
          <w:rFonts w:asciiTheme="majorHAnsi" w:hAnsiTheme="majorHAnsi"/>
          <w:lang w:val="en-US"/>
        </w:rPr>
        <w:t>–</w:t>
      </w:r>
      <w:r w:rsidRPr="005240BC">
        <w:rPr>
          <w:rFonts w:asciiTheme="majorHAnsi" w:hAnsiTheme="majorHAnsi"/>
          <w:lang w:val="en-US"/>
        </w:rPr>
        <w:t xml:space="preserve"> </w:t>
      </w:r>
      <w:hyperlink r:id="rId38" w:history="1">
        <w:r w:rsidR="005240BC" w:rsidRPr="005240BC">
          <w:rPr>
            <w:rStyle w:val="Hyperlink"/>
            <w:rFonts w:asciiTheme="majorHAnsi" w:hAnsiTheme="majorHAnsi"/>
            <w:lang w:val="en-US"/>
          </w:rPr>
          <w:t>Gender Equality in Trade Agreements</w:t>
        </w:r>
      </w:hyperlink>
    </w:p>
    <w:p w14:paraId="460135A4" w14:textId="77777777" w:rsidR="008423D8" w:rsidRDefault="008423D8" w:rsidP="00E35214">
      <w:pPr>
        <w:pStyle w:val="NoSpacing"/>
        <w:rPr>
          <w:rFonts w:eastAsia="Calibri" w:cs="Times New Roman"/>
          <w:lang w:val="en-GB"/>
        </w:rPr>
      </w:pPr>
    </w:p>
    <w:p w14:paraId="19ADD620" w14:textId="4AD1BEF6" w:rsidR="001D62A5" w:rsidRPr="00BA3FEC" w:rsidRDefault="005240BC" w:rsidP="00BA3FEC">
      <w:pPr>
        <w:pStyle w:val="NoSpacing"/>
        <w:shd w:val="clear" w:color="auto" w:fill="F2F2F2" w:themeFill="background1" w:themeFillShade="F2"/>
        <w:jc w:val="both"/>
        <w:rPr>
          <w:rFonts w:eastAsia="Calibri" w:cs="Times New Roman"/>
          <w:lang w:val="en-US"/>
        </w:rPr>
      </w:pPr>
      <w:r w:rsidRPr="005240BC">
        <w:rPr>
          <w:rFonts w:asciiTheme="majorHAnsi" w:hAnsiTheme="majorHAnsi"/>
          <w:b/>
          <w:color w:val="FFFFFF" w:themeColor="background1"/>
          <w:shd w:val="clear" w:color="auto" w:fill="7030A0"/>
          <w:lang w:val="en-GB"/>
        </w:rPr>
        <w:t>PUBLICATION</w:t>
      </w:r>
      <w:r w:rsidRPr="005240BC">
        <w:rPr>
          <w:rFonts w:asciiTheme="majorHAnsi" w:hAnsiTheme="majorHAnsi"/>
          <w:lang w:val="en-US"/>
        </w:rPr>
        <w:t xml:space="preserve"> </w:t>
      </w:r>
      <w:r>
        <w:rPr>
          <w:rFonts w:asciiTheme="majorHAnsi" w:hAnsiTheme="majorHAnsi"/>
          <w:lang w:val="en-US"/>
        </w:rPr>
        <w:t>Summary</w:t>
      </w:r>
      <w:r w:rsidRPr="005240BC">
        <w:rPr>
          <w:rFonts w:asciiTheme="majorHAnsi" w:hAnsiTheme="majorHAnsi"/>
          <w:lang w:val="en-US"/>
        </w:rPr>
        <w:t xml:space="preserve"> - </w:t>
      </w:r>
      <w:r w:rsidRPr="005240BC">
        <w:rPr>
          <w:rFonts w:asciiTheme="majorHAnsi" w:hAnsiTheme="majorHAnsi"/>
          <w:b/>
          <w:lang w:val="en-US"/>
        </w:rPr>
        <w:t xml:space="preserve">European </w:t>
      </w:r>
      <w:r>
        <w:rPr>
          <w:rFonts w:asciiTheme="majorHAnsi" w:hAnsiTheme="majorHAnsi"/>
          <w:b/>
          <w:lang w:val="en-US"/>
        </w:rPr>
        <w:t>Women’s Lobby</w:t>
      </w:r>
      <w:r w:rsidRPr="005240BC">
        <w:rPr>
          <w:rFonts w:asciiTheme="majorHAnsi" w:hAnsiTheme="majorHAnsi"/>
          <w:lang w:val="en-US"/>
        </w:rPr>
        <w:t xml:space="preserve"> </w:t>
      </w:r>
      <w:r>
        <w:rPr>
          <w:rFonts w:asciiTheme="majorHAnsi" w:hAnsiTheme="majorHAnsi"/>
          <w:lang w:val="en-US"/>
        </w:rPr>
        <w:t>–</w:t>
      </w:r>
      <w:r w:rsidRPr="005240BC">
        <w:rPr>
          <w:rFonts w:asciiTheme="majorHAnsi" w:hAnsiTheme="majorHAnsi"/>
          <w:lang w:val="en-US"/>
        </w:rPr>
        <w:t xml:space="preserve"> </w:t>
      </w:r>
      <w:r w:rsidRPr="00BA3FEC">
        <w:rPr>
          <w:rFonts w:asciiTheme="majorHAnsi" w:hAnsiTheme="majorHAnsi"/>
          <w:lang w:val="en-US"/>
        </w:rPr>
        <w:t>Brexit &amp; Women’s Rights</w:t>
      </w:r>
    </w:p>
    <w:p w14:paraId="699FEE55" w14:textId="77777777" w:rsidR="00642A1F" w:rsidRDefault="00642A1F" w:rsidP="00E35214">
      <w:pPr>
        <w:pStyle w:val="NoSpacing"/>
        <w:pBdr>
          <w:bottom w:val="dotted" w:sz="36" w:space="1" w:color="auto"/>
        </w:pBdr>
        <w:rPr>
          <w:lang w:val="en-GB"/>
        </w:rPr>
      </w:pPr>
    </w:p>
    <w:p w14:paraId="4C473517" w14:textId="77777777" w:rsidR="005240BC" w:rsidRPr="00372A59" w:rsidRDefault="005240BC" w:rsidP="00E35214">
      <w:pPr>
        <w:pStyle w:val="NoSpacing"/>
        <w:pBdr>
          <w:bottom w:val="dotted" w:sz="36" w:space="1" w:color="auto"/>
        </w:pBdr>
        <w:rPr>
          <w:lang w:val="en-GB"/>
        </w:rPr>
      </w:pPr>
    </w:p>
    <w:p w14:paraId="4279531E" w14:textId="38729AB6" w:rsidR="00C842B1" w:rsidRPr="00D75A37" w:rsidRDefault="00D75A37" w:rsidP="00D75A37">
      <w:pPr>
        <w:pStyle w:val="Heading1"/>
        <w:shd w:val="clear" w:color="auto" w:fill="002060"/>
        <w:rPr>
          <w:color w:val="FFFFFF" w:themeColor="background1"/>
          <w:sz w:val="36"/>
          <w:lang w:val="en-GB"/>
        </w:rPr>
      </w:pPr>
      <w:bookmarkStart w:id="19" w:name="_Ref467166174"/>
      <w:bookmarkStart w:id="20" w:name="_Toc418770748"/>
      <w:bookmarkStart w:id="21" w:name="_Ref418784315"/>
      <w:bookmarkStart w:id="22" w:name="_Ref418784316"/>
      <w:bookmarkEnd w:id="11"/>
      <w:bookmarkEnd w:id="12"/>
      <w:r>
        <w:rPr>
          <w:color w:val="FFFFFF" w:themeColor="background1"/>
          <w:sz w:val="36"/>
          <w:lang w:val="en-GB"/>
        </w:rPr>
        <w:t xml:space="preserve">RACE &amp; </w:t>
      </w:r>
      <w:r w:rsidRPr="00D75A37">
        <w:rPr>
          <w:color w:val="FFFFFF" w:themeColor="background1"/>
          <w:sz w:val="36"/>
          <w:lang w:val="en-GB"/>
        </w:rPr>
        <w:t>ETHNIC ORIGIN</w:t>
      </w:r>
      <w:bookmarkEnd w:id="19"/>
    </w:p>
    <w:p w14:paraId="605F43DB" w14:textId="77777777" w:rsidR="00D75A37" w:rsidRDefault="00D75A37" w:rsidP="00EF446F">
      <w:pPr>
        <w:rPr>
          <w:rFonts w:asciiTheme="majorHAnsi" w:hAnsiTheme="majorHAnsi"/>
          <w:color w:val="C45911" w:themeColor="accent2" w:themeShade="BF"/>
          <w:lang w:val="en-GB"/>
        </w:rPr>
      </w:pPr>
      <w:bookmarkStart w:id="23" w:name="_Ref421267530"/>
    </w:p>
    <w:p w14:paraId="61D35C5C" w14:textId="77777777" w:rsidR="008C552E" w:rsidRPr="00372A59" w:rsidRDefault="008C552E" w:rsidP="008C552E">
      <w:pPr>
        <w:pStyle w:val="Heading2"/>
        <w:rPr>
          <w:lang w:val="en-GB"/>
        </w:rPr>
      </w:pPr>
      <w:bookmarkStart w:id="24" w:name="_Ref471484423"/>
      <w:r w:rsidRPr="00372A59">
        <w:rPr>
          <w:lang w:val="en-GB"/>
        </w:rPr>
        <w:t>Thematic developments</w:t>
      </w:r>
      <w:bookmarkEnd w:id="24"/>
    </w:p>
    <w:p w14:paraId="048B20A6" w14:textId="77777777" w:rsidR="008C552E" w:rsidRDefault="008C552E" w:rsidP="00102B04">
      <w:pPr>
        <w:pStyle w:val="NoSpacing"/>
        <w:rPr>
          <w:lang w:val="en-US"/>
        </w:rPr>
      </w:pPr>
    </w:p>
    <w:p w14:paraId="41AAE1D9" w14:textId="53A712AE" w:rsidR="00102B04" w:rsidRPr="00102B04" w:rsidRDefault="00102B04" w:rsidP="00102B04">
      <w:pPr>
        <w:shd w:val="clear" w:color="auto" w:fill="F2F2F2" w:themeFill="background1" w:themeFillShade="F2"/>
        <w:rPr>
          <w:rFonts w:asciiTheme="majorHAnsi" w:hAnsiTheme="majorHAnsi"/>
          <w:b/>
          <w:sz w:val="24"/>
          <w:lang w:val="en-US"/>
        </w:rPr>
      </w:pPr>
      <w:r w:rsidRPr="00102B04">
        <w:rPr>
          <w:rFonts w:asciiTheme="majorHAnsi" w:hAnsiTheme="majorHAnsi"/>
          <w:b/>
          <w:sz w:val="24"/>
          <w:lang w:val="en-US"/>
        </w:rPr>
        <w:t>European Parliament: new Rules of Procedure will strengthen hate speech sanctions</w:t>
      </w:r>
    </w:p>
    <w:p w14:paraId="5AF5A39B" w14:textId="503284BF" w:rsidR="00717918" w:rsidRDefault="002B1646" w:rsidP="005A13C7">
      <w:pPr>
        <w:shd w:val="clear" w:color="auto" w:fill="F2F2F2" w:themeFill="background1" w:themeFillShade="F2"/>
        <w:jc w:val="both"/>
        <w:rPr>
          <w:rFonts w:asciiTheme="majorHAnsi" w:hAnsiTheme="majorHAnsi"/>
          <w:lang w:val="en-GB"/>
        </w:rPr>
      </w:pPr>
      <w:r>
        <w:rPr>
          <w:rFonts w:asciiTheme="majorHAnsi" w:hAnsiTheme="majorHAnsi"/>
          <w:lang w:val="en-GB"/>
        </w:rPr>
        <w:t>In December 2016</w:t>
      </w:r>
      <w:r w:rsidR="00102B04">
        <w:rPr>
          <w:rFonts w:asciiTheme="majorHAnsi" w:hAnsiTheme="majorHAnsi"/>
          <w:lang w:val="en-GB"/>
        </w:rPr>
        <w:t>, the European Parliament adopted new Rules of Procedures which will strengthen the sanct</w:t>
      </w:r>
      <w:r w:rsidR="005A13C7">
        <w:rPr>
          <w:rFonts w:asciiTheme="majorHAnsi" w:hAnsiTheme="majorHAnsi"/>
          <w:lang w:val="en-GB"/>
        </w:rPr>
        <w:t>ions against Members of the European Parliament</w:t>
      </w:r>
      <w:r w:rsidR="00102B04">
        <w:rPr>
          <w:rFonts w:asciiTheme="majorHAnsi" w:hAnsiTheme="majorHAnsi"/>
          <w:lang w:val="en-GB"/>
        </w:rPr>
        <w:t xml:space="preserve"> </w:t>
      </w:r>
      <w:r w:rsidR="005A13C7">
        <w:rPr>
          <w:rFonts w:asciiTheme="majorHAnsi" w:hAnsiTheme="majorHAnsi"/>
          <w:lang w:val="en-GB"/>
        </w:rPr>
        <w:t xml:space="preserve">using </w:t>
      </w:r>
      <w:r w:rsidR="00102B04" w:rsidRPr="00102B04">
        <w:rPr>
          <w:rFonts w:asciiTheme="majorHAnsi" w:hAnsiTheme="majorHAnsi"/>
          <w:lang w:val="en-GB"/>
        </w:rPr>
        <w:t xml:space="preserve">defamatory, racist or </w:t>
      </w:r>
      <w:r w:rsidR="005A13C7">
        <w:rPr>
          <w:rFonts w:asciiTheme="majorHAnsi" w:hAnsiTheme="majorHAnsi"/>
          <w:lang w:val="en-GB"/>
        </w:rPr>
        <w:t>xenophobic language or undertaking</w:t>
      </w:r>
      <w:r w:rsidR="00102B04" w:rsidRPr="00102B04">
        <w:rPr>
          <w:rFonts w:asciiTheme="majorHAnsi" w:hAnsiTheme="majorHAnsi"/>
          <w:lang w:val="en-GB"/>
        </w:rPr>
        <w:t xml:space="preserve"> actions to disrupt parliamentary activity.</w:t>
      </w:r>
    </w:p>
    <w:p w14:paraId="4535C1A0" w14:textId="2649DE49" w:rsidR="006A1658" w:rsidRDefault="005A13C7" w:rsidP="005A13C7">
      <w:pPr>
        <w:shd w:val="clear" w:color="auto" w:fill="F2F2F2" w:themeFill="background1" w:themeFillShade="F2"/>
        <w:jc w:val="both"/>
        <w:rPr>
          <w:rFonts w:asciiTheme="majorHAnsi" w:hAnsiTheme="majorHAnsi"/>
          <w:lang w:val="en-GB"/>
        </w:rPr>
      </w:pPr>
      <w:r>
        <w:rPr>
          <w:rFonts w:asciiTheme="majorHAnsi" w:hAnsiTheme="majorHAnsi"/>
          <w:lang w:val="en-GB"/>
        </w:rPr>
        <w:t xml:space="preserve">More information about the new Rules of Procedure is available </w:t>
      </w:r>
      <w:hyperlink r:id="rId39" w:history="1">
        <w:r w:rsidRPr="005A13C7">
          <w:rPr>
            <w:rStyle w:val="Hyperlink"/>
            <w:rFonts w:asciiTheme="majorHAnsi" w:hAnsiTheme="majorHAnsi"/>
            <w:lang w:val="en-GB"/>
          </w:rPr>
          <w:t>here</w:t>
        </w:r>
      </w:hyperlink>
      <w:r>
        <w:rPr>
          <w:rFonts w:asciiTheme="majorHAnsi" w:hAnsiTheme="majorHAnsi"/>
          <w:lang w:val="en-GB"/>
        </w:rPr>
        <w:t xml:space="preserve">.  </w:t>
      </w:r>
    </w:p>
    <w:p w14:paraId="7AE15348" w14:textId="77777777" w:rsidR="005A13C7" w:rsidRPr="005A13C7" w:rsidRDefault="005A13C7" w:rsidP="005A13C7">
      <w:pPr>
        <w:pStyle w:val="NoSpacing"/>
        <w:rPr>
          <w:lang w:val="en-GB"/>
        </w:rPr>
      </w:pPr>
    </w:p>
    <w:p w14:paraId="68703102" w14:textId="77777777" w:rsidR="008C552E" w:rsidRPr="00372A59" w:rsidRDefault="008C552E" w:rsidP="008C552E">
      <w:pPr>
        <w:pStyle w:val="Heading2"/>
        <w:rPr>
          <w:lang w:val="en-GB"/>
        </w:rPr>
      </w:pPr>
      <w:bookmarkStart w:id="25" w:name="_Ref471484425"/>
      <w:r w:rsidRPr="00372A59">
        <w:rPr>
          <w:lang w:val="en-GB"/>
        </w:rPr>
        <w:t>Publications, funding opportunities and events</w:t>
      </w:r>
      <w:bookmarkEnd w:id="25"/>
    </w:p>
    <w:p w14:paraId="1DDB26A9" w14:textId="77777777" w:rsidR="008C552E" w:rsidRPr="008C552E" w:rsidRDefault="008C552E" w:rsidP="008C552E">
      <w:pPr>
        <w:pStyle w:val="NoSpacing"/>
        <w:rPr>
          <w:b/>
          <w:shd w:val="clear" w:color="auto" w:fill="7030A0"/>
          <w:lang w:val="en-GB"/>
        </w:rPr>
      </w:pPr>
    </w:p>
    <w:p w14:paraId="434F38A1" w14:textId="0E8B9A62" w:rsidR="008C552E" w:rsidRPr="00642A1F" w:rsidRDefault="008C552E" w:rsidP="00642A1F">
      <w:pPr>
        <w:pStyle w:val="NoSpacing"/>
        <w:shd w:val="clear" w:color="auto" w:fill="F2F2F2" w:themeFill="background1" w:themeFillShade="F2"/>
        <w:jc w:val="both"/>
        <w:rPr>
          <w:rFonts w:asciiTheme="majorHAnsi" w:hAnsiTheme="majorHAnsi"/>
          <w:lang w:val="en-US"/>
        </w:rPr>
      </w:pPr>
      <w:r w:rsidRPr="008B50DB">
        <w:rPr>
          <w:rFonts w:asciiTheme="majorHAnsi" w:hAnsiTheme="majorHAnsi"/>
          <w:b/>
          <w:color w:val="FFFFFF" w:themeColor="background1"/>
          <w:shd w:val="clear" w:color="auto" w:fill="7030A0"/>
          <w:lang w:val="en-GB"/>
        </w:rPr>
        <w:t>PUBLICATION</w:t>
      </w:r>
      <w:r w:rsidR="008B50DB" w:rsidRPr="008B50DB">
        <w:rPr>
          <w:rFonts w:asciiTheme="majorHAnsi" w:hAnsiTheme="majorHAnsi"/>
          <w:b/>
          <w:color w:val="FFFFFF" w:themeColor="background1"/>
          <w:shd w:val="clear" w:color="auto" w:fill="FFFFFF" w:themeFill="background1"/>
          <w:lang w:val="en-GB"/>
        </w:rPr>
        <w:t xml:space="preserve"> </w:t>
      </w:r>
      <w:r w:rsidR="008B50DB" w:rsidRPr="008B50DB">
        <w:rPr>
          <w:rFonts w:asciiTheme="majorHAnsi" w:hAnsiTheme="majorHAnsi"/>
          <w:b/>
          <w:lang w:val="en-US"/>
        </w:rPr>
        <w:t>ENAR – European Network against Racism</w:t>
      </w:r>
      <w:r w:rsidR="008B50DB" w:rsidRPr="008B50DB">
        <w:rPr>
          <w:rFonts w:asciiTheme="majorHAnsi" w:hAnsiTheme="majorHAnsi"/>
          <w:lang w:val="en-US"/>
        </w:rPr>
        <w:t xml:space="preserve"> - </w:t>
      </w:r>
      <w:hyperlink r:id="rId40" w:history="1">
        <w:r w:rsidR="008B50DB" w:rsidRPr="008B50DB">
          <w:rPr>
            <w:rStyle w:val="Hyperlink"/>
            <w:rFonts w:asciiTheme="majorHAnsi" w:hAnsiTheme="majorHAnsi"/>
            <w:lang w:val="en-US"/>
          </w:rPr>
          <w:t>Managing religious diversity in the workplace: a good practice guide</w:t>
        </w:r>
      </w:hyperlink>
    </w:p>
    <w:p w14:paraId="2AFEDDB1" w14:textId="77777777" w:rsidR="00642A1F" w:rsidRDefault="00642A1F" w:rsidP="008C552E">
      <w:pPr>
        <w:pBdr>
          <w:bottom w:val="dotted" w:sz="36" w:space="1" w:color="auto"/>
        </w:pBdr>
        <w:shd w:val="clear" w:color="auto" w:fill="FFFFFF" w:themeFill="background1"/>
        <w:jc w:val="both"/>
        <w:rPr>
          <w:rFonts w:asciiTheme="majorHAnsi" w:hAnsiTheme="majorHAnsi"/>
          <w:bCs/>
          <w:lang w:val="en-US"/>
        </w:rPr>
      </w:pPr>
    </w:p>
    <w:p w14:paraId="1CAE553B" w14:textId="77777777" w:rsidR="00642A1F" w:rsidRDefault="00642A1F" w:rsidP="008C552E">
      <w:pPr>
        <w:pBdr>
          <w:bottom w:val="dotted" w:sz="36" w:space="1" w:color="auto"/>
        </w:pBdr>
        <w:shd w:val="clear" w:color="auto" w:fill="FFFFFF" w:themeFill="background1"/>
        <w:jc w:val="both"/>
        <w:rPr>
          <w:rFonts w:asciiTheme="majorHAnsi" w:hAnsiTheme="majorHAnsi"/>
          <w:bCs/>
          <w:lang w:val="en-US"/>
        </w:rPr>
      </w:pPr>
    </w:p>
    <w:p w14:paraId="513C44B1" w14:textId="26708D12" w:rsidR="008C552E" w:rsidRPr="00A65406" w:rsidRDefault="008C552E" w:rsidP="008C552E">
      <w:pPr>
        <w:pStyle w:val="Heading1"/>
        <w:shd w:val="clear" w:color="auto" w:fill="002060"/>
        <w:rPr>
          <w:rFonts w:eastAsia="Calibri" w:cs="Times New Roman"/>
          <w:color w:val="FFFFFF" w:themeColor="background1"/>
          <w:sz w:val="24"/>
          <w:szCs w:val="22"/>
          <w:lang w:val="en-GB"/>
        </w:rPr>
      </w:pPr>
      <w:bookmarkStart w:id="26" w:name="_Ref471484426"/>
      <w:r>
        <w:rPr>
          <w:color w:val="FFFFFF" w:themeColor="background1"/>
          <w:sz w:val="36"/>
          <w:lang w:val="en-GB"/>
        </w:rPr>
        <w:t>RELIGION AND BELIEF</w:t>
      </w:r>
      <w:bookmarkEnd w:id="26"/>
    </w:p>
    <w:p w14:paraId="102409BA" w14:textId="77777777" w:rsidR="008C552E" w:rsidRDefault="008C552E" w:rsidP="008C552E">
      <w:pPr>
        <w:rPr>
          <w:rFonts w:asciiTheme="majorHAnsi" w:hAnsiTheme="majorHAnsi"/>
          <w:color w:val="C45911" w:themeColor="accent2" w:themeShade="BF"/>
          <w:lang w:val="en-GB"/>
        </w:rPr>
      </w:pPr>
    </w:p>
    <w:p w14:paraId="55DA341E" w14:textId="77777777" w:rsidR="008C552E" w:rsidRPr="00372A59" w:rsidRDefault="008C552E" w:rsidP="008C552E">
      <w:pPr>
        <w:pStyle w:val="Heading2"/>
        <w:rPr>
          <w:lang w:val="en-GB"/>
        </w:rPr>
      </w:pPr>
      <w:bookmarkStart w:id="27" w:name="_Ref471484427"/>
      <w:r w:rsidRPr="00372A59">
        <w:rPr>
          <w:lang w:val="en-GB"/>
        </w:rPr>
        <w:t>Publications, funding opportunities and events</w:t>
      </w:r>
      <w:bookmarkEnd w:id="27"/>
    </w:p>
    <w:p w14:paraId="1E2125E8" w14:textId="77777777" w:rsidR="008C552E" w:rsidRPr="00642A1F" w:rsidRDefault="008C552E" w:rsidP="008C552E">
      <w:pPr>
        <w:pStyle w:val="NoSpacing"/>
        <w:rPr>
          <w:rFonts w:asciiTheme="majorHAnsi" w:hAnsiTheme="majorHAnsi"/>
          <w:b/>
          <w:shd w:val="clear" w:color="auto" w:fill="7030A0"/>
          <w:lang w:val="en-GB"/>
        </w:rPr>
      </w:pPr>
    </w:p>
    <w:p w14:paraId="78B7EE60" w14:textId="56EB629B" w:rsidR="008C552E" w:rsidRDefault="008C552E" w:rsidP="001F0C5D">
      <w:pPr>
        <w:shd w:val="clear" w:color="auto" w:fill="F2F2F2" w:themeFill="background1" w:themeFillShade="F2"/>
        <w:spacing w:line="240" w:lineRule="auto"/>
        <w:jc w:val="both"/>
        <w:rPr>
          <w:rFonts w:asciiTheme="majorHAnsi" w:hAnsiTheme="majorHAnsi"/>
          <w:lang w:val="en-GB"/>
        </w:rPr>
      </w:pPr>
      <w:r w:rsidRPr="00642A1F">
        <w:rPr>
          <w:rFonts w:asciiTheme="majorHAnsi" w:hAnsiTheme="majorHAnsi"/>
          <w:b/>
          <w:color w:val="FFFFFF" w:themeColor="background1"/>
          <w:shd w:val="clear" w:color="auto" w:fill="7030A0"/>
          <w:lang w:val="en-GB"/>
        </w:rPr>
        <w:t>PUBLICATION</w:t>
      </w:r>
      <w:r w:rsidR="00642A1F" w:rsidRPr="00642A1F">
        <w:rPr>
          <w:rFonts w:asciiTheme="majorHAnsi" w:hAnsiTheme="majorHAnsi"/>
          <w:b/>
          <w:color w:val="FFFFFF" w:themeColor="background1"/>
          <w:shd w:val="clear" w:color="auto" w:fill="FFFFFF" w:themeFill="background1"/>
          <w:lang w:val="en-GB"/>
        </w:rPr>
        <w:t xml:space="preserve"> </w:t>
      </w:r>
      <w:r w:rsidR="00642A1F" w:rsidRPr="00642A1F">
        <w:rPr>
          <w:rFonts w:asciiTheme="majorHAnsi" w:hAnsiTheme="majorHAnsi"/>
          <w:b/>
          <w:lang w:val="en-GB"/>
        </w:rPr>
        <w:t>EU Agency for Fundamental Rights (FRA)</w:t>
      </w:r>
      <w:r w:rsidR="00642A1F" w:rsidRPr="00642A1F">
        <w:rPr>
          <w:rFonts w:asciiTheme="majorHAnsi" w:hAnsiTheme="majorHAnsi"/>
          <w:lang w:val="en-GB"/>
        </w:rPr>
        <w:t xml:space="preserve"> - </w:t>
      </w:r>
      <w:hyperlink r:id="rId41" w:history="1">
        <w:r w:rsidR="00642A1F" w:rsidRPr="00642A1F">
          <w:rPr>
            <w:rStyle w:val="Hyperlink"/>
            <w:rFonts w:asciiTheme="majorHAnsi" w:hAnsiTheme="majorHAnsi"/>
            <w:lang w:val="en-GB"/>
          </w:rPr>
          <w:t>Antisemitism: Summary overview of data available in the European Union 2005–2015</w:t>
        </w:r>
      </w:hyperlink>
    </w:p>
    <w:p w14:paraId="1F32A6CF" w14:textId="77777777" w:rsidR="00642A1F" w:rsidRPr="00642A1F" w:rsidRDefault="00642A1F" w:rsidP="008C552E">
      <w:pPr>
        <w:spacing w:line="240" w:lineRule="auto"/>
        <w:jc w:val="both"/>
        <w:rPr>
          <w:rFonts w:asciiTheme="majorHAnsi" w:hAnsiTheme="majorHAnsi"/>
          <w:b/>
          <w:color w:val="FFFFFF" w:themeColor="background1"/>
          <w:shd w:val="clear" w:color="auto" w:fill="7030A0"/>
          <w:lang w:val="en-GB"/>
        </w:rPr>
      </w:pPr>
    </w:p>
    <w:p w14:paraId="4BF249F9" w14:textId="77777777" w:rsidR="008C552E" w:rsidRDefault="008C552E" w:rsidP="00E35214">
      <w:pPr>
        <w:pBdr>
          <w:bottom w:val="dotted" w:sz="36" w:space="1" w:color="auto"/>
        </w:pBdr>
        <w:shd w:val="clear" w:color="auto" w:fill="FFFFFF" w:themeFill="background1"/>
        <w:jc w:val="both"/>
        <w:rPr>
          <w:rFonts w:asciiTheme="majorHAnsi" w:hAnsiTheme="majorHAnsi"/>
          <w:bCs/>
          <w:lang w:val="en-US"/>
        </w:rPr>
      </w:pPr>
    </w:p>
    <w:p w14:paraId="4376734D" w14:textId="116242D3" w:rsidR="00624AFF" w:rsidRPr="00A65406" w:rsidRDefault="00A65406" w:rsidP="00E35214">
      <w:pPr>
        <w:pStyle w:val="Heading1"/>
        <w:shd w:val="clear" w:color="auto" w:fill="002060"/>
        <w:rPr>
          <w:rFonts w:eastAsia="Calibri" w:cs="Times New Roman"/>
          <w:color w:val="FFFFFF" w:themeColor="background1"/>
          <w:sz w:val="24"/>
          <w:szCs w:val="22"/>
          <w:lang w:val="en-GB"/>
        </w:rPr>
      </w:pPr>
      <w:bookmarkStart w:id="28" w:name="_Ref467166183"/>
      <w:r w:rsidRPr="00A65406">
        <w:rPr>
          <w:color w:val="FFFFFF" w:themeColor="background1"/>
          <w:sz w:val="36"/>
          <w:lang w:val="en-GB"/>
        </w:rPr>
        <w:t>SEXUAL ORIENTATION AND GENDER IDENTITY</w:t>
      </w:r>
      <w:bookmarkEnd w:id="20"/>
      <w:bookmarkEnd w:id="21"/>
      <w:bookmarkEnd w:id="22"/>
      <w:bookmarkEnd w:id="23"/>
      <w:bookmarkEnd w:id="28"/>
    </w:p>
    <w:p w14:paraId="7E155866" w14:textId="77777777" w:rsidR="008C552E" w:rsidRPr="008A40FD" w:rsidRDefault="008C552E" w:rsidP="008C552E">
      <w:pPr>
        <w:rPr>
          <w:rFonts w:asciiTheme="majorHAnsi" w:hAnsiTheme="majorHAnsi"/>
          <w:lang w:val="en-US"/>
        </w:rPr>
      </w:pPr>
    </w:p>
    <w:p w14:paraId="13ED2DA1" w14:textId="77777777" w:rsidR="008C552E" w:rsidRPr="00372A59" w:rsidRDefault="008C552E" w:rsidP="008C552E">
      <w:pPr>
        <w:pStyle w:val="Heading2"/>
        <w:rPr>
          <w:lang w:val="en-GB"/>
        </w:rPr>
      </w:pPr>
      <w:bookmarkStart w:id="29" w:name="_Ref471484430"/>
      <w:r w:rsidRPr="00372A59">
        <w:rPr>
          <w:lang w:val="en-GB"/>
        </w:rPr>
        <w:t>Publications, funding opportunities and events</w:t>
      </w:r>
      <w:bookmarkEnd w:id="29"/>
    </w:p>
    <w:p w14:paraId="56E2EDB7" w14:textId="77777777" w:rsidR="006E6038" w:rsidRDefault="006E6038" w:rsidP="006E6038">
      <w:pPr>
        <w:tabs>
          <w:tab w:val="left" w:pos="1590"/>
        </w:tabs>
        <w:rPr>
          <w:rFonts w:asciiTheme="majorHAnsi" w:hAnsiTheme="majorHAnsi"/>
          <w:lang w:val="en-GB"/>
        </w:rPr>
      </w:pPr>
    </w:p>
    <w:p w14:paraId="0856FBBC" w14:textId="4DA6F41D" w:rsidR="006E6038" w:rsidRPr="006E6038" w:rsidRDefault="006E6038" w:rsidP="006E6038">
      <w:pPr>
        <w:shd w:val="clear" w:color="auto" w:fill="F2F2F2" w:themeFill="background1" w:themeFillShade="F2"/>
        <w:tabs>
          <w:tab w:val="left" w:pos="1590"/>
        </w:tabs>
        <w:rPr>
          <w:rFonts w:asciiTheme="majorHAnsi" w:hAnsiTheme="majorHAnsi"/>
          <w:lang w:val="en-GB"/>
        </w:rPr>
      </w:pPr>
      <w:r w:rsidRPr="006E6038">
        <w:rPr>
          <w:rFonts w:asciiTheme="majorHAnsi" w:hAnsiTheme="majorHAnsi"/>
          <w:b/>
          <w:color w:val="FFFFFF" w:themeColor="background1"/>
          <w:shd w:val="clear" w:color="auto" w:fill="7030A0"/>
          <w:lang w:val="en-GB"/>
        </w:rPr>
        <w:t>PUBLICATION</w:t>
      </w:r>
      <w:r w:rsidRPr="006E6038">
        <w:rPr>
          <w:rFonts w:asciiTheme="majorHAnsi" w:hAnsiTheme="majorHAnsi"/>
          <w:lang w:val="en-GB"/>
        </w:rPr>
        <w:t xml:space="preserve"> </w:t>
      </w:r>
      <w:r w:rsidRPr="006E6038">
        <w:rPr>
          <w:rFonts w:asciiTheme="majorHAnsi" w:hAnsiTheme="majorHAnsi"/>
          <w:b/>
          <w:lang w:val="en-GB"/>
        </w:rPr>
        <w:t>Council of Europe</w:t>
      </w:r>
      <w:r w:rsidRPr="006E6038">
        <w:rPr>
          <w:rFonts w:asciiTheme="majorHAnsi" w:hAnsiTheme="majorHAnsi"/>
          <w:lang w:val="en-GB"/>
        </w:rPr>
        <w:t xml:space="preserve"> - </w:t>
      </w:r>
      <w:hyperlink r:id="rId42" w:history="1">
        <w:r w:rsidRPr="006E6038">
          <w:rPr>
            <w:rStyle w:val="Hyperlink"/>
            <w:rFonts w:asciiTheme="majorHAnsi" w:hAnsiTheme="majorHAnsi"/>
            <w:lang w:val="en-GB"/>
          </w:rPr>
          <w:t>Equal opportunities for all children: Non-discrimination of lesbian, gay, bisexual, transgender and intersex (LGBTI) children and young people</w:t>
        </w:r>
      </w:hyperlink>
    </w:p>
    <w:p w14:paraId="3C9460A2" w14:textId="6310F39E" w:rsidR="00A975CF" w:rsidRPr="00123004" w:rsidRDefault="00A975CF" w:rsidP="00123004">
      <w:pPr>
        <w:pBdr>
          <w:bottom w:val="dotted" w:sz="36" w:space="1" w:color="auto"/>
        </w:pBdr>
        <w:spacing w:line="240" w:lineRule="auto"/>
        <w:jc w:val="both"/>
        <w:rPr>
          <w:rFonts w:asciiTheme="majorHAnsi" w:hAnsiTheme="majorHAnsi" w:cs="Arial"/>
          <w:color w:val="333333"/>
          <w:shd w:val="clear" w:color="auto" w:fill="FFFFFF"/>
          <w:lang w:val="en-GB"/>
        </w:rPr>
      </w:pPr>
    </w:p>
    <w:p w14:paraId="298670E3" w14:textId="77777777" w:rsidR="0034362B" w:rsidRPr="00372A59" w:rsidRDefault="0034362B" w:rsidP="00FE2B06">
      <w:pPr>
        <w:spacing w:line="240" w:lineRule="auto"/>
        <w:jc w:val="both"/>
        <w:rPr>
          <w:rFonts w:asciiTheme="majorHAnsi" w:hAnsiTheme="majorHAnsi"/>
          <w:lang w:val="en-GB"/>
        </w:rPr>
      </w:pPr>
    </w:p>
    <w:p w14:paraId="11326F81" w14:textId="6DC10863" w:rsidR="00EF446F" w:rsidRPr="00E41F72" w:rsidRDefault="00E41F72" w:rsidP="00E41F72">
      <w:pPr>
        <w:pStyle w:val="Heading1"/>
        <w:shd w:val="clear" w:color="auto" w:fill="002060"/>
        <w:rPr>
          <w:color w:val="FFFFFF" w:themeColor="background1"/>
          <w:sz w:val="36"/>
          <w:lang w:val="en-GB"/>
        </w:rPr>
      </w:pPr>
      <w:bookmarkStart w:id="30" w:name="_Toc418770750"/>
      <w:bookmarkStart w:id="31" w:name="_Ref418784334"/>
      <w:bookmarkStart w:id="32" w:name="_Ref421267538"/>
      <w:bookmarkStart w:id="33" w:name="_Ref467166187"/>
      <w:bookmarkStart w:id="34" w:name="_Ref471484431"/>
      <w:r w:rsidRPr="00E41F72">
        <w:rPr>
          <w:color w:val="FFFFFF" w:themeColor="background1"/>
          <w:sz w:val="36"/>
          <w:lang w:val="en-GB"/>
        </w:rPr>
        <w:t>DISABILITY</w:t>
      </w:r>
      <w:bookmarkEnd w:id="30"/>
      <w:bookmarkEnd w:id="31"/>
      <w:bookmarkEnd w:id="32"/>
      <w:bookmarkEnd w:id="33"/>
      <w:bookmarkEnd w:id="34"/>
    </w:p>
    <w:p w14:paraId="484E684E" w14:textId="6EB334DE" w:rsidR="00E41F72" w:rsidRDefault="00E41F72" w:rsidP="00EF446F">
      <w:pPr>
        <w:rPr>
          <w:rFonts w:asciiTheme="majorHAnsi" w:hAnsiTheme="majorHAnsi"/>
          <w:color w:val="C45911" w:themeColor="accent2" w:themeShade="BF"/>
          <w:lang w:val="en-GB"/>
        </w:rPr>
      </w:pPr>
    </w:p>
    <w:p w14:paraId="137D8763" w14:textId="40A96917" w:rsidR="008C552E" w:rsidRPr="00372A59" w:rsidRDefault="008C552E" w:rsidP="008C552E">
      <w:pPr>
        <w:pStyle w:val="Heading2"/>
        <w:rPr>
          <w:lang w:val="en-GB"/>
        </w:rPr>
      </w:pPr>
      <w:bookmarkStart w:id="35" w:name="_Ref471484432"/>
      <w:r w:rsidRPr="00372A59">
        <w:rPr>
          <w:lang w:val="en-GB"/>
        </w:rPr>
        <w:t>Thematic developments</w:t>
      </w:r>
      <w:bookmarkEnd w:id="35"/>
    </w:p>
    <w:p w14:paraId="4AF42A98" w14:textId="57807E8A" w:rsidR="006E6038" w:rsidRDefault="00303759" w:rsidP="008C552E">
      <w:pPr>
        <w:rPr>
          <w:rFonts w:asciiTheme="majorHAnsi" w:hAnsiTheme="majorHAnsi"/>
          <w:lang w:val="en-GB"/>
        </w:rPr>
      </w:pPr>
      <w:r>
        <w:rPr>
          <w:noProof/>
          <w:lang w:eastAsia="fr-BE"/>
        </w:rPr>
        <w:drawing>
          <wp:anchor distT="0" distB="0" distL="114300" distR="114300" simplePos="0" relativeHeight="251666432" behindDoc="0" locked="0" layoutInCell="1" allowOverlap="1" wp14:anchorId="16F22929" wp14:editId="606FF6DB">
            <wp:simplePos x="0" y="0"/>
            <wp:positionH relativeFrom="margin">
              <wp:posOffset>4505325</wp:posOffset>
            </wp:positionH>
            <wp:positionV relativeFrom="margin">
              <wp:posOffset>3324225</wp:posOffset>
            </wp:positionV>
            <wp:extent cx="1571625" cy="1208405"/>
            <wp:effectExtent l="0" t="0" r="9525" b="0"/>
            <wp:wrapSquare wrapText="bothSides"/>
            <wp:docPr id="5" name="Picture 5" descr="http://www.coe.int/coe-2014-theme/images/coe/coe-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coe-2014-theme/images/coe/coe-logo-blu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71625"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2FA46" w14:textId="1A5C06E0" w:rsidR="006E6038" w:rsidRPr="006E6038" w:rsidRDefault="006E6038" w:rsidP="006E6038">
      <w:pPr>
        <w:shd w:val="clear" w:color="auto" w:fill="F2F2F2" w:themeFill="background1" w:themeFillShade="F2"/>
        <w:rPr>
          <w:rFonts w:asciiTheme="majorHAnsi" w:hAnsiTheme="majorHAnsi"/>
          <w:b/>
          <w:sz w:val="24"/>
          <w:lang w:val="en-US"/>
        </w:rPr>
      </w:pPr>
      <w:r w:rsidRPr="006E6038">
        <w:rPr>
          <w:rFonts w:asciiTheme="majorHAnsi" w:hAnsiTheme="majorHAnsi"/>
          <w:b/>
          <w:sz w:val="24"/>
          <w:lang w:val="en-US"/>
        </w:rPr>
        <w:t>Council of Europe: new Strategy on the Rights of Persons with Disabilities</w:t>
      </w:r>
      <w:r w:rsidR="00D41AAD" w:rsidRPr="00D41AAD">
        <w:rPr>
          <w:noProof/>
          <w:lang w:val="en-US" w:eastAsia="fr-BE"/>
        </w:rPr>
        <w:t xml:space="preserve"> </w:t>
      </w:r>
      <w:bookmarkStart w:id="36" w:name="_GoBack"/>
      <w:bookmarkEnd w:id="36"/>
    </w:p>
    <w:p w14:paraId="26C46C1A" w14:textId="445701FB" w:rsidR="006E6038" w:rsidRDefault="006E6038" w:rsidP="006E6038">
      <w:pPr>
        <w:shd w:val="clear" w:color="auto" w:fill="F2F2F2" w:themeFill="background1" w:themeFillShade="F2"/>
        <w:rPr>
          <w:rFonts w:asciiTheme="majorHAnsi" w:hAnsiTheme="majorHAnsi"/>
          <w:lang w:val="en-US"/>
        </w:rPr>
      </w:pPr>
      <w:r>
        <w:rPr>
          <w:rFonts w:asciiTheme="majorHAnsi" w:hAnsiTheme="majorHAnsi"/>
          <w:lang w:val="en-US"/>
        </w:rPr>
        <w:t xml:space="preserve">The Council of Europe adopted its new </w:t>
      </w:r>
      <w:r w:rsidRPr="006E6038">
        <w:rPr>
          <w:rFonts w:asciiTheme="majorHAnsi" w:hAnsiTheme="majorHAnsi"/>
          <w:b/>
          <w:lang w:val="en-US"/>
        </w:rPr>
        <w:t>Strategy on the Rights of Persons with Disabilities 2017-2023</w:t>
      </w:r>
      <w:r>
        <w:rPr>
          <w:rFonts w:asciiTheme="majorHAnsi" w:hAnsiTheme="majorHAnsi"/>
          <w:b/>
          <w:lang w:val="en-US"/>
        </w:rPr>
        <w:t>. It focuses on 5 priority areas</w:t>
      </w:r>
      <w:r w:rsidRPr="006E6038">
        <w:rPr>
          <w:rFonts w:asciiTheme="majorHAnsi" w:hAnsiTheme="majorHAnsi"/>
          <w:lang w:val="en-US"/>
        </w:rPr>
        <w:t>, linked to the European Convention on Human Rights and other Council of Europe standards promoti</w:t>
      </w:r>
      <w:r>
        <w:rPr>
          <w:rFonts w:asciiTheme="majorHAnsi" w:hAnsiTheme="majorHAnsi"/>
          <w:lang w:val="en-US"/>
        </w:rPr>
        <w:t>ng and protecting human rights:</w:t>
      </w:r>
      <w:r>
        <w:rPr>
          <w:rFonts w:asciiTheme="majorHAnsi" w:hAnsiTheme="majorHAnsi"/>
          <w:lang w:val="en-US"/>
        </w:rPr>
        <w:tab/>
      </w:r>
      <w:r>
        <w:rPr>
          <w:rFonts w:asciiTheme="majorHAnsi" w:hAnsiTheme="majorHAnsi"/>
          <w:lang w:val="en-US"/>
        </w:rPr>
        <w:br/>
      </w:r>
      <w:r>
        <w:rPr>
          <w:rFonts w:asciiTheme="majorHAnsi" w:hAnsiTheme="majorHAnsi"/>
          <w:lang w:val="en-US"/>
        </w:rPr>
        <w:br/>
        <w:t xml:space="preserve">- </w:t>
      </w:r>
      <w:r w:rsidRPr="006E6038">
        <w:rPr>
          <w:rFonts w:asciiTheme="majorHAnsi" w:hAnsiTheme="majorHAnsi"/>
          <w:lang w:val="en-US"/>
        </w:rPr>
        <w:t>Equality and non-discrimination</w:t>
      </w:r>
      <w:r>
        <w:rPr>
          <w:rFonts w:asciiTheme="majorHAnsi" w:hAnsiTheme="majorHAnsi"/>
          <w:lang w:val="en-US"/>
        </w:rPr>
        <w:br/>
        <w:t xml:space="preserve">- </w:t>
      </w:r>
      <w:r w:rsidRPr="006E6038">
        <w:rPr>
          <w:rFonts w:asciiTheme="majorHAnsi" w:hAnsiTheme="majorHAnsi"/>
          <w:lang w:val="en-US"/>
        </w:rPr>
        <w:t>Awareness raising</w:t>
      </w:r>
      <w:r>
        <w:rPr>
          <w:rFonts w:asciiTheme="majorHAnsi" w:hAnsiTheme="majorHAnsi"/>
          <w:lang w:val="en-US"/>
        </w:rPr>
        <w:br/>
        <w:t xml:space="preserve">- </w:t>
      </w:r>
      <w:r w:rsidRPr="006E6038">
        <w:rPr>
          <w:rFonts w:asciiTheme="majorHAnsi" w:hAnsiTheme="majorHAnsi"/>
          <w:lang w:val="en-US"/>
        </w:rPr>
        <w:t>Acc</w:t>
      </w:r>
      <w:r>
        <w:rPr>
          <w:rFonts w:asciiTheme="majorHAnsi" w:hAnsiTheme="majorHAnsi"/>
          <w:lang w:val="en-US"/>
        </w:rPr>
        <w:t>essibility</w:t>
      </w:r>
      <w:r>
        <w:rPr>
          <w:rFonts w:asciiTheme="majorHAnsi" w:hAnsiTheme="majorHAnsi"/>
          <w:lang w:val="en-US"/>
        </w:rPr>
        <w:br/>
        <w:t xml:space="preserve">- </w:t>
      </w:r>
      <w:r w:rsidRPr="006E6038">
        <w:rPr>
          <w:rFonts w:asciiTheme="majorHAnsi" w:hAnsiTheme="majorHAnsi"/>
          <w:lang w:val="en-US"/>
        </w:rPr>
        <w:t>Equal Recognition before the law</w:t>
      </w:r>
      <w:r>
        <w:rPr>
          <w:rFonts w:asciiTheme="majorHAnsi" w:hAnsiTheme="majorHAnsi"/>
          <w:lang w:val="en-US"/>
        </w:rPr>
        <w:br/>
        <w:t xml:space="preserve">- </w:t>
      </w:r>
      <w:r w:rsidRPr="006E6038">
        <w:rPr>
          <w:rFonts w:asciiTheme="majorHAnsi" w:hAnsiTheme="majorHAnsi"/>
          <w:lang w:val="en-US"/>
        </w:rPr>
        <w:t>Freedom from exploitation, violence and abuse</w:t>
      </w:r>
    </w:p>
    <w:p w14:paraId="26C61F25" w14:textId="1954F784" w:rsidR="003C198E" w:rsidRDefault="003C198E" w:rsidP="003C198E">
      <w:pPr>
        <w:shd w:val="clear" w:color="auto" w:fill="F2F2F2" w:themeFill="background1" w:themeFillShade="F2"/>
        <w:jc w:val="both"/>
        <w:rPr>
          <w:rFonts w:asciiTheme="majorHAnsi" w:hAnsiTheme="majorHAnsi"/>
          <w:lang w:val="en-US"/>
        </w:rPr>
      </w:pPr>
      <w:r>
        <w:rPr>
          <w:rFonts w:asciiTheme="majorHAnsi" w:hAnsiTheme="majorHAnsi"/>
          <w:lang w:val="en-US"/>
        </w:rPr>
        <w:t xml:space="preserve">The area of equality and non-discrimination promotes </w:t>
      </w:r>
      <w:r w:rsidRPr="003C198E">
        <w:rPr>
          <w:rFonts w:asciiTheme="majorHAnsi" w:hAnsiTheme="majorHAnsi"/>
          <w:b/>
          <w:lang w:val="en-US"/>
        </w:rPr>
        <w:t>“the setting up of strong, independent and well-resourced National Human Rights Institutions, Equality Bodies and Ombudsman Institutions ensuring equality and non-discrimination at the national and local level</w:t>
      </w:r>
      <w:r>
        <w:rPr>
          <w:rFonts w:asciiTheme="majorHAnsi" w:hAnsiTheme="majorHAnsi"/>
          <w:b/>
          <w:lang w:val="en-US"/>
        </w:rPr>
        <w:t>s</w:t>
      </w:r>
      <w:r w:rsidRPr="003C198E">
        <w:rPr>
          <w:rFonts w:asciiTheme="majorHAnsi" w:hAnsiTheme="majorHAnsi"/>
          <w:b/>
          <w:lang w:val="en-US"/>
        </w:rPr>
        <w:t>”</w:t>
      </w:r>
      <w:r>
        <w:rPr>
          <w:rFonts w:asciiTheme="majorHAnsi" w:hAnsiTheme="majorHAnsi"/>
          <w:b/>
          <w:lang w:val="en-US"/>
        </w:rPr>
        <w:t xml:space="preserve">. </w:t>
      </w:r>
    </w:p>
    <w:p w14:paraId="28EBC127" w14:textId="522FF78B" w:rsidR="006E6038" w:rsidRPr="006E6038" w:rsidRDefault="006E6038" w:rsidP="006E6038">
      <w:pPr>
        <w:shd w:val="clear" w:color="auto" w:fill="F2F2F2" w:themeFill="background1" w:themeFillShade="F2"/>
        <w:rPr>
          <w:rFonts w:asciiTheme="majorHAnsi" w:hAnsiTheme="majorHAnsi"/>
          <w:lang w:val="en-US"/>
        </w:rPr>
      </w:pPr>
      <w:r>
        <w:rPr>
          <w:rFonts w:asciiTheme="majorHAnsi" w:hAnsiTheme="majorHAnsi"/>
          <w:lang w:val="en-US"/>
        </w:rPr>
        <w:t xml:space="preserve">It also </w:t>
      </w:r>
      <w:r w:rsidRPr="006E6038">
        <w:rPr>
          <w:rFonts w:asciiTheme="majorHAnsi" w:hAnsiTheme="majorHAnsi"/>
          <w:lang w:val="en-US"/>
        </w:rPr>
        <w:t>identi</w:t>
      </w:r>
      <w:r>
        <w:rPr>
          <w:rFonts w:asciiTheme="majorHAnsi" w:hAnsiTheme="majorHAnsi"/>
          <w:lang w:val="en-US"/>
        </w:rPr>
        <w:t xml:space="preserve">fies </w:t>
      </w:r>
      <w:r w:rsidRPr="006E6038">
        <w:rPr>
          <w:rFonts w:asciiTheme="majorHAnsi" w:hAnsiTheme="majorHAnsi"/>
          <w:b/>
          <w:lang w:val="en-US"/>
        </w:rPr>
        <w:t>5 cross-cutting issues</w:t>
      </w:r>
      <w:r>
        <w:rPr>
          <w:rFonts w:asciiTheme="majorHAnsi" w:hAnsiTheme="majorHAnsi"/>
          <w:lang w:val="en-US"/>
        </w:rPr>
        <w:t>:</w:t>
      </w:r>
    </w:p>
    <w:p w14:paraId="1107B01D" w14:textId="30F1511F" w:rsidR="006E6038" w:rsidRDefault="006E6038" w:rsidP="006E6038">
      <w:pPr>
        <w:shd w:val="clear" w:color="auto" w:fill="F2F2F2" w:themeFill="background1" w:themeFillShade="F2"/>
        <w:rPr>
          <w:rFonts w:asciiTheme="majorHAnsi" w:hAnsiTheme="majorHAnsi"/>
          <w:lang w:val="en-US"/>
        </w:rPr>
      </w:pPr>
      <w:r w:rsidRPr="006E6038">
        <w:rPr>
          <w:rFonts w:asciiTheme="majorHAnsi" w:hAnsiTheme="majorHAnsi"/>
          <w:lang w:val="en-US"/>
        </w:rPr>
        <w:t>-</w:t>
      </w:r>
      <w:r>
        <w:rPr>
          <w:rFonts w:asciiTheme="majorHAnsi" w:hAnsiTheme="majorHAnsi"/>
          <w:lang w:val="en-US"/>
        </w:rPr>
        <w:t xml:space="preserve"> Participation, co</w:t>
      </w:r>
      <w:r w:rsidRPr="006E6038">
        <w:rPr>
          <w:rFonts w:asciiTheme="majorHAnsi" w:hAnsiTheme="majorHAnsi"/>
          <w:lang w:val="en-US"/>
        </w:rPr>
        <w:t>operation and coordination</w:t>
      </w:r>
      <w:r>
        <w:rPr>
          <w:rFonts w:asciiTheme="majorHAnsi" w:hAnsiTheme="majorHAnsi"/>
          <w:lang w:val="en-US"/>
        </w:rPr>
        <w:br/>
        <w:t xml:space="preserve">- </w:t>
      </w:r>
      <w:r w:rsidRPr="006E6038">
        <w:rPr>
          <w:rFonts w:asciiTheme="majorHAnsi" w:hAnsiTheme="majorHAnsi"/>
          <w:lang w:val="en-US"/>
        </w:rPr>
        <w:t>Universal Desi</w:t>
      </w:r>
      <w:r>
        <w:rPr>
          <w:rFonts w:asciiTheme="majorHAnsi" w:hAnsiTheme="majorHAnsi"/>
          <w:lang w:val="en-US"/>
        </w:rPr>
        <w:t>gn and reasonable accommodation</w:t>
      </w:r>
      <w:r>
        <w:rPr>
          <w:rFonts w:asciiTheme="majorHAnsi" w:hAnsiTheme="majorHAnsi"/>
          <w:lang w:val="en-US"/>
        </w:rPr>
        <w:br/>
        <w:t>- Gender equality perspective</w:t>
      </w:r>
      <w:r>
        <w:rPr>
          <w:rFonts w:asciiTheme="majorHAnsi" w:hAnsiTheme="majorHAnsi"/>
          <w:lang w:val="en-US"/>
        </w:rPr>
        <w:br/>
        <w:t xml:space="preserve">- </w:t>
      </w:r>
      <w:r w:rsidRPr="006E6038">
        <w:rPr>
          <w:rFonts w:asciiTheme="majorHAnsi" w:hAnsiTheme="majorHAnsi"/>
          <w:lang w:val="en-US"/>
        </w:rPr>
        <w:t xml:space="preserve">Multiple </w:t>
      </w:r>
      <w:r>
        <w:rPr>
          <w:rFonts w:asciiTheme="majorHAnsi" w:hAnsiTheme="majorHAnsi"/>
          <w:lang w:val="en-US"/>
        </w:rPr>
        <w:t>discrimination</w:t>
      </w:r>
      <w:r>
        <w:rPr>
          <w:rFonts w:asciiTheme="majorHAnsi" w:hAnsiTheme="majorHAnsi"/>
          <w:lang w:val="en-US"/>
        </w:rPr>
        <w:br/>
        <w:t xml:space="preserve">- </w:t>
      </w:r>
      <w:r w:rsidRPr="006E6038">
        <w:rPr>
          <w:rFonts w:asciiTheme="majorHAnsi" w:hAnsiTheme="majorHAnsi"/>
          <w:lang w:val="en-US"/>
        </w:rPr>
        <w:t>Education and training</w:t>
      </w:r>
    </w:p>
    <w:p w14:paraId="0A649051" w14:textId="0A4EFAA9" w:rsidR="00D41AAD" w:rsidRPr="006E6038" w:rsidRDefault="00D41AAD" w:rsidP="006E6038">
      <w:pPr>
        <w:shd w:val="clear" w:color="auto" w:fill="F2F2F2" w:themeFill="background1" w:themeFillShade="F2"/>
        <w:rPr>
          <w:rFonts w:asciiTheme="majorHAnsi" w:hAnsiTheme="majorHAnsi"/>
          <w:lang w:val="en-US"/>
        </w:rPr>
      </w:pPr>
      <w:r>
        <w:rPr>
          <w:rFonts w:asciiTheme="majorHAnsi" w:hAnsiTheme="majorHAnsi"/>
          <w:lang w:val="en-US"/>
        </w:rPr>
        <w:t xml:space="preserve">The full strategy is available </w:t>
      </w:r>
      <w:hyperlink r:id="rId44" w:history="1">
        <w:r w:rsidRPr="00D41AAD">
          <w:rPr>
            <w:rStyle w:val="Hyperlink"/>
            <w:rFonts w:asciiTheme="majorHAnsi" w:hAnsiTheme="majorHAnsi"/>
            <w:lang w:val="en-US"/>
          </w:rPr>
          <w:t>here</w:t>
        </w:r>
      </w:hyperlink>
      <w:r>
        <w:rPr>
          <w:rFonts w:asciiTheme="majorHAnsi" w:hAnsiTheme="majorHAnsi"/>
          <w:lang w:val="en-US"/>
        </w:rPr>
        <w:t xml:space="preserve">. </w:t>
      </w:r>
    </w:p>
    <w:p w14:paraId="1412E78E" w14:textId="77777777" w:rsidR="006E6038" w:rsidRDefault="006E6038" w:rsidP="006E6038">
      <w:pPr>
        <w:rPr>
          <w:lang w:val="en-GB"/>
        </w:rPr>
      </w:pPr>
    </w:p>
    <w:p w14:paraId="41CFDA65" w14:textId="77777777" w:rsidR="00E03E62" w:rsidRDefault="00E03E62" w:rsidP="008C552E">
      <w:pPr>
        <w:pStyle w:val="Heading2"/>
        <w:rPr>
          <w:lang w:val="en-GB"/>
        </w:rPr>
      </w:pPr>
      <w:bookmarkStart w:id="37" w:name="_Ref471484434"/>
    </w:p>
    <w:p w14:paraId="3EED965E" w14:textId="77777777" w:rsidR="008C552E" w:rsidRPr="00372A59" w:rsidRDefault="008C552E" w:rsidP="008C552E">
      <w:pPr>
        <w:pStyle w:val="Heading2"/>
        <w:rPr>
          <w:lang w:val="en-GB"/>
        </w:rPr>
      </w:pPr>
      <w:r w:rsidRPr="00372A59">
        <w:rPr>
          <w:lang w:val="en-GB"/>
        </w:rPr>
        <w:t>Publications, funding opportunities and events</w:t>
      </w:r>
      <w:bookmarkEnd w:id="37"/>
    </w:p>
    <w:p w14:paraId="57571B0C" w14:textId="77777777" w:rsidR="008C552E" w:rsidRPr="008C552E" w:rsidRDefault="008C552E" w:rsidP="008C552E">
      <w:pPr>
        <w:pStyle w:val="NoSpacing"/>
        <w:rPr>
          <w:b/>
          <w:shd w:val="clear" w:color="auto" w:fill="7030A0"/>
          <w:lang w:val="en-GB"/>
        </w:rPr>
      </w:pPr>
    </w:p>
    <w:p w14:paraId="6F6B01E7" w14:textId="07C85691" w:rsidR="006D3CD5" w:rsidRPr="00D41AAD" w:rsidRDefault="008C552E" w:rsidP="00B42F0D">
      <w:pPr>
        <w:shd w:val="clear" w:color="auto" w:fill="F2F2F2" w:themeFill="background1" w:themeFillShade="F2"/>
        <w:spacing w:line="240" w:lineRule="auto"/>
        <w:jc w:val="both"/>
        <w:rPr>
          <w:rFonts w:asciiTheme="majorHAnsi" w:hAnsiTheme="majorHAnsi"/>
          <w:highlight w:val="magenta"/>
          <w:lang w:val="en-GB"/>
        </w:rPr>
      </w:pPr>
      <w:r w:rsidRPr="00D41AAD">
        <w:rPr>
          <w:rFonts w:asciiTheme="majorHAnsi" w:hAnsiTheme="majorHAnsi"/>
          <w:b/>
          <w:color w:val="FFFFFF" w:themeColor="background1"/>
          <w:shd w:val="clear" w:color="auto" w:fill="7030A0"/>
          <w:lang w:val="en-GB"/>
        </w:rPr>
        <w:t>PUBLICATION</w:t>
      </w:r>
      <w:r w:rsidR="00D41AAD" w:rsidRPr="00B42F0D">
        <w:rPr>
          <w:rFonts w:asciiTheme="majorHAnsi" w:hAnsiTheme="majorHAnsi"/>
          <w:b/>
          <w:color w:val="FFFFFF" w:themeColor="background1"/>
          <w:shd w:val="clear" w:color="auto" w:fill="F2F2F2" w:themeFill="background1" w:themeFillShade="F2"/>
          <w:lang w:val="en-GB"/>
        </w:rPr>
        <w:t xml:space="preserve"> </w:t>
      </w:r>
      <w:r w:rsidR="00D41AAD" w:rsidRPr="00D41AAD">
        <w:rPr>
          <w:rFonts w:asciiTheme="majorHAnsi" w:hAnsiTheme="majorHAnsi"/>
          <w:b/>
          <w:lang w:val="en-GB"/>
        </w:rPr>
        <w:t>European Equality Law Network</w:t>
      </w:r>
      <w:r w:rsidR="00D41AAD" w:rsidRPr="00D41AAD">
        <w:rPr>
          <w:rFonts w:asciiTheme="majorHAnsi" w:hAnsiTheme="majorHAnsi"/>
          <w:lang w:val="en-GB"/>
        </w:rPr>
        <w:t xml:space="preserve"> - </w:t>
      </w:r>
      <w:hyperlink r:id="rId45" w:history="1">
        <w:r w:rsidR="00D41AAD" w:rsidRPr="00D41AAD">
          <w:rPr>
            <w:rStyle w:val="Hyperlink"/>
            <w:rFonts w:asciiTheme="majorHAnsi" w:hAnsiTheme="majorHAnsi"/>
            <w:lang w:val="en-GB"/>
          </w:rPr>
          <w:t>Supporting persons with psychosocial disabilities at the workplace</w:t>
        </w:r>
      </w:hyperlink>
    </w:p>
    <w:p w14:paraId="31B82331" w14:textId="77777777" w:rsidR="006E6038" w:rsidRPr="00372A59" w:rsidRDefault="006E6038" w:rsidP="006D3CD5">
      <w:pPr>
        <w:pBdr>
          <w:bottom w:val="dotted" w:sz="36" w:space="1" w:color="auto"/>
        </w:pBdr>
        <w:jc w:val="both"/>
        <w:rPr>
          <w:rFonts w:asciiTheme="majorHAnsi" w:hAnsiTheme="majorHAnsi"/>
          <w:lang w:val="en-GB"/>
        </w:rPr>
      </w:pPr>
    </w:p>
    <w:p w14:paraId="64DE2EAD" w14:textId="1E26A74F" w:rsidR="00EF446F" w:rsidRPr="00BD3ED5" w:rsidRDefault="006D3CD5" w:rsidP="00E03E62">
      <w:pPr>
        <w:pStyle w:val="Heading1"/>
        <w:shd w:val="clear" w:color="auto" w:fill="002060"/>
        <w:rPr>
          <w:color w:val="FFFFFF" w:themeColor="background1"/>
          <w:sz w:val="36"/>
          <w:lang w:val="en-GB"/>
        </w:rPr>
      </w:pPr>
      <w:bookmarkStart w:id="38" w:name="_Ref467166194"/>
      <w:r w:rsidRPr="00BD3ED5">
        <w:rPr>
          <w:color w:val="FFFFFF" w:themeColor="background1"/>
          <w:sz w:val="36"/>
          <w:lang w:val="en-GB"/>
        </w:rPr>
        <w:t>ASYLUM AND MIGRATION</w:t>
      </w:r>
      <w:bookmarkEnd w:id="38"/>
    </w:p>
    <w:p w14:paraId="774A74FC" w14:textId="77777777" w:rsidR="006D3CD5" w:rsidRDefault="006D3CD5" w:rsidP="00EF446F">
      <w:pPr>
        <w:rPr>
          <w:rFonts w:asciiTheme="majorHAnsi" w:hAnsiTheme="majorHAnsi"/>
          <w:color w:val="C45911" w:themeColor="accent2" w:themeShade="BF"/>
          <w:lang w:val="en-GB"/>
        </w:rPr>
      </w:pPr>
    </w:p>
    <w:p w14:paraId="66229ADE" w14:textId="74922ED5" w:rsidR="008C552E" w:rsidRDefault="008C552E" w:rsidP="00C842A8">
      <w:pPr>
        <w:pStyle w:val="Heading2"/>
        <w:rPr>
          <w:lang w:val="en-GB"/>
        </w:rPr>
      </w:pPr>
      <w:bookmarkStart w:id="39" w:name="_Ref471484435"/>
      <w:r w:rsidRPr="00372A59">
        <w:rPr>
          <w:lang w:val="en-GB"/>
        </w:rPr>
        <w:t>Publications, funding opportunities and events</w:t>
      </w:r>
      <w:bookmarkEnd w:id="39"/>
    </w:p>
    <w:p w14:paraId="271BA1F5" w14:textId="77777777" w:rsidR="00C842A8" w:rsidRPr="00C842A8" w:rsidRDefault="00C842A8" w:rsidP="00C842A8">
      <w:pPr>
        <w:rPr>
          <w:lang w:val="en-GB"/>
        </w:rPr>
      </w:pPr>
    </w:p>
    <w:p w14:paraId="732ADE38" w14:textId="34DFCA65" w:rsidR="00C842A8" w:rsidRDefault="00C842A8" w:rsidP="00B42F0D">
      <w:pPr>
        <w:shd w:val="clear" w:color="auto" w:fill="F2F2F2" w:themeFill="background1" w:themeFillShade="F2"/>
        <w:spacing w:line="240" w:lineRule="auto"/>
        <w:jc w:val="both"/>
        <w:rPr>
          <w:rFonts w:asciiTheme="majorHAnsi" w:hAnsiTheme="majorHAnsi"/>
          <w:lang w:val="en-US"/>
        </w:rPr>
      </w:pPr>
      <w:r w:rsidRPr="005240BC">
        <w:rPr>
          <w:rFonts w:asciiTheme="majorHAnsi" w:eastAsia="Calibri" w:hAnsiTheme="majorHAnsi" w:cs="Times New Roman"/>
          <w:b/>
          <w:color w:val="FFFFFF" w:themeColor="background1"/>
          <w:shd w:val="clear" w:color="auto" w:fill="00B050"/>
          <w:lang w:val="en-GB"/>
        </w:rPr>
        <w:t>FUNDING OPPORTUNITIES</w:t>
      </w:r>
      <w:r w:rsidRPr="005240BC">
        <w:rPr>
          <w:rFonts w:asciiTheme="majorHAnsi" w:eastAsia="Calibri" w:hAnsiTheme="majorHAnsi" w:cs="Times New Roman"/>
          <w:b/>
          <w:color w:val="FFFFFF" w:themeColor="background1"/>
          <w:lang w:val="en-GB"/>
        </w:rPr>
        <w:t xml:space="preserve"> </w:t>
      </w:r>
      <w:r w:rsidRPr="005240BC">
        <w:rPr>
          <w:rFonts w:asciiTheme="majorHAnsi" w:hAnsiTheme="majorHAnsi"/>
          <w:b/>
          <w:lang w:val="en-US"/>
        </w:rPr>
        <w:t>European Commission</w:t>
      </w:r>
      <w:r w:rsidRPr="005240BC">
        <w:rPr>
          <w:rFonts w:asciiTheme="majorHAnsi" w:hAnsiTheme="majorHAnsi"/>
          <w:lang w:val="en-US"/>
        </w:rPr>
        <w:t xml:space="preserve"> - </w:t>
      </w:r>
      <w:hyperlink r:id="rId46" w:history="1">
        <w:r w:rsidRPr="00C842A8">
          <w:rPr>
            <w:rStyle w:val="Hyperlink"/>
            <w:rFonts w:asciiTheme="majorHAnsi" w:hAnsiTheme="majorHAnsi"/>
            <w:lang w:val="en-US"/>
          </w:rPr>
          <w:t xml:space="preserve">Fast track integration into the </w:t>
        </w:r>
        <w:proofErr w:type="spellStart"/>
        <w:r w:rsidRPr="00C842A8">
          <w:rPr>
            <w:rStyle w:val="Hyperlink"/>
            <w:rFonts w:asciiTheme="majorHAnsi" w:hAnsiTheme="majorHAnsi"/>
            <w:lang w:val="en-US"/>
          </w:rPr>
          <w:t>labour</w:t>
        </w:r>
        <w:proofErr w:type="spellEnd"/>
        <w:r w:rsidRPr="00C842A8">
          <w:rPr>
            <w:rStyle w:val="Hyperlink"/>
            <w:rFonts w:asciiTheme="majorHAnsi" w:hAnsiTheme="majorHAnsi"/>
            <w:lang w:val="en-US"/>
          </w:rPr>
          <w:t xml:space="preserve"> market for third country nationals targeting exclusively asylum seekers, refugees and their family members</w:t>
        </w:r>
      </w:hyperlink>
      <w:r w:rsidRPr="005240BC">
        <w:rPr>
          <w:rFonts w:asciiTheme="majorHAnsi" w:hAnsiTheme="majorHAnsi"/>
          <w:lang w:val="en-US"/>
        </w:rPr>
        <w:t xml:space="preserve"> (Deadline: </w:t>
      </w:r>
      <w:r>
        <w:rPr>
          <w:rFonts w:asciiTheme="majorHAnsi" w:hAnsiTheme="majorHAnsi"/>
          <w:lang w:val="en-US"/>
        </w:rPr>
        <w:t>30</w:t>
      </w:r>
      <w:r w:rsidRPr="00C842A8">
        <w:rPr>
          <w:rFonts w:asciiTheme="majorHAnsi" w:hAnsiTheme="majorHAnsi"/>
          <w:vertAlign w:val="superscript"/>
          <w:lang w:val="en-US"/>
        </w:rPr>
        <w:t>th</w:t>
      </w:r>
      <w:r>
        <w:rPr>
          <w:rFonts w:asciiTheme="majorHAnsi" w:hAnsiTheme="majorHAnsi"/>
          <w:lang w:val="en-US"/>
        </w:rPr>
        <w:t xml:space="preserve"> </w:t>
      </w:r>
      <w:r w:rsidRPr="005240BC">
        <w:rPr>
          <w:rFonts w:asciiTheme="majorHAnsi" w:hAnsiTheme="majorHAnsi"/>
          <w:lang w:val="en-US"/>
        </w:rPr>
        <w:t>March 2017)</w:t>
      </w:r>
    </w:p>
    <w:p w14:paraId="51DD7F29" w14:textId="77777777" w:rsidR="00C842A8" w:rsidRDefault="00C842A8" w:rsidP="00C842A8">
      <w:pPr>
        <w:spacing w:line="240" w:lineRule="auto"/>
        <w:jc w:val="both"/>
        <w:rPr>
          <w:b/>
          <w:color w:val="FFFFFF" w:themeColor="background1"/>
          <w:shd w:val="clear" w:color="auto" w:fill="7030A0"/>
          <w:lang w:val="en-GB"/>
        </w:rPr>
      </w:pPr>
    </w:p>
    <w:p w14:paraId="589C1BE0" w14:textId="27F33338" w:rsidR="008C552E" w:rsidRDefault="008C552E" w:rsidP="00B42F0D">
      <w:pPr>
        <w:shd w:val="clear" w:color="auto" w:fill="F2F2F2" w:themeFill="background1" w:themeFillShade="F2"/>
        <w:spacing w:line="240" w:lineRule="auto"/>
        <w:jc w:val="both"/>
        <w:rPr>
          <w:lang w:val="en-GB"/>
        </w:rPr>
      </w:pPr>
      <w:r w:rsidRPr="008C552E">
        <w:rPr>
          <w:b/>
          <w:color w:val="FFFFFF" w:themeColor="background1"/>
          <w:shd w:val="clear" w:color="auto" w:fill="7030A0"/>
          <w:lang w:val="en-GB"/>
        </w:rPr>
        <w:t>PUBLICATION</w:t>
      </w:r>
      <w:r w:rsidR="00B42F0D" w:rsidRPr="00B42F0D">
        <w:rPr>
          <w:b/>
          <w:color w:val="FFFFFF" w:themeColor="background1"/>
          <w:shd w:val="clear" w:color="auto" w:fill="FFFFFF" w:themeFill="background1"/>
          <w:lang w:val="en-GB"/>
        </w:rPr>
        <w:t xml:space="preserve"> </w:t>
      </w:r>
      <w:r w:rsidR="00B42F0D" w:rsidRPr="00B42F0D">
        <w:rPr>
          <w:b/>
          <w:lang w:val="en-US"/>
        </w:rPr>
        <w:t>EU Fundamental Rights Agency (FRA)</w:t>
      </w:r>
      <w:r w:rsidR="00B42F0D" w:rsidRPr="00B42F0D">
        <w:rPr>
          <w:lang w:val="en-US"/>
        </w:rPr>
        <w:t xml:space="preserve"> - </w:t>
      </w:r>
      <w:hyperlink r:id="rId47" w:history="1">
        <w:r w:rsidR="00B42F0D" w:rsidRPr="00B42F0D">
          <w:rPr>
            <w:rStyle w:val="Hyperlink"/>
            <w:lang w:val="en-GB"/>
          </w:rPr>
          <w:t>Focus on migrant children: Insufficient attention paid to separated migrant children</w:t>
        </w:r>
      </w:hyperlink>
    </w:p>
    <w:p w14:paraId="054FF6E5" w14:textId="77777777" w:rsidR="00B42F0D" w:rsidRDefault="00B42F0D" w:rsidP="00B42F0D">
      <w:pPr>
        <w:pStyle w:val="NoSpacing"/>
        <w:rPr>
          <w:lang w:val="en-GB"/>
        </w:rPr>
      </w:pPr>
    </w:p>
    <w:p w14:paraId="0F6B9B54" w14:textId="7092E481" w:rsidR="00B42F0D" w:rsidRPr="00B42F0D" w:rsidRDefault="00B42F0D" w:rsidP="00B42F0D">
      <w:pPr>
        <w:shd w:val="clear" w:color="auto" w:fill="F2F2F2" w:themeFill="background1" w:themeFillShade="F2"/>
        <w:spacing w:line="240" w:lineRule="auto"/>
        <w:jc w:val="both"/>
        <w:rPr>
          <w:highlight w:val="magenta"/>
          <w:lang w:val="en-US"/>
        </w:rPr>
      </w:pPr>
      <w:r w:rsidRPr="008C552E">
        <w:rPr>
          <w:b/>
          <w:color w:val="FFFFFF" w:themeColor="background1"/>
          <w:shd w:val="clear" w:color="auto" w:fill="7030A0"/>
          <w:lang w:val="en-GB"/>
        </w:rPr>
        <w:t>PUBLICATION</w:t>
      </w:r>
      <w:r w:rsidRPr="00B42F0D">
        <w:rPr>
          <w:b/>
          <w:color w:val="FFFFFF" w:themeColor="background1"/>
          <w:shd w:val="clear" w:color="auto" w:fill="FFFFFF" w:themeFill="background1"/>
          <w:lang w:val="en-GB"/>
        </w:rPr>
        <w:t xml:space="preserve"> </w:t>
      </w:r>
      <w:r>
        <w:rPr>
          <w:b/>
          <w:lang w:val="en-US"/>
        </w:rPr>
        <w:t>European Trade Union Confederation</w:t>
      </w:r>
      <w:r w:rsidRPr="00B42F0D">
        <w:rPr>
          <w:b/>
          <w:lang w:val="en-US"/>
        </w:rPr>
        <w:t xml:space="preserve"> (</w:t>
      </w:r>
      <w:r>
        <w:rPr>
          <w:b/>
          <w:lang w:val="en-US"/>
        </w:rPr>
        <w:t>ETUC</w:t>
      </w:r>
      <w:r w:rsidRPr="00B42F0D">
        <w:rPr>
          <w:b/>
          <w:lang w:val="en-US"/>
        </w:rPr>
        <w:t>)</w:t>
      </w:r>
      <w:r w:rsidRPr="00B42F0D">
        <w:rPr>
          <w:lang w:val="en-US"/>
        </w:rPr>
        <w:t xml:space="preserve"> -</w:t>
      </w:r>
      <w:r>
        <w:rPr>
          <w:lang w:val="en-US"/>
        </w:rPr>
        <w:t xml:space="preserve"> </w:t>
      </w:r>
      <w:hyperlink r:id="rId48" w:anchor=".WG0jelMrLct" w:history="1">
        <w:r w:rsidRPr="00B42F0D">
          <w:rPr>
            <w:rStyle w:val="Hyperlink"/>
            <w:lang w:val="en-US"/>
          </w:rPr>
          <w:t>Defending undocumented workers - Means defending all workers</w:t>
        </w:r>
      </w:hyperlink>
    </w:p>
    <w:p w14:paraId="65A23DB8" w14:textId="77777777" w:rsidR="006A1658" w:rsidRPr="00B42F0D" w:rsidRDefault="006A1658" w:rsidP="000263B4">
      <w:pPr>
        <w:pBdr>
          <w:bottom w:val="dotted" w:sz="36" w:space="1" w:color="auto"/>
        </w:pBdr>
        <w:spacing w:line="240" w:lineRule="auto"/>
        <w:rPr>
          <w:rFonts w:asciiTheme="majorHAnsi" w:hAnsiTheme="majorHAnsi"/>
          <w:lang w:val="en-US"/>
        </w:rPr>
      </w:pPr>
    </w:p>
    <w:p w14:paraId="4E55162F" w14:textId="77777777" w:rsidR="00B42F0D" w:rsidRPr="00372A59" w:rsidRDefault="00B42F0D" w:rsidP="000263B4">
      <w:pPr>
        <w:pBdr>
          <w:bottom w:val="dotted" w:sz="36" w:space="1" w:color="auto"/>
        </w:pBdr>
        <w:spacing w:line="240" w:lineRule="auto"/>
        <w:rPr>
          <w:rFonts w:asciiTheme="majorHAnsi" w:hAnsiTheme="majorHAnsi"/>
          <w:lang w:val="en-GB"/>
        </w:rPr>
      </w:pPr>
    </w:p>
    <w:p w14:paraId="6A49563D" w14:textId="044A1280" w:rsidR="00B07813" w:rsidRPr="00BD3ED5" w:rsidRDefault="00BD3ED5" w:rsidP="00BD3ED5">
      <w:pPr>
        <w:pStyle w:val="Heading1"/>
        <w:shd w:val="clear" w:color="auto" w:fill="002060"/>
        <w:spacing w:line="240" w:lineRule="auto"/>
        <w:rPr>
          <w:color w:val="FFFFFF" w:themeColor="background1"/>
          <w:sz w:val="36"/>
          <w:lang w:val="en-GB"/>
        </w:rPr>
      </w:pPr>
      <w:bookmarkStart w:id="40" w:name="_Toc418770756"/>
      <w:bookmarkStart w:id="41" w:name="_Ref418784375"/>
      <w:bookmarkStart w:id="42" w:name="_Ref421267634"/>
      <w:bookmarkStart w:id="43" w:name="_Ref467166198"/>
      <w:bookmarkStart w:id="44" w:name="_Ref471484436"/>
      <w:r w:rsidRPr="00BD3ED5">
        <w:rPr>
          <w:color w:val="FFFFFF" w:themeColor="background1"/>
          <w:sz w:val="36"/>
          <w:lang w:val="en-GB"/>
        </w:rPr>
        <w:t>RECENT CASE-LAW</w:t>
      </w:r>
      <w:bookmarkEnd w:id="40"/>
      <w:bookmarkEnd w:id="41"/>
      <w:bookmarkEnd w:id="42"/>
      <w:bookmarkEnd w:id="43"/>
      <w:bookmarkEnd w:id="44"/>
    </w:p>
    <w:p w14:paraId="1A7E5E2B" w14:textId="77777777" w:rsidR="00AB116C" w:rsidRPr="00372A59" w:rsidRDefault="00AB116C" w:rsidP="00BD3ED5">
      <w:pPr>
        <w:rPr>
          <w:lang w:val="en-GB"/>
        </w:rPr>
      </w:pPr>
      <w:bookmarkStart w:id="45" w:name="_Toc418770757"/>
      <w:bookmarkStart w:id="46" w:name="_Ref418784385"/>
    </w:p>
    <w:p w14:paraId="3140E384" w14:textId="4093EA88" w:rsidR="00B42F0D" w:rsidRDefault="00B07813" w:rsidP="00D9393C">
      <w:pPr>
        <w:pStyle w:val="Heading2"/>
        <w:spacing w:line="240" w:lineRule="auto"/>
        <w:rPr>
          <w:lang w:val="en-GB"/>
        </w:rPr>
      </w:pPr>
      <w:bookmarkStart w:id="47" w:name="_Ref421267642"/>
      <w:r w:rsidRPr="00372A59">
        <w:rPr>
          <w:lang w:val="en-GB"/>
        </w:rPr>
        <w:t xml:space="preserve">Court of Justice </w:t>
      </w:r>
      <w:r w:rsidR="005330E7">
        <w:rPr>
          <w:lang w:val="en-GB"/>
        </w:rPr>
        <w:t xml:space="preserve">of the EU </w:t>
      </w:r>
      <w:r w:rsidRPr="00372A59">
        <w:rPr>
          <w:lang w:val="en-GB"/>
        </w:rPr>
        <w:t>(</w:t>
      </w:r>
      <w:r w:rsidR="005330E7">
        <w:rPr>
          <w:lang w:val="en-GB"/>
        </w:rPr>
        <w:t>C</w:t>
      </w:r>
      <w:r w:rsidRPr="00372A59">
        <w:rPr>
          <w:lang w:val="en-GB"/>
        </w:rPr>
        <w:t>J</w:t>
      </w:r>
      <w:r w:rsidR="005330E7">
        <w:rPr>
          <w:lang w:val="en-GB"/>
        </w:rPr>
        <w:t>EU</w:t>
      </w:r>
      <w:r w:rsidRPr="00372A59">
        <w:rPr>
          <w:lang w:val="en-GB"/>
        </w:rPr>
        <w:t>)</w:t>
      </w:r>
      <w:bookmarkEnd w:id="45"/>
      <w:bookmarkEnd w:id="46"/>
      <w:bookmarkEnd w:id="47"/>
    </w:p>
    <w:p w14:paraId="059948A3" w14:textId="77777777" w:rsidR="00D9393C" w:rsidRDefault="00D9393C" w:rsidP="00D9393C">
      <w:pPr>
        <w:rPr>
          <w:lang w:val="en-GB"/>
        </w:rPr>
      </w:pPr>
    </w:p>
    <w:p w14:paraId="1A9709C7" w14:textId="57B40CB4" w:rsidR="00CF32FC" w:rsidRDefault="00D9393C" w:rsidP="00D9393C">
      <w:pPr>
        <w:shd w:val="clear" w:color="auto" w:fill="F2F2F2" w:themeFill="background1" w:themeFillShade="F2"/>
        <w:rPr>
          <w:rFonts w:asciiTheme="majorHAnsi" w:hAnsiTheme="majorHAnsi"/>
          <w:b/>
          <w:sz w:val="24"/>
          <w:szCs w:val="24"/>
          <w:lang w:val="de-DE"/>
        </w:rPr>
      </w:pPr>
      <w:r w:rsidRPr="002B1646">
        <w:rPr>
          <w:rFonts w:asciiTheme="majorHAnsi" w:hAnsiTheme="majorHAnsi"/>
          <w:b/>
          <w:sz w:val="24"/>
          <w:szCs w:val="24"/>
          <w:lang w:val="de-DE"/>
        </w:rPr>
        <w:t>Case C</w:t>
      </w:r>
      <w:r w:rsidRPr="002B1646">
        <w:rPr>
          <w:rFonts w:ascii="MS Gothic" w:hAnsi="MS Gothic" w:cs="MS Gothic"/>
          <w:b/>
          <w:sz w:val="24"/>
          <w:szCs w:val="24"/>
          <w:lang w:val="de-DE"/>
        </w:rPr>
        <w:t>‑</w:t>
      </w:r>
      <w:r w:rsidRPr="002B1646">
        <w:rPr>
          <w:rFonts w:asciiTheme="majorHAnsi" w:hAnsiTheme="majorHAnsi"/>
          <w:b/>
          <w:sz w:val="24"/>
          <w:szCs w:val="24"/>
          <w:lang w:val="de-DE"/>
        </w:rPr>
        <w:t xml:space="preserve">539/15 - </w:t>
      </w:r>
      <w:hyperlink r:id="rId49" w:history="1">
        <w:r w:rsidR="00CF32FC" w:rsidRPr="002B1646">
          <w:rPr>
            <w:rStyle w:val="Hyperlink"/>
            <w:rFonts w:asciiTheme="majorHAnsi" w:hAnsiTheme="majorHAnsi"/>
            <w:b/>
            <w:sz w:val="24"/>
            <w:szCs w:val="24"/>
            <w:lang w:val="de-DE"/>
          </w:rPr>
          <w:t>Daniel Bowman v. Pensionsversicherungsanstalt</w:t>
        </w:r>
      </w:hyperlink>
      <w:r w:rsidR="003618DF" w:rsidRPr="002B1646">
        <w:rPr>
          <w:rFonts w:asciiTheme="majorHAnsi" w:hAnsiTheme="majorHAnsi"/>
          <w:b/>
          <w:sz w:val="24"/>
          <w:szCs w:val="24"/>
          <w:lang w:val="de-DE"/>
        </w:rPr>
        <w:t xml:space="preserve"> – </w:t>
      </w:r>
      <w:r w:rsidR="00627495">
        <w:rPr>
          <w:rFonts w:asciiTheme="majorHAnsi" w:hAnsiTheme="majorHAnsi"/>
          <w:b/>
          <w:sz w:val="24"/>
          <w:szCs w:val="24"/>
          <w:lang w:val="de-DE"/>
        </w:rPr>
        <w:t>21st December 2016</w:t>
      </w:r>
      <w:r w:rsidRPr="002B1646">
        <w:rPr>
          <w:rFonts w:asciiTheme="majorHAnsi" w:hAnsiTheme="majorHAnsi"/>
          <w:b/>
          <w:sz w:val="24"/>
          <w:szCs w:val="24"/>
          <w:lang w:val="de-DE"/>
        </w:rPr>
        <w:t xml:space="preserve"> </w:t>
      </w:r>
    </w:p>
    <w:p w14:paraId="5AB949FC" w14:textId="11581DBE" w:rsidR="00627495" w:rsidRPr="00627495" w:rsidRDefault="00627495" w:rsidP="00D9393C">
      <w:pPr>
        <w:shd w:val="clear" w:color="auto" w:fill="F2F2F2" w:themeFill="background1" w:themeFillShade="F2"/>
        <w:rPr>
          <w:rFonts w:asciiTheme="majorHAnsi" w:hAnsiTheme="majorHAnsi"/>
          <w:i/>
          <w:sz w:val="24"/>
          <w:szCs w:val="24"/>
          <w:lang w:val="de-DE"/>
        </w:rPr>
      </w:pPr>
      <w:r w:rsidRPr="00627495">
        <w:rPr>
          <w:rFonts w:asciiTheme="majorHAnsi" w:hAnsiTheme="majorHAnsi"/>
          <w:i/>
          <w:sz w:val="24"/>
          <w:szCs w:val="24"/>
          <w:lang w:val="de-DE"/>
        </w:rPr>
        <w:t>Age discrimination</w:t>
      </w:r>
    </w:p>
    <w:p w14:paraId="103398D5" w14:textId="441BE2EE" w:rsidR="00B9117B" w:rsidRPr="00D9393C" w:rsidRDefault="00B9117B" w:rsidP="00D9393C">
      <w:pPr>
        <w:shd w:val="clear" w:color="auto" w:fill="F2F2F2" w:themeFill="background1" w:themeFillShade="F2"/>
        <w:jc w:val="both"/>
        <w:rPr>
          <w:rFonts w:asciiTheme="majorHAnsi" w:hAnsiTheme="majorHAnsi"/>
          <w:lang w:val="en-GB"/>
        </w:rPr>
      </w:pPr>
      <w:r w:rsidRPr="00D9393C">
        <w:rPr>
          <w:rFonts w:asciiTheme="majorHAnsi" w:hAnsiTheme="majorHAnsi"/>
          <w:lang w:val="en-GB"/>
        </w:rPr>
        <w:t xml:space="preserve">A change in the national collective labour agreement rules allowed for periods of school education under the age of 18 to be taken into account when calculating the advancement to the next salary level. With that change however, also the period for moving to the next salary level has been extended, which Mr. Bowman argued constitutes age discrimination. </w:t>
      </w:r>
      <w:r w:rsidR="003618DF" w:rsidRPr="00D9393C">
        <w:rPr>
          <w:rFonts w:asciiTheme="majorHAnsi" w:hAnsiTheme="majorHAnsi"/>
          <w:lang w:val="en-GB"/>
        </w:rPr>
        <w:t xml:space="preserve">The Court held that national collective labour agreements allowing for periods of school education to be taken into account for classifying salary steps and </w:t>
      </w:r>
      <w:r w:rsidRPr="00D9393C">
        <w:rPr>
          <w:rFonts w:asciiTheme="majorHAnsi" w:hAnsiTheme="majorHAnsi"/>
          <w:lang w:val="en-GB"/>
        </w:rPr>
        <w:t>prolonging the period before advancing to the next salary level does not constitute discrimination on the ground of age as long as the extension to move up a salary level is retroactively applied to all employees, also those that did already advance to the next salary level under the application of the new rules.</w:t>
      </w:r>
    </w:p>
    <w:p w14:paraId="712F253F" w14:textId="77777777" w:rsidR="00627495" w:rsidRDefault="00627495" w:rsidP="00627495">
      <w:pPr>
        <w:rPr>
          <w:lang w:val="en-GB"/>
        </w:rPr>
      </w:pPr>
    </w:p>
    <w:p w14:paraId="229B6B87" w14:textId="76E4C867" w:rsidR="00CF32FC" w:rsidRDefault="00627495" w:rsidP="00627495">
      <w:pPr>
        <w:pStyle w:val="Heading2"/>
        <w:rPr>
          <w:lang w:val="en-GB"/>
        </w:rPr>
      </w:pPr>
      <w:bookmarkStart w:id="48" w:name="_Ref471829227"/>
      <w:r>
        <w:rPr>
          <w:lang w:val="en-GB"/>
        </w:rPr>
        <w:t>European Court of Human Rights (ECHR)</w:t>
      </w:r>
      <w:bookmarkEnd w:id="48"/>
    </w:p>
    <w:p w14:paraId="61F66846" w14:textId="77777777" w:rsidR="00727F46" w:rsidRPr="00727F46" w:rsidRDefault="00727F46" w:rsidP="00727F46">
      <w:pPr>
        <w:jc w:val="both"/>
        <w:rPr>
          <w:rFonts w:asciiTheme="majorHAnsi" w:hAnsiTheme="majorHAnsi"/>
          <w:lang w:val="en-GB"/>
        </w:rPr>
      </w:pPr>
    </w:p>
    <w:p w14:paraId="450B4170" w14:textId="3E9F13DA" w:rsidR="00727F46" w:rsidRPr="00727F46" w:rsidRDefault="00727F46" w:rsidP="00727F46">
      <w:pPr>
        <w:shd w:val="clear" w:color="auto" w:fill="F2F2F2" w:themeFill="background1" w:themeFillShade="F2"/>
        <w:jc w:val="both"/>
        <w:rPr>
          <w:rFonts w:asciiTheme="majorHAnsi" w:hAnsiTheme="majorHAnsi"/>
          <w:b/>
          <w:sz w:val="24"/>
          <w:lang w:val="en-GB"/>
        </w:rPr>
      </w:pPr>
      <w:r w:rsidRPr="00727F46">
        <w:rPr>
          <w:rFonts w:asciiTheme="majorHAnsi" w:hAnsiTheme="majorHAnsi"/>
          <w:b/>
          <w:sz w:val="24"/>
          <w:lang w:val="en-GB"/>
        </w:rPr>
        <w:t xml:space="preserve">Case 005(2017) - </w:t>
      </w:r>
      <w:hyperlink r:id="rId50" w:history="1">
        <w:proofErr w:type="spellStart"/>
        <w:r w:rsidRPr="002461DC">
          <w:rPr>
            <w:rStyle w:val="Hyperlink"/>
            <w:rFonts w:asciiTheme="majorHAnsi" w:hAnsiTheme="majorHAnsi"/>
            <w:b/>
            <w:sz w:val="24"/>
            <w:lang w:val="en-GB"/>
          </w:rPr>
          <w:t>Osmanoǧlu</w:t>
        </w:r>
        <w:proofErr w:type="spellEnd"/>
        <w:r w:rsidRPr="002461DC">
          <w:rPr>
            <w:rStyle w:val="Hyperlink"/>
            <w:rFonts w:asciiTheme="majorHAnsi" w:hAnsiTheme="majorHAnsi"/>
            <w:b/>
            <w:sz w:val="24"/>
            <w:lang w:val="en-GB"/>
          </w:rPr>
          <w:t xml:space="preserve"> and </w:t>
        </w:r>
        <w:proofErr w:type="spellStart"/>
        <w:r w:rsidRPr="002461DC">
          <w:rPr>
            <w:rStyle w:val="Hyperlink"/>
            <w:rFonts w:asciiTheme="majorHAnsi" w:hAnsiTheme="majorHAnsi"/>
            <w:b/>
            <w:sz w:val="24"/>
            <w:lang w:val="en-GB"/>
          </w:rPr>
          <w:t>Kocabaş</w:t>
        </w:r>
        <w:proofErr w:type="spellEnd"/>
        <w:r w:rsidRPr="002461DC">
          <w:rPr>
            <w:rStyle w:val="Hyperlink"/>
            <w:rFonts w:asciiTheme="majorHAnsi" w:hAnsiTheme="majorHAnsi"/>
            <w:b/>
            <w:sz w:val="24"/>
            <w:lang w:val="en-GB"/>
          </w:rPr>
          <w:t xml:space="preserve"> v. Switzerland</w:t>
        </w:r>
      </w:hyperlink>
      <w:r w:rsidRPr="00727F46">
        <w:rPr>
          <w:rFonts w:asciiTheme="majorHAnsi" w:hAnsiTheme="majorHAnsi"/>
          <w:b/>
          <w:sz w:val="24"/>
          <w:lang w:val="en-GB"/>
        </w:rPr>
        <w:t xml:space="preserve"> – 10</w:t>
      </w:r>
      <w:r w:rsidRPr="00727F46">
        <w:rPr>
          <w:rFonts w:asciiTheme="majorHAnsi" w:hAnsiTheme="majorHAnsi"/>
          <w:b/>
          <w:sz w:val="24"/>
          <w:vertAlign w:val="superscript"/>
          <w:lang w:val="en-GB"/>
        </w:rPr>
        <w:t>th</w:t>
      </w:r>
      <w:r w:rsidRPr="00727F46">
        <w:rPr>
          <w:rFonts w:asciiTheme="majorHAnsi" w:hAnsiTheme="majorHAnsi"/>
          <w:b/>
          <w:sz w:val="24"/>
          <w:lang w:val="en-GB"/>
        </w:rPr>
        <w:t xml:space="preserve"> January 2017</w:t>
      </w:r>
    </w:p>
    <w:p w14:paraId="2881D00E" w14:textId="7FF19116" w:rsidR="00727F46" w:rsidRPr="00727F46" w:rsidRDefault="00727F46" w:rsidP="00727F46">
      <w:pPr>
        <w:shd w:val="clear" w:color="auto" w:fill="F2F2F2" w:themeFill="background1" w:themeFillShade="F2"/>
        <w:jc w:val="both"/>
        <w:rPr>
          <w:rFonts w:asciiTheme="majorHAnsi" w:hAnsiTheme="majorHAnsi"/>
          <w:i/>
          <w:lang w:val="en-GB"/>
        </w:rPr>
      </w:pPr>
      <w:r w:rsidRPr="00727F46">
        <w:rPr>
          <w:rFonts w:asciiTheme="majorHAnsi" w:hAnsiTheme="majorHAnsi"/>
          <w:i/>
          <w:lang w:val="en-GB"/>
        </w:rPr>
        <w:t>No violation of Article 9 (right to freedom of thought, conscience and religion)</w:t>
      </w:r>
    </w:p>
    <w:p w14:paraId="7157FA9E" w14:textId="6257AD5A" w:rsidR="00727F46" w:rsidRPr="00727F46" w:rsidRDefault="00727F46" w:rsidP="00727F46">
      <w:pPr>
        <w:shd w:val="clear" w:color="auto" w:fill="F2F2F2" w:themeFill="background1" w:themeFillShade="F2"/>
        <w:jc w:val="both"/>
        <w:rPr>
          <w:rFonts w:asciiTheme="majorHAnsi" w:hAnsiTheme="majorHAnsi"/>
          <w:lang w:val="en-GB"/>
        </w:rPr>
      </w:pPr>
      <w:r w:rsidRPr="00727F46">
        <w:rPr>
          <w:rFonts w:asciiTheme="majorHAnsi" w:hAnsiTheme="majorHAnsi"/>
          <w:lang w:val="en-GB"/>
        </w:rPr>
        <w:t>The case concerned the refusal of Muslim parents to send their daughters, who had not reached the age of puberty, to compulsory mixed swimming lessons as part of their schooling and the authorities’ refusal to grant them an exemption.</w:t>
      </w:r>
    </w:p>
    <w:p w14:paraId="58A24B19" w14:textId="39753ADC" w:rsidR="00727F46" w:rsidRPr="00727F46" w:rsidRDefault="00727F46" w:rsidP="00727F46">
      <w:pPr>
        <w:shd w:val="clear" w:color="auto" w:fill="F2F2F2" w:themeFill="background1" w:themeFillShade="F2"/>
        <w:jc w:val="both"/>
        <w:rPr>
          <w:rFonts w:asciiTheme="majorHAnsi" w:hAnsiTheme="majorHAnsi"/>
          <w:lang w:val="en-GB"/>
        </w:rPr>
      </w:pPr>
      <w:r w:rsidRPr="00727F46">
        <w:rPr>
          <w:rFonts w:asciiTheme="majorHAnsi" w:hAnsiTheme="majorHAnsi"/>
          <w:lang w:val="en-GB"/>
        </w:rPr>
        <w:t>By refusing to exempt two Muslim pupils from compulsory mixed swimming lessons, the Swiss authorities had given precedence to the children’s obligation to follow the full school curriculum and had not infringed the right to freedom of religion</w:t>
      </w:r>
    </w:p>
    <w:p w14:paraId="38B4CD7C" w14:textId="77777777" w:rsidR="00627495" w:rsidRDefault="00627495" w:rsidP="00CF32FC">
      <w:pPr>
        <w:jc w:val="both"/>
        <w:rPr>
          <w:lang w:val="en-GB"/>
        </w:rPr>
      </w:pPr>
    </w:p>
    <w:p w14:paraId="3CDFF5C8" w14:textId="0EDC3D1A" w:rsidR="00627495" w:rsidRDefault="00627495" w:rsidP="00627495">
      <w:pPr>
        <w:shd w:val="clear" w:color="auto" w:fill="F2F2F2" w:themeFill="background1" w:themeFillShade="F2"/>
        <w:jc w:val="both"/>
        <w:rPr>
          <w:rFonts w:asciiTheme="majorHAnsi" w:hAnsiTheme="majorHAnsi"/>
          <w:b/>
          <w:sz w:val="24"/>
          <w:lang w:val="en-GB"/>
        </w:rPr>
      </w:pPr>
      <w:r>
        <w:rPr>
          <w:rFonts w:asciiTheme="majorHAnsi" w:hAnsiTheme="majorHAnsi"/>
          <w:b/>
          <w:sz w:val="24"/>
          <w:lang w:val="en-GB"/>
        </w:rPr>
        <w:t xml:space="preserve">Case 007(2017) - </w:t>
      </w:r>
      <w:hyperlink r:id="rId51" w:history="1">
        <w:proofErr w:type="spellStart"/>
        <w:r w:rsidRPr="00727F46">
          <w:rPr>
            <w:rStyle w:val="Hyperlink"/>
            <w:rFonts w:asciiTheme="majorHAnsi" w:hAnsiTheme="majorHAnsi"/>
            <w:b/>
            <w:sz w:val="24"/>
            <w:lang w:val="en-GB"/>
          </w:rPr>
          <w:t>Kacper</w:t>
        </w:r>
        <w:proofErr w:type="spellEnd"/>
        <w:r w:rsidRPr="00727F46">
          <w:rPr>
            <w:rStyle w:val="Hyperlink"/>
            <w:rFonts w:asciiTheme="majorHAnsi" w:hAnsiTheme="majorHAnsi"/>
            <w:b/>
            <w:sz w:val="24"/>
            <w:lang w:val="en-GB"/>
          </w:rPr>
          <w:t xml:space="preserve"> </w:t>
        </w:r>
        <w:proofErr w:type="spellStart"/>
        <w:r w:rsidRPr="00727F46">
          <w:rPr>
            <w:rStyle w:val="Hyperlink"/>
            <w:rFonts w:asciiTheme="majorHAnsi" w:hAnsiTheme="majorHAnsi"/>
            <w:b/>
            <w:sz w:val="24"/>
            <w:lang w:val="en-GB"/>
          </w:rPr>
          <w:t>Nowakowski</w:t>
        </w:r>
        <w:proofErr w:type="spellEnd"/>
        <w:r w:rsidRPr="00727F46">
          <w:rPr>
            <w:rStyle w:val="Hyperlink"/>
            <w:rFonts w:asciiTheme="majorHAnsi" w:hAnsiTheme="majorHAnsi"/>
            <w:b/>
            <w:sz w:val="24"/>
            <w:lang w:val="en-GB"/>
          </w:rPr>
          <w:t xml:space="preserve"> v. Poland</w:t>
        </w:r>
      </w:hyperlink>
      <w:r>
        <w:rPr>
          <w:rFonts w:asciiTheme="majorHAnsi" w:hAnsiTheme="majorHAnsi"/>
          <w:b/>
          <w:sz w:val="24"/>
          <w:lang w:val="en-GB"/>
        </w:rPr>
        <w:t xml:space="preserve"> – </w:t>
      </w:r>
      <w:r w:rsidR="00727F46">
        <w:rPr>
          <w:rFonts w:asciiTheme="majorHAnsi" w:hAnsiTheme="majorHAnsi"/>
          <w:b/>
          <w:sz w:val="24"/>
          <w:lang w:val="en-GB"/>
        </w:rPr>
        <w:t>10</w:t>
      </w:r>
      <w:r w:rsidR="00727F46" w:rsidRPr="00727F46">
        <w:rPr>
          <w:rFonts w:asciiTheme="majorHAnsi" w:hAnsiTheme="majorHAnsi"/>
          <w:b/>
          <w:sz w:val="24"/>
          <w:vertAlign w:val="superscript"/>
          <w:lang w:val="en-GB"/>
        </w:rPr>
        <w:t>th</w:t>
      </w:r>
      <w:r w:rsidR="00727F46">
        <w:rPr>
          <w:rFonts w:asciiTheme="majorHAnsi" w:hAnsiTheme="majorHAnsi"/>
          <w:b/>
          <w:sz w:val="24"/>
          <w:lang w:val="en-GB"/>
        </w:rPr>
        <w:t xml:space="preserve"> January 2017</w:t>
      </w:r>
    </w:p>
    <w:p w14:paraId="212104B3" w14:textId="510F8049" w:rsidR="00627495" w:rsidRPr="00627495" w:rsidRDefault="00627495" w:rsidP="00627495">
      <w:pPr>
        <w:shd w:val="clear" w:color="auto" w:fill="F2F2F2" w:themeFill="background1" w:themeFillShade="F2"/>
        <w:jc w:val="both"/>
        <w:rPr>
          <w:rFonts w:asciiTheme="majorHAnsi" w:hAnsiTheme="majorHAnsi"/>
          <w:i/>
          <w:sz w:val="24"/>
          <w:lang w:val="en-GB"/>
        </w:rPr>
      </w:pPr>
      <w:r w:rsidRPr="00627495">
        <w:rPr>
          <w:rFonts w:asciiTheme="majorHAnsi" w:hAnsiTheme="majorHAnsi"/>
          <w:i/>
          <w:sz w:val="24"/>
          <w:lang w:val="en-GB"/>
        </w:rPr>
        <w:t>Violation of Article 8 (right to respect for private and family life) - Polish authorities failed to facilitate contact between deaf and mute father and his son</w:t>
      </w:r>
    </w:p>
    <w:p w14:paraId="6F139A8A" w14:textId="741CD33E" w:rsidR="00627495" w:rsidRPr="00627495" w:rsidRDefault="00627495" w:rsidP="00627495">
      <w:pPr>
        <w:shd w:val="clear" w:color="auto" w:fill="F2F2F2" w:themeFill="background1" w:themeFillShade="F2"/>
        <w:jc w:val="both"/>
        <w:rPr>
          <w:rFonts w:asciiTheme="majorHAnsi" w:hAnsiTheme="majorHAnsi"/>
          <w:lang w:val="en-GB"/>
        </w:rPr>
      </w:pPr>
      <w:r w:rsidRPr="00627495">
        <w:rPr>
          <w:rFonts w:asciiTheme="majorHAnsi" w:hAnsiTheme="majorHAnsi"/>
          <w:lang w:val="en-GB"/>
        </w:rPr>
        <w:t xml:space="preserve">The case concerned the contact rights of a deaf and mute father with his son, who also has a hearing impairment. Mr </w:t>
      </w:r>
      <w:proofErr w:type="spellStart"/>
      <w:r w:rsidRPr="00627495">
        <w:rPr>
          <w:rFonts w:asciiTheme="majorHAnsi" w:hAnsiTheme="majorHAnsi"/>
          <w:lang w:val="en-GB"/>
        </w:rPr>
        <w:t>Nowakowski</w:t>
      </w:r>
      <w:proofErr w:type="spellEnd"/>
      <w:r w:rsidRPr="00627495">
        <w:rPr>
          <w:rFonts w:asciiTheme="majorHAnsi" w:hAnsiTheme="majorHAnsi"/>
          <w:lang w:val="en-GB"/>
        </w:rPr>
        <w:t xml:space="preserve">, the applicant, complained in particular about the dismissal of his request </w:t>
      </w:r>
      <w:r w:rsidR="00727F46">
        <w:rPr>
          <w:rFonts w:asciiTheme="majorHAnsi" w:hAnsiTheme="majorHAnsi"/>
          <w:lang w:val="en-GB"/>
        </w:rPr>
        <w:t>to extend contact with his son.</w:t>
      </w:r>
    </w:p>
    <w:sectPr w:rsidR="00627495" w:rsidRPr="00627495" w:rsidSect="0013769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138517"/>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303759">
          <w:rPr>
            <w:noProof/>
          </w:rPr>
          <w:t>1</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103"/>
    <w:multiLevelType w:val="hybridMultilevel"/>
    <w:tmpl w:val="E86E7EB8"/>
    <w:lvl w:ilvl="0" w:tplc="6B4E16B8">
      <w:start w:val="4"/>
      <w:numFmt w:val="bullet"/>
      <w:lvlText w:val="-"/>
      <w:lvlJc w:val="left"/>
      <w:pPr>
        <w:ind w:left="720" w:hanging="360"/>
      </w:pPr>
      <w:rPr>
        <w:rFonts w:ascii="Calibri Light" w:eastAsiaTheme="minorHAnsi" w:hAnsi="Calibri Ligh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947D15"/>
    <w:multiLevelType w:val="hybridMultilevel"/>
    <w:tmpl w:val="D8909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382193"/>
    <w:multiLevelType w:val="hybridMultilevel"/>
    <w:tmpl w:val="B72492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3A4F45"/>
    <w:multiLevelType w:val="hybridMultilevel"/>
    <w:tmpl w:val="B566C1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4A0D9F"/>
    <w:multiLevelType w:val="hybridMultilevel"/>
    <w:tmpl w:val="90FEE9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C57AD0"/>
    <w:multiLevelType w:val="hybridMultilevel"/>
    <w:tmpl w:val="C4C20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B01058"/>
    <w:multiLevelType w:val="hybridMultilevel"/>
    <w:tmpl w:val="693E10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D5B1894"/>
    <w:multiLevelType w:val="hybridMultilevel"/>
    <w:tmpl w:val="32E6EA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D9E2836"/>
    <w:multiLevelType w:val="hybridMultilevel"/>
    <w:tmpl w:val="92E4B5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EE478BB"/>
    <w:multiLevelType w:val="hybridMultilevel"/>
    <w:tmpl w:val="F81AB7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4F35E8C"/>
    <w:multiLevelType w:val="hybridMultilevel"/>
    <w:tmpl w:val="C38C7184"/>
    <w:lvl w:ilvl="0" w:tplc="6B4E16B8">
      <w:start w:val="4"/>
      <w:numFmt w:val="bullet"/>
      <w:lvlText w:val="-"/>
      <w:lvlJc w:val="left"/>
      <w:pPr>
        <w:ind w:left="720" w:hanging="360"/>
      </w:pPr>
      <w:rPr>
        <w:rFonts w:ascii="Calibri Light" w:eastAsiaTheme="minorHAnsi" w:hAnsi="Calibri Ligh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5C30244"/>
    <w:multiLevelType w:val="hybridMultilevel"/>
    <w:tmpl w:val="79FE9F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9FB2024"/>
    <w:multiLevelType w:val="hybridMultilevel"/>
    <w:tmpl w:val="8418F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D98296F"/>
    <w:multiLevelType w:val="multilevel"/>
    <w:tmpl w:val="7516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632472"/>
    <w:multiLevelType w:val="hybridMultilevel"/>
    <w:tmpl w:val="C95683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20E4676"/>
    <w:multiLevelType w:val="hybridMultilevel"/>
    <w:tmpl w:val="DB109E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4"/>
  </w:num>
  <w:num w:numId="6">
    <w:abstractNumId w:val="13"/>
  </w:num>
  <w:num w:numId="7">
    <w:abstractNumId w:val="7"/>
  </w:num>
  <w:num w:numId="8">
    <w:abstractNumId w:val="14"/>
  </w:num>
  <w:num w:numId="9">
    <w:abstractNumId w:val="15"/>
  </w:num>
  <w:num w:numId="10">
    <w:abstractNumId w:val="0"/>
  </w:num>
  <w:num w:numId="11">
    <w:abstractNumId w:val="10"/>
  </w:num>
  <w:num w:numId="12">
    <w:abstractNumId w:val="9"/>
  </w:num>
  <w:num w:numId="13">
    <w:abstractNumId w:val="12"/>
  </w:num>
  <w:num w:numId="14">
    <w:abstractNumId w:val="3"/>
  </w:num>
  <w:num w:numId="15">
    <w:abstractNumId w:val="2"/>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263B4"/>
    <w:rsid w:val="000301AA"/>
    <w:rsid w:val="000348AB"/>
    <w:rsid w:val="00036CEA"/>
    <w:rsid w:val="000438D1"/>
    <w:rsid w:val="00043B6F"/>
    <w:rsid w:val="000515A0"/>
    <w:rsid w:val="000A0CE2"/>
    <w:rsid w:val="000A265E"/>
    <w:rsid w:val="000A2FA4"/>
    <w:rsid w:val="000A405E"/>
    <w:rsid w:val="000B22AC"/>
    <w:rsid w:val="000B784B"/>
    <w:rsid w:val="000C50D7"/>
    <w:rsid w:val="000D5978"/>
    <w:rsid w:val="000F46D8"/>
    <w:rsid w:val="000F79AC"/>
    <w:rsid w:val="00102B04"/>
    <w:rsid w:val="00112052"/>
    <w:rsid w:val="00112634"/>
    <w:rsid w:val="001140DC"/>
    <w:rsid w:val="00123004"/>
    <w:rsid w:val="00131C48"/>
    <w:rsid w:val="001321A1"/>
    <w:rsid w:val="00137699"/>
    <w:rsid w:val="0014109E"/>
    <w:rsid w:val="001424F5"/>
    <w:rsid w:val="0016113D"/>
    <w:rsid w:val="00173120"/>
    <w:rsid w:val="00174B61"/>
    <w:rsid w:val="00175EA1"/>
    <w:rsid w:val="00176D1E"/>
    <w:rsid w:val="00177C56"/>
    <w:rsid w:val="0018390B"/>
    <w:rsid w:val="0018402A"/>
    <w:rsid w:val="00184EA7"/>
    <w:rsid w:val="00190C14"/>
    <w:rsid w:val="001B305F"/>
    <w:rsid w:val="001C172F"/>
    <w:rsid w:val="001C6056"/>
    <w:rsid w:val="001D62A5"/>
    <w:rsid w:val="001E3467"/>
    <w:rsid w:val="001F0C5D"/>
    <w:rsid w:val="00207FD0"/>
    <w:rsid w:val="00217BAD"/>
    <w:rsid w:val="002461DC"/>
    <w:rsid w:val="00255FDB"/>
    <w:rsid w:val="002562FB"/>
    <w:rsid w:val="00264059"/>
    <w:rsid w:val="00273D53"/>
    <w:rsid w:val="00291191"/>
    <w:rsid w:val="002B08F4"/>
    <w:rsid w:val="002B1646"/>
    <w:rsid w:val="002C3BF0"/>
    <w:rsid w:val="00303759"/>
    <w:rsid w:val="00304E5B"/>
    <w:rsid w:val="00311568"/>
    <w:rsid w:val="00320B74"/>
    <w:rsid w:val="0034362B"/>
    <w:rsid w:val="00347DBF"/>
    <w:rsid w:val="0035063E"/>
    <w:rsid w:val="00352810"/>
    <w:rsid w:val="003618DF"/>
    <w:rsid w:val="003710A5"/>
    <w:rsid w:val="00372A59"/>
    <w:rsid w:val="00383E41"/>
    <w:rsid w:val="0038736A"/>
    <w:rsid w:val="00387A76"/>
    <w:rsid w:val="003A07D1"/>
    <w:rsid w:val="003C198E"/>
    <w:rsid w:val="003C34AB"/>
    <w:rsid w:val="003C6E75"/>
    <w:rsid w:val="003E1DC1"/>
    <w:rsid w:val="00413C59"/>
    <w:rsid w:val="004275EC"/>
    <w:rsid w:val="0044701A"/>
    <w:rsid w:val="0048089B"/>
    <w:rsid w:val="0048576D"/>
    <w:rsid w:val="004A7771"/>
    <w:rsid w:val="004B6ED2"/>
    <w:rsid w:val="004D7D8B"/>
    <w:rsid w:val="005047E4"/>
    <w:rsid w:val="00510428"/>
    <w:rsid w:val="0051290D"/>
    <w:rsid w:val="005165D2"/>
    <w:rsid w:val="00522381"/>
    <w:rsid w:val="005240BC"/>
    <w:rsid w:val="005330E7"/>
    <w:rsid w:val="00533F27"/>
    <w:rsid w:val="00535AF5"/>
    <w:rsid w:val="00542158"/>
    <w:rsid w:val="00542EAA"/>
    <w:rsid w:val="00555B6A"/>
    <w:rsid w:val="00556F48"/>
    <w:rsid w:val="00564CAD"/>
    <w:rsid w:val="00566380"/>
    <w:rsid w:val="0058400A"/>
    <w:rsid w:val="005905FC"/>
    <w:rsid w:val="005978FA"/>
    <w:rsid w:val="005A13C7"/>
    <w:rsid w:val="005A767B"/>
    <w:rsid w:val="005B04DF"/>
    <w:rsid w:val="005B1C3F"/>
    <w:rsid w:val="005B26FB"/>
    <w:rsid w:val="005D3458"/>
    <w:rsid w:val="005E6F98"/>
    <w:rsid w:val="0060140B"/>
    <w:rsid w:val="0060251B"/>
    <w:rsid w:val="006028CB"/>
    <w:rsid w:val="00603E10"/>
    <w:rsid w:val="006075A4"/>
    <w:rsid w:val="00617A18"/>
    <w:rsid w:val="00621D32"/>
    <w:rsid w:val="00624AFF"/>
    <w:rsid w:val="00627495"/>
    <w:rsid w:val="0063672C"/>
    <w:rsid w:val="006415D5"/>
    <w:rsid w:val="00642A1F"/>
    <w:rsid w:val="006639D4"/>
    <w:rsid w:val="0067153F"/>
    <w:rsid w:val="006902C7"/>
    <w:rsid w:val="00690E8D"/>
    <w:rsid w:val="006A1658"/>
    <w:rsid w:val="006B6818"/>
    <w:rsid w:val="006C3CD5"/>
    <w:rsid w:val="006C46CF"/>
    <w:rsid w:val="006C5504"/>
    <w:rsid w:val="006D3CD5"/>
    <w:rsid w:val="006E6038"/>
    <w:rsid w:val="00702D8C"/>
    <w:rsid w:val="0071147A"/>
    <w:rsid w:val="00717918"/>
    <w:rsid w:val="0072791A"/>
    <w:rsid w:val="00727F46"/>
    <w:rsid w:val="00732DCB"/>
    <w:rsid w:val="00757D6D"/>
    <w:rsid w:val="00760E8A"/>
    <w:rsid w:val="00766B57"/>
    <w:rsid w:val="007904C1"/>
    <w:rsid w:val="00790B5D"/>
    <w:rsid w:val="00792C11"/>
    <w:rsid w:val="007A02CD"/>
    <w:rsid w:val="007B0295"/>
    <w:rsid w:val="007C3C0B"/>
    <w:rsid w:val="007C712D"/>
    <w:rsid w:val="00830828"/>
    <w:rsid w:val="00837FF6"/>
    <w:rsid w:val="008423D8"/>
    <w:rsid w:val="00845CD1"/>
    <w:rsid w:val="0084644F"/>
    <w:rsid w:val="00850AA9"/>
    <w:rsid w:val="008579A0"/>
    <w:rsid w:val="00857ECF"/>
    <w:rsid w:val="00860743"/>
    <w:rsid w:val="00865B4E"/>
    <w:rsid w:val="00871587"/>
    <w:rsid w:val="008719D8"/>
    <w:rsid w:val="008A40FD"/>
    <w:rsid w:val="008B3213"/>
    <w:rsid w:val="008B50DB"/>
    <w:rsid w:val="008C552E"/>
    <w:rsid w:val="008D0297"/>
    <w:rsid w:val="008D0B99"/>
    <w:rsid w:val="008E42FA"/>
    <w:rsid w:val="008F5BA4"/>
    <w:rsid w:val="00922A41"/>
    <w:rsid w:val="00922F1E"/>
    <w:rsid w:val="00932481"/>
    <w:rsid w:val="009429BE"/>
    <w:rsid w:val="00965A8C"/>
    <w:rsid w:val="00970123"/>
    <w:rsid w:val="00975348"/>
    <w:rsid w:val="0098311A"/>
    <w:rsid w:val="009913B6"/>
    <w:rsid w:val="00997D96"/>
    <w:rsid w:val="009B4DBA"/>
    <w:rsid w:val="009B6023"/>
    <w:rsid w:val="009C2CBE"/>
    <w:rsid w:val="009D73BB"/>
    <w:rsid w:val="009F5808"/>
    <w:rsid w:val="00A03866"/>
    <w:rsid w:val="00A31615"/>
    <w:rsid w:val="00A34EB9"/>
    <w:rsid w:val="00A54CFA"/>
    <w:rsid w:val="00A600A2"/>
    <w:rsid w:val="00A65406"/>
    <w:rsid w:val="00A724FE"/>
    <w:rsid w:val="00A73FA9"/>
    <w:rsid w:val="00A74E27"/>
    <w:rsid w:val="00A83053"/>
    <w:rsid w:val="00A84F8D"/>
    <w:rsid w:val="00A86A2F"/>
    <w:rsid w:val="00A91933"/>
    <w:rsid w:val="00A924CE"/>
    <w:rsid w:val="00A965AC"/>
    <w:rsid w:val="00A975CF"/>
    <w:rsid w:val="00AB116C"/>
    <w:rsid w:val="00AC748C"/>
    <w:rsid w:val="00AD0E63"/>
    <w:rsid w:val="00AE7C63"/>
    <w:rsid w:val="00B07813"/>
    <w:rsid w:val="00B12FD7"/>
    <w:rsid w:val="00B33A99"/>
    <w:rsid w:val="00B34E7D"/>
    <w:rsid w:val="00B35FF6"/>
    <w:rsid w:val="00B40C5A"/>
    <w:rsid w:val="00B42F0D"/>
    <w:rsid w:val="00B4743C"/>
    <w:rsid w:val="00B61869"/>
    <w:rsid w:val="00B77690"/>
    <w:rsid w:val="00B81B74"/>
    <w:rsid w:val="00B9117B"/>
    <w:rsid w:val="00BA09B4"/>
    <w:rsid w:val="00BA3FEC"/>
    <w:rsid w:val="00BC522B"/>
    <w:rsid w:val="00BD3ED5"/>
    <w:rsid w:val="00BD7FB3"/>
    <w:rsid w:val="00BE1F3C"/>
    <w:rsid w:val="00BE29CD"/>
    <w:rsid w:val="00BE506C"/>
    <w:rsid w:val="00BE7DE7"/>
    <w:rsid w:val="00C117CA"/>
    <w:rsid w:val="00C13BF8"/>
    <w:rsid w:val="00C14A13"/>
    <w:rsid w:val="00C54F71"/>
    <w:rsid w:val="00C80896"/>
    <w:rsid w:val="00C8250E"/>
    <w:rsid w:val="00C842A8"/>
    <w:rsid w:val="00C842B1"/>
    <w:rsid w:val="00C91705"/>
    <w:rsid w:val="00C92B6C"/>
    <w:rsid w:val="00CB0448"/>
    <w:rsid w:val="00CB296D"/>
    <w:rsid w:val="00CB2E4E"/>
    <w:rsid w:val="00CC1DE0"/>
    <w:rsid w:val="00CD32B6"/>
    <w:rsid w:val="00CD4220"/>
    <w:rsid w:val="00CF32FC"/>
    <w:rsid w:val="00CF7284"/>
    <w:rsid w:val="00D02142"/>
    <w:rsid w:val="00D05673"/>
    <w:rsid w:val="00D1064D"/>
    <w:rsid w:val="00D141CE"/>
    <w:rsid w:val="00D271AE"/>
    <w:rsid w:val="00D32F03"/>
    <w:rsid w:val="00D41AAD"/>
    <w:rsid w:val="00D43A45"/>
    <w:rsid w:val="00D47008"/>
    <w:rsid w:val="00D54367"/>
    <w:rsid w:val="00D75A37"/>
    <w:rsid w:val="00D80D0E"/>
    <w:rsid w:val="00D91B5E"/>
    <w:rsid w:val="00D92F7F"/>
    <w:rsid w:val="00D9393C"/>
    <w:rsid w:val="00D9524D"/>
    <w:rsid w:val="00DA1BD6"/>
    <w:rsid w:val="00DB175F"/>
    <w:rsid w:val="00DD5170"/>
    <w:rsid w:val="00DD61BF"/>
    <w:rsid w:val="00DE0777"/>
    <w:rsid w:val="00DE3CFE"/>
    <w:rsid w:val="00E014FB"/>
    <w:rsid w:val="00E03E62"/>
    <w:rsid w:val="00E0516E"/>
    <w:rsid w:val="00E300D5"/>
    <w:rsid w:val="00E328EF"/>
    <w:rsid w:val="00E35214"/>
    <w:rsid w:val="00E41825"/>
    <w:rsid w:val="00E41F72"/>
    <w:rsid w:val="00E60E54"/>
    <w:rsid w:val="00E62A71"/>
    <w:rsid w:val="00E64486"/>
    <w:rsid w:val="00E71127"/>
    <w:rsid w:val="00E84A06"/>
    <w:rsid w:val="00E8765D"/>
    <w:rsid w:val="00E87CA7"/>
    <w:rsid w:val="00E91D96"/>
    <w:rsid w:val="00EA1275"/>
    <w:rsid w:val="00EC6295"/>
    <w:rsid w:val="00ED1334"/>
    <w:rsid w:val="00EF25A5"/>
    <w:rsid w:val="00EF446F"/>
    <w:rsid w:val="00F23218"/>
    <w:rsid w:val="00F242C8"/>
    <w:rsid w:val="00F31126"/>
    <w:rsid w:val="00F53C12"/>
    <w:rsid w:val="00F66D27"/>
    <w:rsid w:val="00F92C30"/>
    <w:rsid w:val="00F93FE2"/>
    <w:rsid w:val="00FA656D"/>
    <w:rsid w:val="00FA6B5D"/>
    <w:rsid w:val="00FB7917"/>
    <w:rsid w:val="00FE2B06"/>
    <w:rsid w:val="00FE6920"/>
    <w:rsid w:val="00FE760B"/>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752AF073-EA5D-48ED-83BE-C6769D9F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CE"/>
  </w:style>
  <w:style w:type="paragraph" w:styleId="Heading1">
    <w:name w:val="heading 1"/>
    <w:basedOn w:val="Normal"/>
    <w:next w:val="Normal"/>
    <w:link w:val="Heading1Char"/>
    <w:uiPriority w:val="9"/>
    <w:qFormat/>
    <w:rsid w:val="00372A59"/>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0828"/>
    <w:pPr>
      <w:keepNext/>
      <w:keepLines/>
      <w:spacing w:before="40" w:after="0"/>
      <w:outlineLvl w:val="1"/>
    </w:pPr>
    <w:rPr>
      <w:rFonts w:asciiTheme="majorHAnsi" w:eastAsiaTheme="majorEastAsia" w:hAnsiTheme="majorHAnsi" w:cstheme="majorBidi"/>
      <w:b/>
      <w:color w:val="C45911" w:themeColor="accen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59"/>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830828"/>
    <w:rPr>
      <w:rFonts w:asciiTheme="majorHAnsi" w:eastAsiaTheme="majorEastAsia" w:hAnsiTheme="majorHAnsi" w:cstheme="majorBidi"/>
      <w:b/>
      <w:color w:val="C45911" w:themeColor="accent2" w:themeShade="BF"/>
      <w:sz w:val="28"/>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paragraph" w:styleId="NormalWeb">
    <w:name w:val="Normal (Web)"/>
    <w:basedOn w:val="Normal"/>
    <w:uiPriority w:val="99"/>
    <w:semiHidden/>
    <w:unhideWhenUsed/>
    <w:rsid w:val="00CC1DE0"/>
    <w:pPr>
      <w:spacing w:before="100" w:beforeAutospacing="1" w:after="100" w:afterAutospacing="1" w:line="240" w:lineRule="auto"/>
    </w:pPr>
    <w:rPr>
      <w:rFonts w:ascii="Times New Roman" w:hAnsi="Times New Roman" w:cs="Times New Roman"/>
      <w:sz w:val="24"/>
      <w:szCs w:val="24"/>
      <w:lang w:eastAsia="fr-BE"/>
    </w:rPr>
  </w:style>
  <w:style w:type="character" w:styleId="Strong">
    <w:name w:val="Strong"/>
    <w:basedOn w:val="DefaultParagraphFont"/>
    <w:uiPriority w:val="22"/>
    <w:qFormat/>
    <w:rsid w:val="00CC1DE0"/>
    <w:rPr>
      <w:b/>
      <w:bCs/>
    </w:rPr>
  </w:style>
  <w:style w:type="paragraph" w:styleId="NoSpacing">
    <w:name w:val="No Spacing"/>
    <w:uiPriority w:val="1"/>
    <w:qFormat/>
    <w:rsid w:val="00D75A37"/>
    <w:pPr>
      <w:spacing w:after="0" w:line="240" w:lineRule="auto"/>
    </w:pPr>
  </w:style>
  <w:style w:type="character" w:customStyle="1" w:styleId="apple-converted-space">
    <w:name w:val="apple-converted-space"/>
    <w:basedOn w:val="DefaultParagraphFont"/>
    <w:rsid w:val="00B4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223">
      <w:bodyDiv w:val="1"/>
      <w:marLeft w:val="0"/>
      <w:marRight w:val="0"/>
      <w:marTop w:val="0"/>
      <w:marBottom w:val="0"/>
      <w:divBdr>
        <w:top w:val="none" w:sz="0" w:space="0" w:color="auto"/>
        <w:left w:val="none" w:sz="0" w:space="0" w:color="auto"/>
        <w:bottom w:val="none" w:sz="0" w:space="0" w:color="auto"/>
        <w:right w:val="none" w:sz="0" w:space="0" w:color="auto"/>
      </w:divBdr>
    </w:div>
    <w:div w:id="233708027">
      <w:bodyDiv w:val="1"/>
      <w:marLeft w:val="0"/>
      <w:marRight w:val="0"/>
      <w:marTop w:val="0"/>
      <w:marBottom w:val="0"/>
      <w:divBdr>
        <w:top w:val="none" w:sz="0" w:space="0" w:color="auto"/>
        <w:left w:val="none" w:sz="0" w:space="0" w:color="auto"/>
        <w:bottom w:val="none" w:sz="0" w:space="0" w:color="auto"/>
        <w:right w:val="none" w:sz="0" w:space="0" w:color="auto"/>
      </w:divBdr>
    </w:div>
    <w:div w:id="341931218">
      <w:bodyDiv w:val="1"/>
      <w:marLeft w:val="0"/>
      <w:marRight w:val="0"/>
      <w:marTop w:val="0"/>
      <w:marBottom w:val="0"/>
      <w:divBdr>
        <w:top w:val="none" w:sz="0" w:space="0" w:color="auto"/>
        <w:left w:val="none" w:sz="0" w:space="0" w:color="auto"/>
        <w:bottom w:val="none" w:sz="0" w:space="0" w:color="auto"/>
        <w:right w:val="none" w:sz="0" w:space="0" w:color="auto"/>
      </w:divBdr>
    </w:div>
    <w:div w:id="362445034">
      <w:bodyDiv w:val="1"/>
      <w:marLeft w:val="0"/>
      <w:marRight w:val="0"/>
      <w:marTop w:val="0"/>
      <w:marBottom w:val="0"/>
      <w:divBdr>
        <w:top w:val="none" w:sz="0" w:space="0" w:color="auto"/>
        <w:left w:val="none" w:sz="0" w:space="0" w:color="auto"/>
        <w:bottom w:val="none" w:sz="0" w:space="0" w:color="auto"/>
        <w:right w:val="none" w:sz="0" w:space="0" w:color="auto"/>
      </w:divBdr>
    </w:div>
    <w:div w:id="544023158">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967778976">
      <w:bodyDiv w:val="1"/>
      <w:marLeft w:val="0"/>
      <w:marRight w:val="0"/>
      <w:marTop w:val="0"/>
      <w:marBottom w:val="0"/>
      <w:divBdr>
        <w:top w:val="none" w:sz="0" w:space="0" w:color="auto"/>
        <w:left w:val="none" w:sz="0" w:space="0" w:color="auto"/>
        <w:bottom w:val="none" w:sz="0" w:space="0" w:color="auto"/>
        <w:right w:val="none" w:sz="0" w:space="0" w:color="auto"/>
      </w:divBdr>
    </w:div>
    <w:div w:id="1143232013">
      <w:bodyDiv w:val="1"/>
      <w:marLeft w:val="0"/>
      <w:marRight w:val="0"/>
      <w:marTop w:val="0"/>
      <w:marBottom w:val="0"/>
      <w:divBdr>
        <w:top w:val="none" w:sz="0" w:space="0" w:color="auto"/>
        <w:left w:val="none" w:sz="0" w:space="0" w:color="auto"/>
        <w:bottom w:val="none" w:sz="0" w:space="0" w:color="auto"/>
        <w:right w:val="none" w:sz="0" w:space="0" w:color="auto"/>
      </w:divBdr>
    </w:div>
    <w:div w:id="1210610116">
      <w:bodyDiv w:val="1"/>
      <w:marLeft w:val="0"/>
      <w:marRight w:val="0"/>
      <w:marTop w:val="0"/>
      <w:marBottom w:val="0"/>
      <w:divBdr>
        <w:top w:val="none" w:sz="0" w:space="0" w:color="auto"/>
        <w:left w:val="none" w:sz="0" w:space="0" w:color="auto"/>
        <w:bottom w:val="none" w:sz="0" w:space="0" w:color="auto"/>
        <w:right w:val="none" w:sz="0" w:space="0" w:color="auto"/>
      </w:divBdr>
    </w:div>
    <w:div w:id="1254164332">
      <w:bodyDiv w:val="1"/>
      <w:marLeft w:val="0"/>
      <w:marRight w:val="0"/>
      <w:marTop w:val="0"/>
      <w:marBottom w:val="0"/>
      <w:divBdr>
        <w:top w:val="none" w:sz="0" w:space="0" w:color="auto"/>
        <w:left w:val="none" w:sz="0" w:space="0" w:color="auto"/>
        <w:bottom w:val="none" w:sz="0" w:space="0" w:color="auto"/>
        <w:right w:val="none" w:sz="0" w:space="0" w:color="auto"/>
      </w:divBdr>
    </w:div>
    <w:div w:id="1297377090">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61860951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826972893">
      <w:bodyDiv w:val="1"/>
      <w:marLeft w:val="0"/>
      <w:marRight w:val="0"/>
      <w:marTop w:val="0"/>
      <w:marBottom w:val="0"/>
      <w:divBdr>
        <w:top w:val="none" w:sz="0" w:space="0" w:color="auto"/>
        <w:left w:val="none" w:sz="0" w:space="0" w:color="auto"/>
        <w:bottom w:val="none" w:sz="0" w:space="0" w:color="auto"/>
        <w:right w:val="none" w:sz="0" w:space="0" w:color="auto"/>
      </w:divBdr>
    </w:div>
    <w:div w:id="1863208612">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20583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rcabc.europa.eu/faces/jsp/extension/wai/navigation/container.jsp?FormPrincipal:_idcl=FormPrincipal:_id1&amp;FormPrincipal_SUBMIT=1&amp;id=2223f393-3e21-49fa-b74e-f92c22577655&amp;javax.faces.ViewState=3sBIQo%2FzzgDGsbRdViRaNK4gHdYZGUy0wgL9qukGrP%2F47lL5UonuInRPXBoXRTBdWWdq9Tux3Znd88d6%2BPJj%2B%2FaE0ZzpHXKAip1FK3axBc7DsmJvpKpO3aunfLwkR%2F7sBd5xKwjMydvvtbAAFZnRVpupJnc%3D" TargetMode="External"/><Relationship Id="rId18" Type="http://schemas.openxmlformats.org/officeDocument/2006/relationships/hyperlink" Target="http://www.equineteurope.org/Northern-Ireland-Equality-Commission-for-Northern-Ireland&#181;" TargetMode="External"/><Relationship Id="rId26" Type="http://schemas.openxmlformats.org/officeDocument/2006/relationships/hyperlink" Target="https://www.eu2017.mt/en/Pages/home.aspx" TargetMode="External"/><Relationship Id="rId39" Type="http://schemas.openxmlformats.org/officeDocument/2006/relationships/hyperlink" Target="http://www.ardi-ep.eu/2016/12/13/european-parliament-adopts-new-rules-of-procedure-strengthening-hate-speech-sanctions/" TargetMode="External"/><Relationship Id="rId21" Type="http://schemas.openxmlformats.org/officeDocument/2006/relationships/hyperlink" Target="http://www.coface-eu.org/en/Policies/EUROPE/Pillar-of-Social-Rights" TargetMode="External"/><Relationship Id="rId34" Type="http://schemas.openxmlformats.org/officeDocument/2006/relationships/hyperlink" Target="mailto:Jessica.machacova@equineteurope.org" TargetMode="External"/><Relationship Id="rId42" Type="http://schemas.openxmlformats.org/officeDocument/2006/relationships/hyperlink" Target="https://rm.coe.int/CoERMPublicCommonSearchServices/DisplayDCTMContent?documentId=09000016806a8d8f" TargetMode="External"/><Relationship Id="rId47" Type="http://schemas.openxmlformats.org/officeDocument/2006/relationships/hyperlink" Target="http://fra.europa.eu/en/publication/2016/december-monthly-migration-focus-separated-children?_cldee=amVzc2ljYS5tYWNoYWNvdmFAZXF1aW5ldGV1cm9wZS5vcmc%3d&amp;recipientid=contact-7035426c53c2e4119de700155d040d18-c7d4bc43a9ba449c8f96a6a5b5361391&amp;esid=84ef16ad-b7c6-e611-80ce-00155d040a3b&amp;urlid=0" TargetMode="External"/><Relationship Id="rId50" Type="http://schemas.openxmlformats.org/officeDocument/2006/relationships/hyperlink" Target="http://hudoc.echr.coe.int/app/conversion/pdf?library=ECHR&amp;id=003-5592122-7062572&amp;filename=Judgment%20Osmanoglu%20and%20Kocabas%20v.%20Switzerland%20-%20compulsory%20mixed%20swimming%20lessons%20and%20religious%20conviction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quineteurope.org/Equality-Bodies-contributing-to" TargetMode="External"/><Relationship Id="rId29" Type="http://schemas.openxmlformats.org/officeDocument/2006/relationships/hyperlink" Target="http://fra.europa.eu/en/news/2016/uniting-better-promote-and-protect-fundamental-rights" TargetMode="External"/><Relationship Id="rId11" Type="http://schemas.openxmlformats.org/officeDocument/2006/relationships/hyperlink" Target="mailto:Jessica.machacova@equineteurope.org" TargetMode="External"/><Relationship Id="rId24" Type="http://schemas.openxmlformats.org/officeDocument/2006/relationships/image" Target="media/image3.png"/><Relationship Id="rId32" Type="http://schemas.openxmlformats.org/officeDocument/2006/relationships/hyperlink" Target="https://www.era.int/cgi-bin/cms?_SID=9d8bfe09eaa09b989d744025b8a5baaed6388c5600520783067151&amp;_sprache=en&amp;_bereich=artikel&amp;_aktion=detail&amp;idartikel=126493" TargetMode="External"/><Relationship Id="rId37" Type="http://schemas.openxmlformats.org/officeDocument/2006/relationships/hyperlink" Target="http://www.europarl.europa.eu/RegData/etudes/STUD/2016/571394/IPOL_STU(2016)571394_EN.pdf" TargetMode="External"/><Relationship Id="rId40" Type="http://schemas.openxmlformats.org/officeDocument/2006/relationships/hyperlink" Target="http://www.enar-eu.org/Managing-religious-diversity-in-the-workplace-a-good-practice-guide" TargetMode="External"/><Relationship Id="rId45" Type="http://schemas.openxmlformats.org/officeDocument/2006/relationships/hyperlink" Target="http://www.equalitylaw.eu/downloads/3966-the-employment-equality-directive-and-supporting-people-with-psychosocial-disabilities-in-the-workplace-a-legal-analysis-of-the-situation-in-the-eu-member-state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equineteurope.org/Office-of-the-Ombudsman,52" TargetMode="External"/><Relationship Id="rId31" Type="http://schemas.openxmlformats.org/officeDocument/2006/relationships/hyperlink" Target="https://www.era.int/cgi-bin/cms?_SID=9d8bfe09eaa09b989d744025b8a5baaed6388c5600520783067151&amp;_sprache=en&amp;_bereich=artikel&amp;_aktion=detail&amp;idartikel=126552" TargetMode="External"/><Relationship Id="rId44" Type="http://schemas.openxmlformats.org/officeDocument/2006/relationships/hyperlink" Target="http://www.coe.int/en/web/disability"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ineteurope.org/-Members-Bulletins-" TargetMode="External"/><Relationship Id="rId14" Type="http://schemas.openxmlformats.org/officeDocument/2006/relationships/hyperlink" Target="http://eur-lex.europa.eu/legal-content/EN/TXT/?uri=COM:2016:127:FIN" TargetMode="External"/><Relationship Id="rId22" Type="http://schemas.openxmlformats.org/officeDocument/2006/relationships/hyperlink" Target="http://www.youthforum.org/assets/2016/12/European-Pillar-of-Social-Rights_YFJ_External.pdf" TargetMode="External"/><Relationship Id="rId27" Type="http://schemas.openxmlformats.org/officeDocument/2006/relationships/image" Target="media/image4.png"/><Relationship Id="rId30" Type="http://schemas.openxmlformats.org/officeDocument/2006/relationships/hyperlink" Target="http://europa.eu/rapid/press-release_IP-16-4476_en.htm" TargetMode="External"/><Relationship Id="rId35" Type="http://schemas.openxmlformats.org/officeDocument/2006/relationships/hyperlink" Target="http://www.migpolgroup.com/portfolio/non-discrimination-country-reports-2016/" TargetMode="External"/><Relationship Id="rId43" Type="http://schemas.openxmlformats.org/officeDocument/2006/relationships/image" Target="media/image5.png"/><Relationship Id="rId48" Type="http://schemas.openxmlformats.org/officeDocument/2006/relationships/hyperlink" Target="https://www.etuc.org/publications/defending-undocumented-workers-means-defending-all-workers" TargetMode="External"/><Relationship Id="rId8" Type="http://schemas.openxmlformats.org/officeDocument/2006/relationships/image" Target="media/image1.png"/><Relationship Id="rId51" Type="http://schemas.openxmlformats.org/officeDocument/2006/relationships/hyperlink" Target="http://hudoc.echr.coe.int/app/conversion/pdf?library=ECHR&amp;id=003-5592124-7062574&amp;filename=Judgment%20Kacper%20Nowakowski%20v.%20Poland%20-%20contact%20rights%20of%20deaf%20and%20mute%20father%20with%20his%20son.pdf"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equineteurope.org/IHREC" TargetMode="External"/><Relationship Id="rId25" Type="http://schemas.openxmlformats.org/officeDocument/2006/relationships/hyperlink" Target="https://www.eu2017.mt/Documents/Maltese%20Priorities/EU2017MT%20-%20Presidency%20Priorities%20(EN).pdf" TargetMode="External"/><Relationship Id="rId33" Type="http://schemas.openxmlformats.org/officeDocument/2006/relationships/hyperlink" Target="http://ec.europa.eu/research/participants/portal/desktop/en/opportunities/rec/topics/rec-rdis-disc-ag-2016.html" TargetMode="External"/><Relationship Id="rId38" Type="http://schemas.openxmlformats.org/officeDocument/2006/relationships/hyperlink" Target="http://www.europarl.europa.eu/RegData/etudes/STUD/2016/571388/IPOL_STU(2016)571388_EN.pdf" TargetMode="External"/><Relationship Id="rId46" Type="http://schemas.openxmlformats.org/officeDocument/2006/relationships/hyperlink" Target="http://ec.europa.eu/social/main.jsp?catId=629&amp;langId=en&amp;callId=502&amp;furtherCalls=yes" TargetMode="External"/><Relationship Id="rId20" Type="http://schemas.openxmlformats.org/officeDocument/2006/relationships/hyperlink" Target="http://www.equineteurope.org/Equinet-Response-to-the-European-Commission-s-public-consultation-on-the-First" TargetMode="External"/><Relationship Id="rId41" Type="http://schemas.openxmlformats.org/officeDocument/2006/relationships/hyperlink" Target="http://www.equineteurope.org/Data-collection-lack-of-progress-impedes-antisemitism-figh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europa.eu/social/main.jsp?catId=1226&amp;langId=en" TargetMode="External"/><Relationship Id="rId23" Type="http://schemas.openxmlformats.org/officeDocument/2006/relationships/hyperlink" Target="http://www.edf-feph.org/sites/default/files/edfs_initial_response_of_the_european_pillar_of_social_rights_-_final_1.pdf" TargetMode="External"/><Relationship Id="rId28" Type="http://schemas.openxmlformats.org/officeDocument/2006/relationships/hyperlink" Target="http://fra.europa.eu/en/news/2016/looking-forward-2017" TargetMode="External"/><Relationship Id="rId36" Type="http://schemas.openxmlformats.org/officeDocument/2006/relationships/hyperlink" Target="http://www.wave-stepup.org/" TargetMode="External"/><Relationship Id="rId49" Type="http://schemas.openxmlformats.org/officeDocument/2006/relationships/hyperlink" Target="http://curia.europa.eu/juris/document/document.jsf?text=&amp;docid=186490&amp;pageIndex=0&amp;doclang=EN&amp;mode=lst&amp;dir=&amp;occ=first&amp;part=1&amp;cid=96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CA4B-313D-4E39-B295-FD777779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8</Pages>
  <Words>2889</Words>
  <Characters>15891</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173</cp:revision>
  <cp:lastPrinted>2017-01-10T15:45:00Z</cp:lastPrinted>
  <dcterms:created xsi:type="dcterms:W3CDTF">2015-06-12T12:43:00Z</dcterms:created>
  <dcterms:modified xsi:type="dcterms:W3CDTF">2017-01-10T15:46:00Z</dcterms:modified>
</cp:coreProperties>
</file>