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B37FD" w14:textId="25CC76B5" w:rsidR="00F01EC5" w:rsidRDefault="00D80088" w:rsidP="008301BB">
      <w:pPr>
        <w:spacing w:line="240" w:lineRule="auto"/>
        <w:jc w:val="both"/>
        <w:rPr>
          <w:b/>
          <w:noProof/>
          <w:sz w:val="28"/>
          <w:lang w:val="en-GB" w:eastAsia="fr-BE"/>
        </w:rPr>
      </w:pPr>
      <w:bookmarkStart w:id="0" w:name="_GoBack"/>
      <w:bookmarkEnd w:id="0"/>
      <w:r>
        <w:rPr>
          <w:b/>
          <w:noProof/>
          <w:sz w:val="28"/>
          <w:lang w:eastAsia="fr-BE"/>
        </w:rPr>
        <w:drawing>
          <wp:anchor distT="0" distB="0" distL="114300" distR="114300" simplePos="0" relativeHeight="251671552" behindDoc="0" locked="0" layoutInCell="1" allowOverlap="1" wp14:anchorId="78EB42D2" wp14:editId="3BC044E9">
            <wp:simplePos x="0" y="0"/>
            <wp:positionH relativeFrom="margin">
              <wp:posOffset>-685800</wp:posOffset>
            </wp:positionH>
            <wp:positionV relativeFrom="margin">
              <wp:posOffset>-914400</wp:posOffset>
            </wp:positionV>
            <wp:extent cx="7532370" cy="212407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2370" cy="2124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626731" w14:textId="239C110E" w:rsidR="00CF7284" w:rsidRPr="00C836A4" w:rsidRDefault="00F31126" w:rsidP="008301BB">
      <w:pPr>
        <w:spacing w:line="240" w:lineRule="auto"/>
        <w:jc w:val="both"/>
        <w:rPr>
          <w:b/>
          <w:noProof/>
          <w:sz w:val="28"/>
          <w:lang w:val="en-GB" w:eastAsia="fr-BE"/>
        </w:rPr>
      </w:pPr>
      <w:r w:rsidRPr="006075A4">
        <w:rPr>
          <w:b/>
          <w:lang w:val="en-GB"/>
        </w:rPr>
        <w:t xml:space="preserve">Dear Equinet Members, </w:t>
      </w:r>
      <w:r w:rsidRPr="006075A4">
        <w:rPr>
          <w:b/>
          <w:lang w:val="en-GB"/>
        </w:rPr>
        <w:tab/>
      </w:r>
      <w:r w:rsidRPr="006075A4">
        <w:rPr>
          <w:b/>
          <w:lang w:val="en-GB"/>
        </w:rPr>
        <w:br/>
      </w:r>
      <w:r w:rsidRPr="006075A4">
        <w:rPr>
          <w:lang w:val="en-GB"/>
        </w:rPr>
        <w:t xml:space="preserve">This Members’ Bulletin gathers </w:t>
      </w:r>
      <w:r w:rsidRPr="006075A4">
        <w:rPr>
          <w:b/>
          <w:lang w:val="en-GB"/>
        </w:rPr>
        <w:t>the latest European Union (EU) and international developments</w:t>
      </w:r>
      <w:r w:rsidRPr="006075A4">
        <w:rPr>
          <w:lang w:val="en-GB"/>
        </w:rPr>
        <w:t xml:space="preserve">. It aims to give you an </w:t>
      </w:r>
      <w:r w:rsidRPr="006075A4">
        <w:rPr>
          <w:b/>
          <w:lang w:val="en-GB"/>
        </w:rPr>
        <w:t>overview of relevant policy and legal developments</w:t>
      </w:r>
      <w:r w:rsidRPr="006075A4">
        <w:rPr>
          <w:lang w:val="en-GB"/>
        </w:rPr>
        <w:t xml:space="preserve">, as well as latest calls for interest, funding opportunities and upcoming events. We very much hope this members’ bulletin will be useful in your day-to-day work and we would be grateful if you could </w:t>
      </w:r>
      <w:r w:rsidRPr="006075A4">
        <w:rPr>
          <w:b/>
          <w:lang w:val="en-GB"/>
        </w:rPr>
        <w:t>disseminate it among your colleagues</w:t>
      </w:r>
      <w:r w:rsidRPr="006075A4">
        <w:rPr>
          <w:lang w:val="en-GB"/>
        </w:rPr>
        <w:t xml:space="preserve">. Your feedback is also greatly appreciated. Should you have any comments or further questions, </w:t>
      </w:r>
      <w:r w:rsidRPr="006075A4">
        <w:rPr>
          <w:b/>
          <w:lang w:val="en-GB"/>
        </w:rPr>
        <w:t xml:space="preserve">please do not hesitate to contact Jessica Machacova, Equinet </w:t>
      </w:r>
      <w:r w:rsidR="00F01EC5">
        <w:rPr>
          <w:b/>
          <w:lang w:val="en-GB"/>
        </w:rPr>
        <w:t>Membership and Policy Officer</w:t>
      </w:r>
      <w:r w:rsidRPr="006075A4">
        <w:rPr>
          <w:lang w:val="en-GB"/>
        </w:rPr>
        <w:t xml:space="preserve"> (</w:t>
      </w:r>
      <w:hyperlink r:id="rId9" w:history="1">
        <w:r w:rsidRPr="006075A4">
          <w:rPr>
            <w:rStyle w:val="Lienhypertexte"/>
            <w:lang w:val="en-GB"/>
          </w:rPr>
          <w:t>Jessica.machacova@equineteurope.org</w:t>
        </w:r>
      </w:hyperlink>
      <w:r w:rsidRPr="006075A4">
        <w:rPr>
          <w:lang w:val="en-GB"/>
        </w:rPr>
        <w:t xml:space="preserve"> / 0032 2 212 31 80). </w:t>
      </w:r>
    </w:p>
    <w:p w14:paraId="4E1D63FE" w14:textId="77777777" w:rsidR="002C3BF0" w:rsidRPr="006075A4" w:rsidRDefault="002C3BF0" w:rsidP="008301BB">
      <w:pPr>
        <w:shd w:val="clear" w:color="auto" w:fill="2F5496" w:themeFill="accent5" w:themeFillShade="BF"/>
        <w:spacing w:line="240" w:lineRule="auto"/>
        <w:jc w:val="center"/>
        <w:rPr>
          <w:b/>
          <w:color w:val="FFFFFF" w:themeColor="background1"/>
          <w:sz w:val="28"/>
          <w:lang w:val="en-GB"/>
        </w:rPr>
      </w:pPr>
      <w:r w:rsidRPr="006075A4">
        <w:rPr>
          <w:b/>
          <w:color w:val="FFFFFF" w:themeColor="background1"/>
          <w:sz w:val="28"/>
          <w:lang w:val="en-GB"/>
        </w:rPr>
        <w:t>Equinet Members’ Bulletin on latest EU and internal developments – Table of contents</w:t>
      </w:r>
    </w:p>
    <w:p w14:paraId="5891F305" w14:textId="77777777" w:rsidR="002C3BF0" w:rsidRPr="006075A4" w:rsidRDefault="002C3BF0" w:rsidP="008301BB">
      <w:pPr>
        <w:spacing w:line="240" w:lineRule="auto"/>
        <w:jc w:val="both"/>
        <w:rPr>
          <w:b/>
          <w:i/>
          <w:color w:val="FF0000"/>
          <w:lang w:val="en-GB"/>
        </w:rPr>
      </w:pPr>
      <w:r w:rsidRPr="006075A4">
        <w:rPr>
          <w:b/>
          <w:i/>
          <w:color w:val="FF0000"/>
          <w:lang w:val="en-GB"/>
        </w:rPr>
        <w:t>(Ctrl + Click to follow the link)</w:t>
      </w:r>
    </w:p>
    <w:bookmarkStart w:id="1" w:name="_Toc418770742"/>
    <w:bookmarkStart w:id="2" w:name="_Ref418783893"/>
    <w:bookmarkStart w:id="3" w:name="_Ref418783894"/>
    <w:bookmarkStart w:id="4" w:name="_Ref421267367"/>
    <w:p w14:paraId="5060A0E6" w14:textId="2789036F" w:rsidR="00C836A4" w:rsidRPr="00CF1EF8" w:rsidRDefault="00C836A4" w:rsidP="008301BB">
      <w:pPr>
        <w:spacing w:line="240" w:lineRule="auto"/>
        <w:rPr>
          <w:rFonts w:ascii="Tahoma" w:eastAsiaTheme="majorEastAsia" w:hAnsi="Tahoma" w:cstheme="majorBidi"/>
          <w:b/>
          <w:color w:val="2E74B5" w:themeColor="accent1" w:themeShade="BF"/>
          <w:sz w:val="36"/>
          <w:szCs w:val="32"/>
          <w:lang w:val="en-GB"/>
        </w:rPr>
      </w:pPr>
      <w:r w:rsidRPr="00CF1EF8">
        <w:rPr>
          <w:rFonts w:ascii="Tahoma" w:eastAsiaTheme="majorEastAsia" w:hAnsi="Tahoma" w:cstheme="majorBidi"/>
          <w:b/>
          <w:color w:val="2E74B5" w:themeColor="accent1" w:themeShade="BF"/>
          <w:sz w:val="36"/>
          <w:szCs w:val="32"/>
          <w:lang w:val="en-GB"/>
        </w:rPr>
        <w:fldChar w:fldCharType="begin"/>
      </w:r>
      <w:r w:rsidRPr="00CF1EF8">
        <w:rPr>
          <w:rFonts w:ascii="Tahoma" w:eastAsiaTheme="majorEastAsia" w:hAnsi="Tahoma" w:cstheme="majorBidi"/>
          <w:b/>
          <w:color w:val="2E74B5" w:themeColor="accent1" w:themeShade="BF"/>
          <w:sz w:val="36"/>
          <w:szCs w:val="32"/>
          <w:lang w:val="en-GB"/>
        </w:rPr>
        <w:instrText xml:space="preserve"> REF _Ref461696957 \h  \* MERGEFORMAT </w:instrText>
      </w:r>
      <w:r w:rsidRPr="00CF1EF8">
        <w:rPr>
          <w:rFonts w:ascii="Tahoma" w:eastAsiaTheme="majorEastAsia" w:hAnsi="Tahoma" w:cstheme="majorBidi"/>
          <w:b/>
          <w:color w:val="2E74B5" w:themeColor="accent1" w:themeShade="BF"/>
          <w:sz w:val="36"/>
          <w:szCs w:val="32"/>
          <w:lang w:val="en-GB"/>
        </w:rPr>
      </w:r>
      <w:r w:rsidRPr="00CF1EF8">
        <w:rPr>
          <w:rFonts w:ascii="Tahoma" w:eastAsiaTheme="majorEastAsia" w:hAnsi="Tahoma" w:cstheme="majorBidi"/>
          <w:b/>
          <w:color w:val="2E74B5" w:themeColor="accent1" w:themeShade="BF"/>
          <w:sz w:val="36"/>
          <w:szCs w:val="32"/>
          <w:lang w:val="en-GB"/>
        </w:rPr>
        <w:fldChar w:fldCharType="separate"/>
      </w:r>
      <w:r w:rsidR="00BB713D" w:rsidRPr="00BB713D">
        <w:rPr>
          <w:b/>
          <w:color w:val="0070C0"/>
          <w:sz w:val="24"/>
          <w:u w:val="single"/>
          <w:lang w:val="en-GB"/>
        </w:rPr>
        <w:t>Highlight:</w:t>
      </w:r>
      <w:r w:rsidR="00BB713D" w:rsidRPr="00BB713D">
        <w:rPr>
          <w:b/>
          <w:sz w:val="24"/>
          <w:lang w:val="en-GB"/>
        </w:rPr>
        <w:t xml:space="preserve"> European Commission launches EU-wide LGBTI campaign</w:t>
      </w:r>
      <w:r w:rsidRPr="00CF1EF8">
        <w:rPr>
          <w:rFonts w:ascii="Tahoma" w:eastAsiaTheme="majorEastAsia" w:hAnsi="Tahoma" w:cstheme="majorBidi"/>
          <w:b/>
          <w:color w:val="2E74B5" w:themeColor="accent1" w:themeShade="BF"/>
          <w:sz w:val="36"/>
          <w:szCs w:val="32"/>
          <w:lang w:val="en-GB"/>
        </w:rPr>
        <w:fldChar w:fldCharType="end"/>
      </w:r>
    </w:p>
    <w:p w14:paraId="6A7BF776" w14:textId="368D1F41" w:rsidR="00C836A4" w:rsidRPr="00CF1EF8" w:rsidRDefault="00C836A4" w:rsidP="008301BB">
      <w:pPr>
        <w:spacing w:line="240" w:lineRule="auto"/>
        <w:rPr>
          <w:rFonts w:ascii="Tahoma" w:eastAsiaTheme="majorEastAsia" w:hAnsi="Tahoma" w:cstheme="majorBidi"/>
          <w:b/>
          <w:color w:val="0070C0"/>
          <w:sz w:val="36"/>
          <w:szCs w:val="32"/>
          <w:u w:val="single"/>
          <w:lang w:val="en-GB"/>
        </w:rPr>
      </w:pPr>
      <w:r w:rsidRPr="00CF1EF8">
        <w:rPr>
          <w:rFonts w:ascii="Tahoma" w:eastAsiaTheme="majorEastAsia" w:hAnsi="Tahoma" w:cstheme="majorBidi"/>
          <w:b/>
          <w:color w:val="0070C0"/>
          <w:sz w:val="36"/>
          <w:szCs w:val="32"/>
          <w:u w:val="single"/>
          <w:lang w:val="en-GB"/>
        </w:rPr>
        <w:fldChar w:fldCharType="begin"/>
      </w:r>
      <w:r w:rsidRPr="00CF1EF8">
        <w:rPr>
          <w:rFonts w:ascii="Tahoma" w:eastAsiaTheme="majorEastAsia" w:hAnsi="Tahoma" w:cstheme="majorBidi"/>
          <w:b/>
          <w:color w:val="0070C0"/>
          <w:sz w:val="36"/>
          <w:szCs w:val="32"/>
          <w:u w:val="single"/>
          <w:lang w:val="en-GB"/>
        </w:rPr>
        <w:instrText xml:space="preserve"> REF _Ref461696958 \h  \* MERGEFORMAT </w:instrText>
      </w:r>
      <w:r w:rsidRPr="00CF1EF8">
        <w:rPr>
          <w:rFonts w:ascii="Tahoma" w:eastAsiaTheme="majorEastAsia" w:hAnsi="Tahoma" w:cstheme="majorBidi"/>
          <w:b/>
          <w:color w:val="0070C0"/>
          <w:sz w:val="36"/>
          <w:szCs w:val="32"/>
          <w:u w:val="single"/>
          <w:lang w:val="en-GB"/>
        </w:rPr>
      </w:r>
      <w:r w:rsidRPr="00CF1EF8">
        <w:rPr>
          <w:rFonts w:ascii="Tahoma" w:eastAsiaTheme="majorEastAsia" w:hAnsi="Tahoma" w:cstheme="majorBidi"/>
          <w:b/>
          <w:color w:val="0070C0"/>
          <w:sz w:val="36"/>
          <w:szCs w:val="32"/>
          <w:u w:val="single"/>
          <w:lang w:val="en-GB"/>
        </w:rPr>
        <w:fldChar w:fldCharType="separate"/>
      </w:r>
      <w:r w:rsidR="00BB713D" w:rsidRPr="00BB713D">
        <w:rPr>
          <w:b/>
          <w:color w:val="0070C0"/>
          <w:sz w:val="24"/>
          <w:u w:val="single"/>
          <w:lang w:val="en-GB"/>
        </w:rPr>
        <w:t>General information</w:t>
      </w:r>
      <w:r w:rsidRPr="00CF1EF8">
        <w:rPr>
          <w:rFonts w:ascii="Tahoma" w:eastAsiaTheme="majorEastAsia" w:hAnsi="Tahoma" w:cstheme="majorBidi"/>
          <w:b/>
          <w:color w:val="0070C0"/>
          <w:sz w:val="36"/>
          <w:szCs w:val="32"/>
          <w:u w:val="single"/>
          <w:lang w:val="en-GB"/>
        </w:rPr>
        <w:fldChar w:fldCharType="end"/>
      </w:r>
    </w:p>
    <w:p w14:paraId="79E9B68B" w14:textId="66B2AE8A" w:rsidR="00C836A4" w:rsidRDefault="00C836A4" w:rsidP="008301BB">
      <w:pPr>
        <w:pStyle w:val="Paragraphedeliste"/>
        <w:numPr>
          <w:ilvl w:val="0"/>
          <w:numId w:val="37"/>
        </w:numPr>
        <w:spacing w:line="240" w:lineRule="auto"/>
        <w:rPr>
          <w:rFonts w:ascii="Tahoma" w:eastAsiaTheme="majorEastAsia" w:hAnsi="Tahoma" w:cstheme="majorBidi"/>
          <w:b/>
          <w:color w:val="2E74B5" w:themeColor="accent1" w:themeShade="BF"/>
          <w:sz w:val="32"/>
          <w:szCs w:val="32"/>
          <w:lang w:val="en-GB"/>
        </w:rPr>
      </w:pPr>
      <w:r w:rsidRPr="00C836A4">
        <w:rPr>
          <w:rFonts w:ascii="Tahoma" w:eastAsiaTheme="majorEastAsia" w:hAnsi="Tahoma" w:cstheme="majorBidi"/>
          <w:b/>
          <w:color w:val="2E74B5" w:themeColor="accent1" w:themeShade="BF"/>
          <w:sz w:val="32"/>
          <w:szCs w:val="32"/>
          <w:lang w:val="en-GB"/>
        </w:rPr>
        <w:fldChar w:fldCharType="begin"/>
      </w:r>
      <w:r w:rsidRPr="00C836A4">
        <w:rPr>
          <w:rFonts w:ascii="Tahoma" w:eastAsiaTheme="majorEastAsia" w:hAnsi="Tahoma" w:cstheme="majorBidi"/>
          <w:b/>
          <w:color w:val="2E74B5" w:themeColor="accent1" w:themeShade="BF"/>
          <w:sz w:val="32"/>
          <w:szCs w:val="32"/>
          <w:lang w:val="en-GB"/>
        </w:rPr>
        <w:instrText xml:space="preserve"> REF _Ref461696959 \h </w:instrText>
      </w:r>
      <w:r w:rsidRPr="00C836A4">
        <w:rPr>
          <w:rFonts w:ascii="Tahoma" w:eastAsiaTheme="majorEastAsia" w:hAnsi="Tahoma" w:cstheme="majorBidi"/>
          <w:b/>
          <w:color w:val="2E74B5" w:themeColor="accent1" w:themeShade="BF"/>
          <w:sz w:val="32"/>
          <w:szCs w:val="32"/>
          <w:lang w:val="en-GB"/>
        </w:rPr>
      </w:r>
      <w:r w:rsidRPr="00C836A4">
        <w:rPr>
          <w:rFonts w:ascii="Tahoma" w:eastAsiaTheme="majorEastAsia" w:hAnsi="Tahoma" w:cstheme="majorBidi"/>
          <w:b/>
          <w:color w:val="2E74B5" w:themeColor="accent1" w:themeShade="BF"/>
          <w:sz w:val="32"/>
          <w:szCs w:val="32"/>
          <w:lang w:val="en-GB"/>
        </w:rPr>
        <w:fldChar w:fldCharType="separate"/>
      </w:r>
      <w:r w:rsidR="00BB713D">
        <w:rPr>
          <w:lang w:val="en-GB"/>
        </w:rPr>
        <w:t>Policy developments</w:t>
      </w:r>
      <w:r w:rsidRPr="00C836A4">
        <w:rPr>
          <w:rFonts w:ascii="Tahoma" w:eastAsiaTheme="majorEastAsia" w:hAnsi="Tahoma" w:cstheme="majorBidi"/>
          <w:b/>
          <w:color w:val="2E74B5" w:themeColor="accent1" w:themeShade="BF"/>
          <w:sz w:val="32"/>
          <w:szCs w:val="32"/>
          <w:lang w:val="en-GB"/>
        </w:rPr>
        <w:fldChar w:fldCharType="end"/>
      </w:r>
    </w:p>
    <w:p w14:paraId="0A1F145F" w14:textId="27C5AEF5" w:rsidR="00C836A4" w:rsidRPr="00C836A4" w:rsidRDefault="00C836A4" w:rsidP="008301BB">
      <w:pPr>
        <w:pStyle w:val="Paragraphedeliste"/>
        <w:numPr>
          <w:ilvl w:val="0"/>
          <w:numId w:val="37"/>
        </w:numPr>
        <w:spacing w:line="240" w:lineRule="auto"/>
        <w:rPr>
          <w:rFonts w:ascii="Tahoma" w:eastAsiaTheme="majorEastAsia" w:hAnsi="Tahoma" w:cstheme="majorBidi"/>
          <w:b/>
          <w:color w:val="2E74B5" w:themeColor="accent1" w:themeShade="BF"/>
          <w:sz w:val="32"/>
          <w:szCs w:val="32"/>
          <w:lang w:val="en-GB"/>
        </w:rPr>
      </w:pPr>
      <w:r w:rsidRPr="00C836A4">
        <w:rPr>
          <w:rFonts w:ascii="Tahoma" w:eastAsiaTheme="majorEastAsia" w:hAnsi="Tahoma" w:cstheme="majorBidi"/>
          <w:b/>
          <w:color w:val="2E74B5" w:themeColor="accent1" w:themeShade="BF"/>
          <w:sz w:val="32"/>
          <w:szCs w:val="32"/>
          <w:lang w:val="en-GB"/>
        </w:rPr>
        <w:fldChar w:fldCharType="begin"/>
      </w:r>
      <w:r w:rsidRPr="00C836A4">
        <w:rPr>
          <w:rFonts w:ascii="Tahoma" w:eastAsiaTheme="majorEastAsia" w:hAnsi="Tahoma" w:cstheme="majorBidi"/>
          <w:b/>
          <w:color w:val="2E74B5" w:themeColor="accent1" w:themeShade="BF"/>
          <w:sz w:val="32"/>
          <w:szCs w:val="32"/>
          <w:lang w:val="en-GB"/>
        </w:rPr>
        <w:instrText xml:space="preserve"> REF _Ref461696960 \h </w:instrText>
      </w:r>
      <w:r w:rsidRPr="00C836A4">
        <w:rPr>
          <w:rFonts w:ascii="Tahoma" w:eastAsiaTheme="majorEastAsia" w:hAnsi="Tahoma" w:cstheme="majorBidi"/>
          <w:b/>
          <w:color w:val="2E74B5" w:themeColor="accent1" w:themeShade="BF"/>
          <w:sz w:val="32"/>
          <w:szCs w:val="32"/>
          <w:lang w:val="en-GB"/>
        </w:rPr>
      </w:r>
      <w:r w:rsidRPr="00C836A4">
        <w:rPr>
          <w:rFonts w:ascii="Tahoma" w:eastAsiaTheme="majorEastAsia" w:hAnsi="Tahoma" w:cstheme="majorBidi"/>
          <w:b/>
          <w:color w:val="2E74B5" w:themeColor="accent1" w:themeShade="BF"/>
          <w:sz w:val="32"/>
          <w:szCs w:val="32"/>
          <w:lang w:val="en-GB"/>
        </w:rPr>
        <w:fldChar w:fldCharType="separate"/>
      </w:r>
      <w:r w:rsidR="00BB713D">
        <w:rPr>
          <w:lang w:val="en-GB"/>
        </w:rPr>
        <w:t>Publications, funding opportunities and events</w:t>
      </w:r>
      <w:r w:rsidRPr="00C836A4">
        <w:rPr>
          <w:rFonts w:ascii="Tahoma" w:eastAsiaTheme="majorEastAsia" w:hAnsi="Tahoma" w:cstheme="majorBidi"/>
          <w:b/>
          <w:color w:val="2E74B5" w:themeColor="accent1" w:themeShade="BF"/>
          <w:sz w:val="32"/>
          <w:szCs w:val="32"/>
          <w:lang w:val="en-GB"/>
        </w:rPr>
        <w:fldChar w:fldCharType="end"/>
      </w:r>
    </w:p>
    <w:p w14:paraId="05199C70" w14:textId="35D333AE" w:rsidR="00C836A4" w:rsidRPr="00CF1EF8" w:rsidRDefault="00C836A4" w:rsidP="008301BB">
      <w:pPr>
        <w:spacing w:line="240" w:lineRule="auto"/>
        <w:rPr>
          <w:rFonts w:ascii="Tahoma" w:eastAsiaTheme="majorEastAsia" w:hAnsi="Tahoma" w:cstheme="majorBidi"/>
          <w:b/>
          <w:color w:val="0070C0"/>
          <w:sz w:val="36"/>
          <w:szCs w:val="32"/>
          <w:u w:val="single"/>
          <w:lang w:val="en-GB"/>
        </w:rPr>
      </w:pPr>
      <w:r w:rsidRPr="00CF1EF8">
        <w:rPr>
          <w:rFonts w:ascii="Tahoma" w:eastAsiaTheme="majorEastAsia" w:hAnsi="Tahoma" w:cstheme="majorBidi"/>
          <w:b/>
          <w:color w:val="0070C0"/>
          <w:sz w:val="36"/>
          <w:szCs w:val="32"/>
          <w:u w:val="single"/>
          <w:lang w:val="en-GB"/>
        </w:rPr>
        <w:fldChar w:fldCharType="begin"/>
      </w:r>
      <w:r w:rsidRPr="00CF1EF8">
        <w:rPr>
          <w:rFonts w:ascii="Tahoma" w:eastAsiaTheme="majorEastAsia" w:hAnsi="Tahoma" w:cstheme="majorBidi"/>
          <w:b/>
          <w:color w:val="0070C0"/>
          <w:sz w:val="36"/>
          <w:szCs w:val="32"/>
          <w:u w:val="single"/>
          <w:lang w:val="en-GB"/>
        </w:rPr>
        <w:instrText xml:space="preserve"> REF _Ref421267526 \h  \* MERGEFORMAT </w:instrText>
      </w:r>
      <w:r w:rsidRPr="00CF1EF8">
        <w:rPr>
          <w:rFonts w:ascii="Tahoma" w:eastAsiaTheme="majorEastAsia" w:hAnsi="Tahoma" w:cstheme="majorBidi"/>
          <w:b/>
          <w:color w:val="0070C0"/>
          <w:sz w:val="36"/>
          <w:szCs w:val="32"/>
          <w:u w:val="single"/>
          <w:lang w:val="en-GB"/>
        </w:rPr>
      </w:r>
      <w:r w:rsidRPr="00CF1EF8">
        <w:rPr>
          <w:rFonts w:ascii="Tahoma" w:eastAsiaTheme="majorEastAsia" w:hAnsi="Tahoma" w:cstheme="majorBidi"/>
          <w:b/>
          <w:color w:val="0070C0"/>
          <w:sz w:val="36"/>
          <w:szCs w:val="32"/>
          <w:u w:val="single"/>
          <w:lang w:val="en-GB"/>
        </w:rPr>
        <w:fldChar w:fldCharType="separate"/>
      </w:r>
      <w:r w:rsidR="00BB713D" w:rsidRPr="00BB713D">
        <w:rPr>
          <w:b/>
          <w:color w:val="0070C0"/>
          <w:sz w:val="24"/>
          <w:u w:val="single"/>
          <w:lang w:val="en-GB"/>
        </w:rPr>
        <w:t>Gender Equality</w:t>
      </w:r>
      <w:r w:rsidRPr="00CF1EF8">
        <w:rPr>
          <w:rFonts w:ascii="Tahoma" w:eastAsiaTheme="majorEastAsia" w:hAnsi="Tahoma" w:cstheme="majorBidi"/>
          <w:b/>
          <w:color w:val="0070C0"/>
          <w:sz w:val="36"/>
          <w:szCs w:val="32"/>
          <w:u w:val="single"/>
          <w:lang w:val="en-GB"/>
        </w:rPr>
        <w:fldChar w:fldCharType="end"/>
      </w:r>
    </w:p>
    <w:p w14:paraId="66BCE0FC" w14:textId="07C675FA" w:rsidR="00C836A4" w:rsidRDefault="00C836A4" w:rsidP="008301BB">
      <w:pPr>
        <w:pStyle w:val="Paragraphedeliste"/>
        <w:numPr>
          <w:ilvl w:val="0"/>
          <w:numId w:val="38"/>
        </w:numPr>
        <w:spacing w:line="240" w:lineRule="auto"/>
        <w:rPr>
          <w:rFonts w:ascii="Tahoma" w:eastAsiaTheme="majorEastAsia" w:hAnsi="Tahoma" w:cstheme="majorBidi"/>
          <w:b/>
          <w:color w:val="2E74B5" w:themeColor="accent1" w:themeShade="BF"/>
          <w:sz w:val="32"/>
          <w:szCs w:val="32"/>
          <w:lang w:val="en-GB"/>
        </w:rPr>
      </w:pPr>
      <w:r w:rsidRPr="00C836A4">
        <w:rPr>
          <w:rFonts w:ascii="Tahoma" w:eastAsiaTheme="majorEastAsia" w:hAnsi="Tahoma" w:cstheme="majorBidi"/>
          <w:b/>
          <w:color w:val="2E74B5" w:themeColor="accent1" w:themeShade="BF"/>
          <w:sz w:val="32"/>
          <w:szCs w:val="32"/>
          <w:lang w:val="en-GB"/>
        </w:rPr>
        <w:fldChar w:fldCharType="begin"/>
      </w:r>
      <w:r w:rsidRPr="00C836A4">
        <w:rPr>
          <w:rFonts w:ascii="Tahoma" w:eastAsiaTheme="majorEastAsia" w:hAnsi="Tahoma" w:cstheme="majorBidi"/>
          <w:b/>
          <w:color w:val="2E74B5" w:themeColor="accent1" w:themeShade="BF"/>
          <w:sz w:val="32"/>
          <w:szCs w:val="32"/>
          <w:lang w:val="en-GB"/>
        </w:rPr>
        <w:instrText xml:space="preserve"> REF _Ref461696963 \h </w:instrText>
      </w:r>
      <w:r w:rsidRPr="00C836A4">
        <w:rPr>
          <w:rFonts w:ascii="Tahoma" w:eastAsiaTheme="majorEastAsia" w:hAnsi="Tahoma" w:cstheme="majorBidi"/>
          <w:b/>
          <w:color w:val="2E74B5" w:themeColor="accent1" w:themeShade="BF"/>
          <w:sz w:val="32"/>
          <w:szCs w:val="32"/>
          <w:lang w:val="en-GB"/>
        </w:rPr>
      </w:r>
      <w:r w:rsidRPr="00C836A4">
        <w:rPr>
          <w:rFonts w:ascii="Tahoma" w:eastAsiaTheme="majorEastAsia" w:hAnsi="Tahoma" w:cstheme="majorBidi"/>
          <w:b/>
          <w:color w:val="2E74B5" w:themeColor="accent1" w:themeShade="BF"/>
          <w:sz w:val="32"/>
          <w:szCs w:val="32"/>
          <w:lang w:val="en-GB"/>
        </w:rPr>
        <w:fldChar w:fldCharType="separate"/>
      </w:r>
      <w:r w:rsidR="00BB713D">
        <w:rPr>
          <w:lang w:val="en-GB"/>
        </w:rPr>
        <w:t>Policy Developments</w:t>
      </w:r>
      <w:r w:rsidRPr="00C836A4">
        <w:rPr>
          <w:rFonts w:ascii="Tahoma" w:eastAsiaTheme="majorEastAsia" w:hAnsi="Tahoma" w:cstheme="majorBidi"/>
          <w:b/>
          <w:color w:val="2E74B5" w:themeColor="accent1" w:themeShade="BF"/>
          <w:sz w:val="32"/>
          <w:szCs w:val="32"/>
          <w:lang w:val="en-GB"/>
        </w:rPr>
        <w:fldChar w:fldCharType="end"/>
      </w:r>
    </w:p>
    <w:p w14:paraId="59E775F7" w14:textId="5A80FCFD" w:rsidR="00C836A4" w:rsidRPr="00C836A4" w:rsidRDefault="00C836A4" w:rsidP="008301BB">
      <w:pPr>
        <w:pStyle w:val="Paragraphedeliste"/>
        <w:numPr>
          <w:ilvl w:val="0"/>
          <w:numId w:val="38"/>
        </w:numPr>
        <w:spacing w:line="240" w:lineRule="auto"/>
        <w:rPr>
          <w:rFonts w:ascii="Tahoma" w:eastAsiaTheme="majorEastAsia" w:hAnsi="Tahoma" w:cstheme="majorBidi"/>
          <w:b/>
          <w:color w:val="2E74B5" w:themeColor="accent1" w:themeShade="BF"/>
          <w:sz w:val="32"/>
          <w:szCs w:val="32"/>
          <w:lang w:val="en-GB"/>
        </w:rPr>
      </w:pPr>
      <w:r w:rsidRPr="00C836A4">
        <w:rPr>
          <w:rFonts w:ascii="Tahoma" w:eastAsiaTheme="majorEastAsia" w:hAnsi="Tahoma" w:cstheme="majorBidi"/>
          <w:b/>
          <w:color w:val="2E74B5" w:themeColor="accent1" w:themeShade="BF"/>
          <w:sz w:val="32"/>
          <w:szCs w:val="32"/>
          <w:lang w:val="en-GB"/>
        </w:rPr>
        <w:fldChar w:fldCharType="begin"/>
      </w:r>
      <w:r w:rsidRPr="00C836A4">
        <w:rPr>
          <w:rFonts w:ascii="Tahoma" w:eastAsiaTheme="majorEastAsia" w:hAnsi="Tahoma" w:cstheme="majorBidi"/>
          <w:b/>
          <w:color w:val="2E74B5" w:themeColor="accent1" w:themeShade="BF"/>
          <w:sz w:val="32"/>
          <w:szCs w:val="32"/>
          <w:lang w:val="en-GB"/>
        </w:rPr>
        <w:instrText xml:space="preserve"> REF _Ref461696965 \h </w:instrText>
      </w:r>
      <w:r w:rsidRPr="00C836A4">
        <w:rPr>
          <w:rFonts w:ascii="Tahoma" w:eastAsiaTheme="majorEastAsia" w:hAnsi="Tahoma" w:cstheme="majorBidi"/>
          <w:b/>
          <w:color w:val="2E74B5" w:themeColor="accent1" w:themeShade="BF"/>
          <w:sz w:val="32"/>
          <w:szCs w:val="32"/>
          <w:lang w:val="en-GB"/>
        </w:rPr>
      </w:r>
      <w:r w:rsidRPr="00C836A4">
        <w:rPr>
          <w:rFonts w:ascii="Tahoma" w:eastAsiaTheme="majorEastAsia" w:hAnsi="Tahoma" w:cstheme="majorBidi"/>
          <w:b/>
          <w:color w:val="2E74B5" w:themeColor="accent1" w:themeShade="BF"/>
          <w:sz w:val="32"/>
          <w:szCs w:val="32"/>
          <w:lang w:val="en-GB"/>
        </w:rPr>
        <w:fldChar w:fldCharType="separate"/>
      </w:r>
      <w:r w:rsidR="00BB713D">
        <w:rPr>
          <w:lang w:val="en-GB"/>
        </w:rPr>
        <w:t>Publications, funding opportunities and events</w:t>
      </w:r>
      <w:r w:rsidRPr="00C836A4">
        <w:rPr>
          <w:rFonts w:ascii="Tahoma" w:eastAsiaTheme="majorEastAsia" w:hAnsi="Tahoma" w:cstheme="majorBidi"/>
          <w:b/>
          <w:color w:val="2E74B5" w:themeColor="accent1" w:themeShade="BF"/>
          <w:sz w:val="32"/>
          <w:szCs w:val="32"/>
          <w:lang w:val="en-GB"/>
        </w:rPr>
        <w:fldChar w:fldCharType="end"/>
      </w:r>
    </w:p>
    <w:p w14:paraId="2B7493B0" w14:textId="227E0A55" w:rsidR="00C836A4" w:rsidRPr="00CF1EF8" w:rsidRDefault="00C836A4" w:rsidP="008301BB">
      <w:pPr>
        <w:spacing w:line="240" w:lineRule="auto"/>
        <w:rPr>
          <w:rFonts w:ascii="Tahoma" w:eastAsiaTheme="majorEastAsia" w:hAnsi="Tahoma" w:cstheme="majorBidi"/>
          <w:b/>
          <w:color w:val="0070C0"/>
          <w:sz w:val="36"/>
          <w:szCs w:val="32"/>
          <w:u w:val="single"/>
          <w:lang w:val="en-GB"/>
        </w:rPr>
      </w:pPr>
      <w:r w:rsidRPr="00CF1EF8">
        <w:rPr>
          <w:rFonts w:ascii="Tahoma" w:eastAsiaTheme="majorEastAsia" w:hAnsi="Tahoma" w:cstheme="majorBidi"/>
          <w:b/>
          <w:color w:val="0070C0"/>
          <w:sz w:val="36"/>
          <w:szCs w:val="32"/>
          <w:u w:val="single"/>
          <w:lang w:val="en-GB"/>
        </w:rPr>
        <w:fldChar w:fldCharType="begin"/>
      </w:r>
      <w:r w:rsidRPr="00CF1EF8">
        <w:rPr>
          <w:rFonts w:ascii="Tahoma" w:eastAsiaTheme="majorEastAsia" w:hAnsi="Tahoma" w:cstheme="majorBidi"/>
          <w:b/>
          <w:color w:val="0070C0"/>
          <w:sz w:val="36"/>
          <w:szCs w:val="32"/>
          <w:u w:val="single"/>
          <w:lang w:val="en-GB"/>
        </w:rPr>
        <w:instrText xml:space="preserve"> REF _Ref461696966 \h  \* MERGEFORMAT </w:instrText>
      </w:r>
      <w:r w:rsidRPr="00CF1EF8">
        <w:rPr>
          <w:rFonts w:ascii="Tahoma" w:eastAsiaTheme="majorEastAsia" w:hAnsi="Tahoma" w:cstheme="majorBidi"/>
          <w:b/>
          <w:color w:val="0070C0"/>
          <w:sz w:val="36"/>
          <w:szCs w:val="32"/>
          <w:u w:val="single"/>
          <w:lang w:val="en-GB"/>
        </w:rPr>
      </w:r>
      <w:r w:rsidRPr="00CF1EF8">
        <w:rPr>
          <w:rFonts w:ascii="Tahoma" w:eastAsiaTheme="majorEastAsia" w:hAnsi="Tahoma" w:cstheme="majorBidi"/>
          <w:b/>
          <w:color w:val="0070C0"/>
          <w:sz w:val="36"/>
          <w:szCs w:val="32"/>
          <w:u w:val="single"/>
          <w:lang w:val="en-GB"/>
        </w:rPr>
        <w:fldChar w:fldCharType="separate"/>
      </w:r>
      <w:r w:rsidR="00BB713D" w:rsidRPr="00BB713D">
        <w:rPr>
          <w:b/>
          <w:color w:val="0070C0"/>
          <w:sz w:val="24"/>
          <w:u w:val="single"/>
          <w:lang w:val="en-GB"/>
        </w:rPr>
        <w:t>Race/ethnic origin</w:t>
      </w:r>
      <w:r w:rsidRPr="00CF1EF8">
        <w:rPr>
          <w:rFonts w:ascii="Tahoma" w:eastAsiaTheme="majorEastAsia" w:hAnsi="Tahoma" w:cstheme="majorBidi"/>
          <w:b/>
          <w:color w:val="0070C0"/>
          <w:sz w:val="36"/>
          <w:szCs w:val="32"/>
          <w:u w:val="single"/>
          <w:lang w:val="en-GB"/>
        </w:rPr>
        <w:fldChar w:fldCharType="end"/>
      </w:r>
    </w:p>
    <w:p w14:paraId="0AC6A752" w14:textId="116A9B3C" w:rsidR="00C836A4" w:rsidRPr="00C836A4" w:rsidRDefault="00C836A4" w:rsidP="00C836A4">
      <w:pPr>
        <w:pStyle w:val="Paragraphedeliste"/>
        <w:numPr>
          <w:ilvl w:val="0"/>
          <w:numId w:val="39"/>
        </w:numPr>
        <w:spacing w:line="240" w:lineRule="auto"/>
        <w:rPr>
          <w:rFonts w:ascii="Tahoma" w:eastAsiaTheme="majorEastAsia" w:hAnsi="Tahoma" w:cstheme="majorBidi"/>
          <w:b/>
          <w:color w:val="2E74B5" w:themeColor="accent1" w:themeShade="BF"/>
          <w:sz w:val="32"/>
          <w:szCs w:val="32"/>
          <w:lang w:val="en-GB"/>
        </w:rPr>
      </w:pPr>
      <w:r w:rsidRPr="00C836A4">
        <w:rPr>
          <w:rFonts w:ascii="Tahoma" w:eastAsiaTheme="majorEastAsia" w:hAnsi="Tahoma" w:cstheme="majorBidi"/>
          <w:b/>
          <w:color w:val="2E74B5" w:themeColor="accent1" w:themeShade="BF"/>
          <w:sz w:val="32"/>
          <w:szCs w:val="32"/>
          <w:lang w:val="en-GB"/>
        </w:rPr>
        <w:fldChar w:fldCharType="begin"/>
      </w:r>
      <w:r w:rsidRPr="00C836A4">
        <w:rPr>
          <w:rFonts w:ascii="Tahoma" w:eastAsiaTheme="majorEastAsia" w:hAnsi="Tahoma" w:cstheme="majorBidi"/>
          <w:b/>
          <w:color w:val="2E74B5" w:themeColor="accent1" w:themeShade="BF"/>
          <w:sz w:val="32"/>
          <w:szCs w:val="32"/>
          <w:lang w:val="en-GB"/>
        </w:rPr>
        <w:instrText xml:space="preserve"> REF _Ref461696967 \h </w:instrText>
      </w:r>
      <w:r w:rsidRPr="00C836A4">
        <w:rPr>
          <w:rFonts w:ascii="Tahoma" w:eastAsiaTheme="majorEastAsia" w:hAnsi="Tahoma" w:cstheme="majorBidi"/>
          <w:b/>
          <w:color w:val="2E74B5" w:themeColor="accent1" w:themeShade="BF"/>
          <w:sz w:val="32"/>
          <w:szCs w:val="32"/>
          <w:lang w:val="en-GB"/>
        </w:rPr>
      </w:r>
      <w:r w:rsidRPr="00C836A4">
        <w:rPr>
          <w:rFonts w:ascii="Tahoma" w:eastAsiaTheme="majorEastAsia" w:hAnsi="Tahoma" w:cstheme="majorBidi"/>
          <w:b/>
          <w:color w:val="2E74B5" w:themeColor="accent1" w:themeShade="BF"/>
          <w:sz w:val="32"/>
          <w:szCs w:val="32"/>
          <w:lang w:val="en-GB"/>
        </w:rPr>
        <w:fldChar w:fldCharType="separate"/>
      </w:r>
      <w:r w:rsidR="00BB713D">
        <w:rPr>
          <w:lang w:val="en-GB"/>
        </w:rPr>
        <w:t>Policy developments</w:t>
      </w:r>
      <w:r w:rsidRPr="00C836A4">
        <w:rPr>
          <w:rFonts w:ascii="Tahoma" w:eastAsiaTheme="majorEastAsia" w:hAnsi="Tahoma" w:cstheme="majorBidi"/>
          <w:b/>
          <w:color w:val="2E74B5" w:themeColor="accent1" w:themeShade="BF"/>
          <w:sz w:val="32"/>
          <w:szCs w:val="32"/>
          <w:lang w:val="en-GB"/>
        </w:rPr>
        <w:fldChar w:fldCharType="end"/>
      </w:r>
    </w:p>
    <w:p w14:paraId="147979B6" w14:textId="03A3C20A" w:rsidR="00C836A4" w:rsidRPr="00CF1EF8" w:rsidRDefault="00C836A4" w:rsidP="008301BB">
      <w:pPr>
        <w:spacing w:line="240" w:lineRule="auto"/>
        <w:rPr>
          <w:rFonts w:ascii="Tahoma" w:eastAsiaTheme="majorEastAsia" w:hAnsi="Tahoma" w:cstheme="majorBidi"/>
          <w:b/>
          <w:color w:val="0070C0"/>
          <w:sz w:val="36"/>
          <w:szCs w:val="32"/>
          <w:u w:val="single"/>
          <w:lang w:val="en-GB"/>
        </w:rPr>
      </w:pPr>
      <w:r w:rsidRPr="00CF1EF8">
        <w:rPr>
          <w:rFonts w:ascii="Tahoma" w:eastAsiaTheme="majorEastAsia" w:hAnsi="Tahoma" w:cstheme="majorBidi"/>
          <w:b/>
          <w:color w:val="0070C0"/>
          <w:sz w:val="36"/>
          <w:szCs w:val="32"/>
          <w:u w:val="single"/>
          <w:lang w:val="en-GB"/>
        </w:rPr>
        <w:fldChar w:fldCharType="begin"/>
      </w:r>
      <w:r w:rsidRPr="00CF1EF8">
        <w:rPr>
          <w:rFonts w:ascii="Tahoma" w:eastAsiaTheme="majorEastAsia" w:hAnsi="Tahoma" w:cstheme="majorBidi"/>
          <w:b/>
          <w:color w:val="0070C0"/>
          <w:sz w:val="36"/>
          <w:szCs w:val="32"/>
          <w:u w:val="single"/>
          <w:lang w:val="en-GB"/>
        </w:rPr>
        <w:instrText xml:space="preserve"> REF _Ref461696968 \h  \* MERGEFORMAT </w:instrText>
      </w:r>
      <w:r w:rsidRPr="00CF1EF8">
        <w:rPr>
          <w:rFonts w:ascii="Tahoma" w:eastAsiaTheme="majorEastAsia" w:hAnsi="Tahoma" w:cstheme="majorBidi"/>
          <w:b/>
          <w:color w:val="0070C0"/>
          <w:sz w:val="36"/>
          <w:szCs w:val="32"/>
          <w:u w:val="single"/>
          <w:lang w:val="en-GB"/>
        </w:rPr>
      </w:r>
      <w:r w:rsidRPr="00CF1EF8">
        <w:rPr>
          <w:rFonts w:ascii="Tahoma" w:eastAsiaTheme="majorEastAsia" w:hAnsi="Tahoma" w:cstheme="majorBidi"/>
          <w:b/>
          <w:color w:val="0070C0"/>
          <w:sz w:val="36"/>
          <w:szCs w:val="32"/>
          <w:u w:val="single"/>
          <w:lang w:val="en-GB"/>
        </w:rPr>
        <w:fldChar w:fldCharType="separate"/>
      </w:r>
      <w:r w:rsidR="00BB713D" w:rsidRPr="00BB713D">
        <w:rPr>
          <w:b/>
          <w:color w:val="0070C0"/>
          <w:sz w:val="24"/>
          <w:u w:val="single"/>
          <w:lang w:val="en-GB"/>
        </w:rPr>
        <w:t>Sexual Orientation and Gender Identity</w:t>
      </w:r>
      <w:r w:rsidRPr="00CF1EF8">
        <w:rPr>
          <w:rFonts w:ascii="Tahoma" w:eastAsiaTheme="majorEastAsia" w:hAnsi="Tahoma" w:cstheme="majorBidi"/>
          <w:b/>
          <w:color w:val="0070C0"/>
          <w:sz w:val="36"/>
          <w:szCs w:val="32"/>
          <w:u w:val="single"/>
          <w:lang w:val="en-GB"/>
        </w:rPr>
        <w:fldChar w:fldCharType="end"/>
      </w:r>
    </w:p>
    <w:p w14:paraId="127CD9E9" w14:textId="3BC7B03A" w:rsidR="00C836A4" w:rsidRDefault="00C836A4" w:rsidP="008301BB">
      <w:pPr>
        <w:pStyle w:val="Paragraphedeliste"/>
        <w:numPr>
          <w:ilvl w:val="0"/>
          <w:numId w:val="39"/>
        </w:numPr>
        <w:spacing w:line="240" w:lineRule="auto"/>
        <w:rPr>
          <w:rFonts w:ascii="Tahoma" w:eastAsiaTheme="majorEastAsia" w:hAnsi="Tahoma" w:cstheme="majorBidi"/>
          <w:b/>
          <w:color w:val="2E74B5" w:themeColor="accent1" w:themeShade="BF"/>
          <w:sz w:val="32"/>
          <w:szCs w:val="32"/>
          <w:lang w:val="en-GB"/>
        </w:rPr>
      </w:pPr>
      <w:r w:rsidRPr="00C836A4">
        <w:rPr>
          <w:rFonts w:ascii="Tahoma" w:eastAsiaTheme="majorEastAsia" w:hAnsi="Tahoma" w:cstheme="majorBidi"/>
          <w:b/>
          <w:color w:val="2E74B5" w:themeColor="accent1" w:themeShade="BF"/>
          <w:sz w:val="32"/>
          <w:szCs w:val="32"/>
          <w:lang w:val="en-GB"/>
        </w:rPr>
        <w:fldChar w:fldCharType="begin"/>
      </w:r>
      <w:r w:rsidRPr="00C836A4">
        <w:rPr>
          <w:rFonts w:ascii="Tahoma" w:eastAsiaTheme="majorEastAsia" w:hAnsi="Tahoma" w:cstheme="majorBidi"/>
          <w:b/>
          <w:color w:val="2E74B5" w:themeColor="accent1" w:themeShade="BF"/>
          <w:sz w:val="32"/>
          <w:szCs w:val="32"/>
          <w:lang w:val="en-GB"/>
        </w:rPr>
        <w:instrText xml:space="preserve"> REF _Ref461696969 \h </w:instrText>
      </w:r>
      <w:r w:rsidRPr="00C836A4">
        <w:rPr>
          <w:rFonts w:ascii="Tahoma" w:eastAsiaTheme="majorEastAsia" w:hAnsi="Tahoma" w:cstheme="majorBidi"/>
          <w:b/>
          <w:color w:val="2E74B5" w:themeColor="accent1" w:themeShade="BF"/>
          <w:sz w:val="32"/>
          <w:szCs w:val="32"/>
          <w:lang w:val="en-GB"/>
        </w:rPr>
      </w:r>
      <w:r w:rsidRPr="00C836A4">
        <w:rPr>
          <w:rFonts w:ascii="Tahoma" w:eastAsiaTheme="majorEastAsia" w:hAnsi="Tahoma" w:cstheme="majorBidi"/>
          <w:b/>
          <w:color w:val="2E74B5" w:themeColor="accent1" w:themeShade="BF"/>
          <w:sz w:val="32"/>
          <w:szCs w:val="32"/>
          <w:lang w:val="en-GB"/>
        </w:rPr>
        <w:fldChar w:fldCharType="separate"/>
      </w:r>
      <w:r w:rsidR="00BB713D">
        <w:rPr>
          <w:lang w:val="en-GB"/>
        </w:rPr>
        <w:t>Policy developments</w:t>
      </w:r>
      <w:r w:rsidRPr="00C836A4">
        <w:rPr>
          <w:rFonts w:ascii="Tahoma" w:eastAsiaTheme="majorEastAsia" w:hAnsi="Tahoma" w:cstheme="majorBidi"/>
          <w:b/>
          <w:color w:val="2E74B5" w:themeColor="accent1" w:themeShade="BF"/>
          <w:sz w:val="32"/>
          <w:szCs w:val="32"/>
          <w:lang w:val="en-GB"/>
        </w:rPr>
        <w:fldChar w:fldCharType="end"/>
      </w:r>
    </w:p>
    <w:p w14:paraId="571B54FC" w14:textId="1F27C046" w:rsidR="00C836A4" w:rsidRPr="00C836A4" w:rsidRDefault="00C836A4" w:rsidP="008301BB">
      <w:pPr>
        <w:pStyle w:val="Paragraphedeliste"/>
        <w:numPr>
          <w:ilvl w:val="0"/>
          <w:numId w:val="39"/>
        </w:numPr>
        <w:spacing w:line="240" w:lineRule="auto"/>
        <w:rPr>
          <w:rFonts w:ascii="Tahoma" w:eastAsiaTheme="majorEastAsia" w:hAnsi="Tahoma" w:cstheme="majorBidi"/>
          <w:b/>
          <w:color w:val="2E74B5" w:themeColor="accent1" w:themeShade="BF"/>
          <w:sz w:val="32"/>
          <w:szCs w:val="32"/>
          <w:lang w:val="en-GB"/>
        </w:rPr>
      </w:pPr>
      <w:r w:rsidRPr="00C836A4">
        <w:rPr>
          <w:rFonts w:ascii="Tahoma" w:eastAsiaTheme="majorEastAsia" w:hAnsi="Tahoma" w:cstheme="majorBidi"/>
          <w:b/>
          <w:color w:val="2E74B5" w:themeColor="accent1" w:themeShade="BF"/>
          <w:sz w:val="32"/>
          <w:szCs w:val="32"/>
          <w:lang w:val="en-GB"/>
        </w:rPr>
        <w:fldChar w:fldCharType="begin"/>
      </w:r>
      <w:r w:rsidRPr="00C836A4">
        <w:rPr>
          <w:rFonts w:ascii="Tahoma" w:eastAsiaTheme="majorEastAsia" w:hAnsi="Tahoma" w:cstheme="majorBidi"/>
          <w:b/>
          <w:color w:val="2E74B5" w:themeColor="accent1" w:themeShade="BF"/>
          <w:sz w:val="32"/>
          <w:szCs w:val="32"/>
          <w:lang w:val="en-GB"/>
        </w:rPr>
        <w:instrText xml:space="preserve"> REF _Ref461696970 \h </w:instrText>
      </w:r>
      <w:r w:rsidRPr="00C836A4">
        <w:rPr>
          <w:rFonts w:ascii="Tahoma" w:eastAsiaTheme="majorEastAsia" w:hAnsi="Tahoma" w:cstheme="majorBidi"/>
          <w:b/>
          <w:color w:val="2E74B5" w:themeColor="accent1" w:themeShade="BF"/>
          <w:sz w:val="32"/>
          <w:szCs w:val="32"/>
          <w:lang w:val="en-GB"/>
        </w:rPr>
      </w:r>
      <w:r w:rsidRPr="00C836A4">
        <w:rPr>
          <w:rFonts w:ascii="Tahoma" w:eastAsiaTheme="majorEastAsia" w:hAnsi="Tahoma" w:cstheme="majorBidi"/>
          <w:b/>
          <w:color w:val="2E74B5" w:themeColor="accent1" w:themeShade="BF"/>
          <w:sz w:val="32"/>
          <w:szCs w:val="32"/>
          <w:lang w:val="en-GB"/>
        </w:rPr>
        <w:fldChar w:fldCharType="separate"/>
      </w:r>
      <w:r w:rsidR="00BB713D">
        <w:rPr>
          <w:lang w:val="en-GB"/>
        </w:rPr>
        <w:t>Publications, funding opportunities and events</w:t>
      </w:r>
      <w:r w:rsidRPr="00C836A4">
        <w:rPr>
          <w:rFonts w:ascii="Tahoma" w:eastAsiaTheme="majorEastAsia" w:hAnsi="Tahoma" w:cstheme="majorBidi"/>
          <w:b/>
          <w:color w:val="2E74B5" w:themeColor="accent1" w:themeShade="BF"/>
          <w:sz w:val="32"/>
          <w:szCs w:val="32"/>
          <w:lang w:val="en-GB"/>
        </w:rPr>
        <w:fldChar w:fldCharType="end"/>
      </w:r>
    </w:p>
    <w:p w14:paraId="41898CF0" w14:textId="4EC7A344" w:rsidR="00C836A4" w:rsidRPr="00CF1EF8" w:rsidRDefault="00C836A4" w:rsidP="008301BB">
      <w:pPr>
        <w:spacing w:line="240" w:lineRule="auto"/>
        <w:rPr>
          <w:rFonts w:ascii="Tahoma" w:eastAsiaTheme="majorEastAsia" w:hAnsi="Tahoma" w:cstheme="majorBidi"/>
          <w:b/>
          <w:color w:val="0070C0"/>
          <w:sz w:val="36"/>
          <w:szCs w:val="32"/>
          <w:u w:val="single"/>
          <w:lang w:val="en-GB"/>
        </w:rPr>
      </w:pPr>
      <w:r w:rsidRPr="00CF1EF8">
        <w:rPr>
          <w:rFonts w:ascii="Tahoma" w:eastAsiaTheme="majorEastAsia" w:hAnsi="Tahoma" w:cstheme="majorBidi"/>
          <w:b/>
          <w:color w:val="0070C0"/>
          <w:sz w:val="36"/>
          <w:szCs w:val="32"/>
          <w:u w:val="single"/>
          <w:lang w:val="en-GB"/>
        </w:rPr>
        <w:fldChar w:fldCharType="begin"/>
      </w:r>
      <w:r w:rsidRPr="00CF1EF8">
        <w:rPr>
          <w:rFonts w:ascii="Tahoma" w:eastAsiaTheme="majorEastAsia" w:hAnsi="Tahoma" w:cstheme="majorBidi"/>
          <w:b/>
          <w:color w:val="0070C0"/>
          <w:sz w:val="36"/>
          <w:szCs w:val="32"/>
          <w:u w:val="single"/>
          <w:lang w:val="en-GB"/>
        </w:rPr>
        <w:instrText xml:space="preserve"> REF _Ref461696974 \h  \* MERGEFORMAT </w:instrText>
      </w:r>
      <w:r w:rsidRPr="00CF1EF8">
        <w:rPr>
          <w:rFonts w:ascii="Tahoma" w:eastAsiaTheme="majorEastAsia" w:hAnsi="Tahoma" w:cstheme="majorBidi"/>
          <w:b/>
          <w:color w:val="0070C0"/>
          <w:sz w:val="36"/>
          <w:szCs w:val="32"/>
          <w:u w:val="single"/>
          <w:lang w:val="en-GB"/>
        </w:rPr>
      </w:r>
      <w:r w:rsidRPr="00CF1EF8">
        <w:rPr>
          <w:rFonts w:ascii="Tahoma" w:eastAsiaTheme="majorEastAsia" w:hAnsi="Tahoma" w:cstheme="majorBidi"/>
          <w:b/>
          <w:color w:val="0070C0"/>
          <w:sz w:val="36"/>
          <w:szCs w:val="32"/>
          <w:u w:val="single"/>
          <w:lang w:val="en-GB"/>
        </w:rPr>
        <w:fldChar w:fldCharType="separate"/>
      </w:r>
      <w:r w:rsidR="00BB713D" w:rsidRPr="00BB713D">
        <w:rPr>
          <w:b/>
          <w:color w:val="0070C0"/>
          <w:sz w:val="24"/>
          <w:u w:val="single"/>
          <w:lang w:val="en-GB"/>
        </w:rPr>
        <w:t>Disability</w:t>
      </w:r>
      <w:r w:rsidRPr="00CF1EF8">
        <w:rPr>
          <w:rFonts w:ascii="Tahoma" w:eastAsiaTheme="majorEastAsia" w:hAnsi="Tahoma" w:cstheme="majorBidi"/>
          <w:b/>
          <w:color w:val="0070C0"/>
          <w:sz w:val="36"/>
          <w:szCs w:val="32"/>
          <w:u w:val="single"/>
          <w:lang w:val="en-GB"/>
        </w:rPr>
        <w:fldChar w:fldCharType="end"/>
      </w:r>
    </w:p>
    <w:p w14:paraId="5AB6A67F" w14:textId="4F50DE94" w:rsidR="00C836A4" w:rsidRPr="00C836A4" w:rsidRDefault="00C836A4" w:rsidP="00C836A4">
      <w:pPr>
        <w:pStyle w:val="Paragraphedeliste"/>
        <w:numPr>
          <w:ilvl w:val="0"/>
          <w:numId w:val="40"/>
        </w:numPr>
        <w:spacing w:line="240" w:lineRule="auto"/>
        <w:rPr>
          <w:rFonts w:ascii="Tahoma" w:eastAsiaTheme="majorEastAsia" w:hAnsi="Tahoma" w:cstheme="majorBidi"/>
          <w:b/>
          <w:color w:val="2E74B5" w:themeColor="accent1" w:themeShade="BF"/>
          <w:sz w:val="32"/>
          <w:szCs w:val="32"/>
          <w:lang w:val="en-GB"/>
        </w:rPr>
      </w:pPr>
      <w:r w:rsidRPr="00C836A4">
        <w:rPr>
          <w:rFonts w:ascii="Tahoma" w:eastAsiaTheme="majorEastAsia" w:hAnsi="Tahoma" w:cstheme="majorBidi"/>
          <w:b/>
          <w:color w:val="2E74B5" w:themeColor="accent1" w:themeShade="BF"/>
          <w:sz w:val="32"/>
          <w:szCs w:val="32"/>
          <w:lang w:val="en-GB"/>
        </w:rPr>
        <w:fldChar w:fldCharType="begin"/>
      </w:r>
      <w:r w:rsidRPr="00C836A4">
        <w:rPr>
          <w:rFonts w:ascii="Tahoma" w:eastAsiaTheme="majorEastAsia" w:hAnsi="Tahoma" w:cstheme="majorBidi"/>
          <w:b/>
          <w:color w:val="2E74B5" w:themeColor="accent1" w:themeShade="BF"/>
          <w:sz w:val="32"/>
          <w:szCs w:val="32"/>
          <w:lang w:val="en-GB"/>
        </w:rPr>
        <w:instrText xml:space="preserve"> REF _Ref461696975 \h </w:instrText>
      </w:r>
      <w:r w:rsidRPr="00C836A4">
        <w:rPr>
          <w:rFonts w:ascii="Tahoma" w:eastAsiaTheme="majorEastAsia" w:hAnsi="Tahoma" w:cstheme="majorBidi"/>
          <w:b/>
          <w:color w:val="2E74B5" w:themeColor="accent1" w:themeShade="BF"/>
          <w:sz w:val="32"/>
          <w:szCs w:val="32"/>
          <w:lang w:val="en-GB"/>
        </w:rPr>
      </w:r>
      <w:r w:rsidRPr="00C836A4">
        <w:rPr>
          <w:rFonts w:ascii="Tahoma" w:eastAsiaTheme="majorEastAsia" w:hAnsi="Tahoma" w:cstheme="majorBidi"/>
          <w:b/>
          <w:color w:val="2E74B5" w:themeColor="accent1" w:themeShade="BF"/>
          <w:sz w:val="32"/>
          <w:szCs w:val="32"/>
          <w:lang w:val="en-GB"/>
        </w:rPr>
        <w:fldChar w:fldCharType="separate"/>
      </w:r>
      <w:r w:rsidR="00BB713D">
        <w:rPr>
          <w:lang w:val="en-GB"/>
        </w:rPr>
        <w:t>Policy developments</w:t>
      </w:r>
      <w:r w:rsidRPr="00C836A4">
        <w:rPr>
          <w:rFonts w:ascii="Tahoma" w:eastAsiaTheme="majorEastAsia" w:hAnsi="Tahoma" w:cstheme="majorBidi"/>
          <w:b/>
          <w:color w:val="2E74B5" w:themeColor="accent1" w:themeShade="BF"/>
          <w:sz w:val="32"/>
          <w:szCs w:val="32"/>
          <w:lang w:val="en-GB"/>
        </w:rPr>
        <w:fldChar w:fldCharType="end"/>
      </w:r>
    </w:p>
    <w:p w14:paraId="1198E176" w14:textId="3DCDAE73" w:rsidR="00C836A4" w:rsidRPr="00CF1EF8" w:rsidRDefault="00C836A4" w:rsidP="008301BB">
      <w:pPr>
        <w:spacing w:line="240" w:lineRule="auto"/>
        <w:rPr>
          <w:rFonts w:ascii="Tahoma" w:eastAsiaTheme="majorEastAsia" w:hAnsi="Tahoma" w:cstheme="majorBidi"/>
          <w:b/>
          <w:color w:val="0070C0"/>
          <w:sz w:val="36"/>
          <w:szCs w:val="32"/>
          <w:u w:val="single"/>
          <w:lang w:val="en-GB"/>
        </w:rPr>
      </w:pPr>
      <w:r w:rsidRPr="00CF1EF8">
        <w:rPr>
          <w:rFonts w:ascii="Tahoma" w:eastAsiaTheme="majorEastAsia" w:hAnsi="Tahoma" w:cstheme="majorBidi"/>
          <w:b/>
          <w:color w:val="0070C0"/>
          <w:sz w:val="36"/>
          <w:szCs w:val="32"/>
          <w:u w:val="single"/>
          <w:lang w:val="en-GB"/>
        </w:rPr>
        <w:fldChar w:fldCharType="begin"/>
      </w:r>
      <w:r w:rsidRPr="00CF1EF8">
        <w:rPr>
          <w:rFonts w:ascii="Tahoma" w:eastAsiaTheme="majorEastAsia" w:hAnsi="Tahoma" w:cstheme="majorBidi"/>
          <w:b/>
          <w:color w:val="0070C0"/>
          <w:sz w:val="36"/>
          <w:szCs w:val="32"/>
          <w:u w:val="single"/>
          <w:lang w:val="en-GB"/>
        </w:rPr>
        <w:instrText xml:space="preserve"> REF _Ref421267547 \h  \* MERGEFORMAT </w:instrText>
      </w:r>
      <w:r w:rsidRPr="00CF1EF8">
        <w:rPr>
          <w:rFonts w:ascii="Tahoma" w:eastAsiaTheme="majorEastAsia" w:hAnsi="Tahoma" w:cstheme="majorBidi"/>
          <w:b/>
          <w:color w:val="0070C0"/>
          <w:sz w:val="36"/>
          <w:szCs w:val="32"/>
          <w:u w:val="single"/>
          <w:lang w:val="en-GB"/>
        </w:rPr>
      </w:r>
      <w:r w:rsidRPr="00CF1EF8">
        <w:rPr>
          <w:rFonts w:ascii="Tahoma" w:eastAsiaTheme="majorEastAsia" w:hAnsi="Tahoma" w:cstheme="majorBidi"/>
          <w:b/>
          <w:color w:val="0070C0"/>
          <w:sz w:val="36"/>
          <w:szCs w:val="32"/>
          <w:u w:val="single"/>
          <w:lang w:val="en-GB"/>
        </w:rPr>
        <w:fldChar w:fldCharType="separate"/>
      </w:r>
      <w:r w:rsidR="00BB713D" w:rsidRPr="00BB713D">
        <w:rPr>
          <w:b/>
          <w:color w:val="0070C0"/>
          <w:sz w:val="24"/>
          <w:u w:val="single"/>
          <w:lang w:val="en-GB"/>
        </w:rPr>
        <w:t>Age</w:t>
      </w:r>
      <w:r w:rsidRPr="00CF1EF8">
        <w:rPr>
          <w:rFonts w:ascii="Tahoma" w:eastAsiaTheme="majorEastAsia" w:hAnsi="Tahoma" w:cstheme="majorBidi"/>
          <w:b/>
          <w:color w:val="0070C0"/>
          <w:sz w:val="36"/>
          <w:szCs w:val="32"/>
          <w:u w:val="single"/>
          <w:lang w:val="en-GB"/>
        </w:rPr>
        <w:fldChar w:fldCharType="end"/>
      </w:r>
    </w:p>
    <w:p w14:paraId="17CCACB8" w14:textId="7F87ADB8" w:rsidR="00C836A4" w:rsidRDefault="00C836A4" w:rsidP="008301BB">
      <w:pPr>
        <w:pStyle w:val="Paragraphedeliste"/>
        <w:numPr>
          <w:ilvl w:val="0"/>
          <w:numId w:val="40"/>
        </w:numPr>
        <w:spacing w:line="240" w:lineRule="auto"/>
        <w:rPr>
          <w:rFonts w:ascii="Tahoma" w:eastAsiaTheme="majorEastAsia" w:hAnsi="Tahoma" w:cstheme="majorBidi"/>
          <w:b/>
          <w:color w:val="2E74B5" w:themeColor="accent1" w:themeShade="BF"/>
          <w:sz w:val="32"/>
          <w:szCs w:val="32"/>
          <w:lang w:val="en-GB"/>
        </w:rPr>
      </w:pPr>
      <w:r w:rsidRPr="00C836A4">
        <w:rPr>
          <w:rFonts w:ascii="Tahoma" w:eastAsiaTheme="majorEastAsia" w:hAnsi="Tahoma" w:cstheme="majorBidi"/>
          <w:b/>
          <w:color w:val="2E74B5" w:themeColor="accent1" w:themeShade="BF"/>
          <w:sz w:val="32"/>
          <w:szCs w:val="32"/>
          <w:lang w:val="en-GB"/>
        </w:rPr>
        <w:fldChar w:fldCharType="begin"/>
      </w:r>
      <w:r w:rsidRPr="00C836A4">
        <w:rPr>
          <w:rFonts w:ascii="Tahoma" w:eastAsiaTheme="majorEastAsia" w:hAnsi="Tahoma" w:cstheme="majorBidi"/>
          <w:b/>
          <w:color w:val="2E74B5" w:themeColor="accent1" w:themeShade="BF"/>
          <w:sz w:val="32"/>
          <w:szCs w:val="32"/>
          <w:lang w:val="en-GB"/>
        </w:rPr>
        <w:instrText xml:space="preserve"> REF _Ref461696978 \h </w:instrText>
      </w:r>
      <w:r w:rsidRPr="00C836A4">
        <w:rPr>
          <w:rFonts w:ascii="Tahoma" w:eastAsiaTheme="majorEastAsia" w:hAnsi="Tahoma" w:cstheme="majorBidi"/>
          <w:b/>
          <w:color w:val="2E74B5" w:themeColor="accent1" w:themeShade="BF"/>
          <w:sz w:val="32"/>
          <w:szCs w:val="32"/>
          <w:lang w:val="en-GB"/>
        </w:rPr>
      </w:r>
      <w:r w:rsidRPr="00C836A4">
        <w:rPr>
          <w:rFonts w:ascii="Tahoma" w:eastAsiaTheme="majorEastAsia" w:hAnsi="Tahoma" w:cstheme="majorBidi"/>
          <w:b/>
          <w:color w:val="2E74B5" w:themeColor="accent1" w:themeShade="BF"/>
          <w:sz w:val="32"/>
          <w:szCs w:val="32"/>
          <w:lang w:val="en-GB"/>
        </w:rPr>
        <w:fldChar w:fldCharType="separate"/>
      </w:r>
      <w:r w:rsidR="00BB713D">
        <w:rPr>
          <w:lang w:val="en-GB"/>
        </w:rPr>
        <w:t>Policy developments</w:t>
      </w:r>
      <w:r w:rsidRPr="00C836A4">
        <w:rPr>
          <w:rFonts w:ascii="Tahoma" w:eastAsiaTheme="majorEastAsia" w:hAnsi="Tahoma" w:cstheme="majorBidi"/>
          <w:b/>
          <w:color w:val="2E74B5" w:themeColor="accent1" w:themeShade="BF"/>
          <w:sz w:val="32"/>
          <w:szCs w:val="32"/>
          <w:lang w:val="en-GB"/>
        </w:rPr>
        <w:fldChar w:fldCharType="end"/>
      </w:r>
    </w:p>
    <w:p w14:paraId="47D9DF92" w14:textId="619E1E7B" w:rsidR="00C836A4" w:rsidRPr="00C836A4" w:rsidRDefault="00C836A4" w:rsidP="008301BB">
      <w:pPr>
        <w:pStyle w:val="Paragraphedeliste"/>
        <w:numPr>
          <w:ilvl w:val="0"/>
          <w:numId w:val="40"/>
        </w:numPr>
        <w:spacing w:line="240" w:lineRule="auto"/>
        <w:rPr>
          <w:rFonts w:ascii="Tahoma" w:eastAsiaTheme="majorEastAsia" w:hAnsi="Tahoma" w:cstheme="majorBidi"/>
          <w:b/>
          <w:color w:val="2E74B5" w:themeColor="accent1" w:themeShade="BF"/>
          <w:sz w:val="32"/>
          <w:szCs w:val="32"/>
          <w:lang w:val="en-GB"/>
        </w:rPr>
      </w:pPr>
      <w:r w:rsidRPr="00C836A4">
        <w:rPr>
          <w:rFonts w:ascii="Tahoma" w:eastAsiaTheme="majorEastAsia" w:hAnsi="Tahoma" w:cstheme="majorBidi"/>
          <w:b/>
          <w:color w:val="2E74B5" w:themeColor="accent1" w:themeShade="BF"/>
          <w:sz w:val="32"/>
          <w:szCs w:val="32"/>
          <w:lang w:val="en-GB"/>
        </w:rPr>
        <w:fldChar w:fldCharType="begin"/>
      </w:r>
      <w:r w:rsidRPr="00C836A4">
        <w:rPr>
          <w:rFonts w:ascii="Tahoma" w:eastAsiaTheme="majorEastAsia" w:hAnsi="Tahoma" w:cstheme="majorBidi"/>
          <w:b/>
          <w:color w:val="2E74B5" w:themeColor="accent1" w:themeShade="BF"/>
          <w:sz w:val="32"/>
          <w:szCs w:val="32"/>
          <w:lang w:val="en-GB"/>
        </w:rPr>
        <w:instrText xml:space="preserve"> REF _Ref461696979 \h </w:instrText>
      </w:r>
      <w:r w:rsidRPr="00C836A4">
        <w:rPr>
          <w:rFonts w:ascii="Tahoma" w:eastAsiaTheme="majorEastAsia" w:hAnsi="Tahoma" w:cstheme="majorBidi"/>
          <w:b/>
          <w:color w:val="2E74B5" w:themeColor="accent1" w:themeShade="BF"/>
          <w:sz w:val="32"/>
          <w:szCs w:val="32"/>
          <w:lang w:val="en-GB"/>
        </w:rPr>
      </w:r>
      <w:r w:rsidRPr="00C836A4">
        <w:rPr>
          <w:rFonts w:ascii="Tahoma" w:eastAsiaTheme="majorEastAsia" w:hAnsi="Tahoma" w:cstheme="majorBidi"/>
          <w:b/>
          <w:color w:val="2E74B5" w:themeColor="accent1" w:themeShade="BF"/>
          <w:sz w:val="32"/>
          <w:szCs w:val="32"/>
          <w:lang w:val="en-GB"/>
        </w:rPr>
        <w:fldChar w:fldCharType="separate"/>
      </w:r>
      <w:r w:rsidR="00BB713D">
        <w:rPr>
          <w:lang w:val="en-GB"/>
        </w:rPr>
        <w:t>Publications, funding opportunities and events</w:t>
      </w:r>
      <w:r w:rsidRPr="00C836A4">
        <w:rPr>
          <w:rFonts w:ascii="Tahoma" w:eastAsiaTheme="majorEastAsia" w:hAnsi="Tahoma" w:cstheme="majorBidi"/>
          <w:b/>
          <w:color w:val="2E74B5" w:themeColor="accent1" w:themeShade="BF"/>
          <w:sz w:val="32"/>
          <w:szCs w:val="32"/>
          <w:lang w:val="en-GB"/>
        </w:rPr>
        <w:fldChar w:fldCharType="end"/>
      </w:r>
    </w:p>
    <w:p w14:paraId="0CD4E47C" w14:textId="290AAFC7" w:rsidR="00CF1EF8" w:rsidRPr="00CF1EF8" w:rsidRDefault="00C836A4" w:rsidP="008301BB">
      <w:pPr>
        <w:spacing w:line="240" w:lineRule="auto"/>
        <w:rPr>
          <w:rFonts w:ascii="Tahoma" w:eastAsiaTheme="majorEastAsia" w:hAnsi="Tahoma" w:cstheme="majorBidi"/>
          <w:b/>
          <w:color w:val="0070C0"/>
          <w:sz w:val="36"/>
          <w:szCs w:val="32"/>
          <w:u w:val="single"/>
          <w:lang w:val="en-GB"/>
        </w:rPr>
      </w:pPr>
      <w:r w:rsidRPr="00CF1EF8">
        <w:rPr>
          <w:rFonts w:ascii="Tahoma" w:eastAsiaTheme="majorEastAsia" w:hAnsi="Tahoma" w:cstheme="majorBidi"/>
          <w:b/>
          <w:color w:val="0070C0"/>
          <w:sz w:val="36"/>
          <w:szCs w:val="32"/>
          <w:u w:val="single"/>
          <w:lang w:val="en-GB"/>
        </w:rPr>
        <w:fldChar w:fldCharType="begin"/>
      </w:r>
      <w:r w:rsidRPr="00CF1EF8">
        <w:rPr>
          <w:rFonts w:ascii="Tahoma" w:eastAsiaTheme="majorEastAsia" w:hAnsi="Tahoma" w:cstheme="majorBidi"/>
          <w:b/>
          <w:color w:val="0070C0"/>
          <w:sz w:val="36"/>
          <w:szCs w:val="32"/>
          <w:u w:val="single"/>
          <w:lang w:val="en-GB"/>
        </w:rPr>
        <w:instrText xml:space="preserve"> REF _Ref461696981 \h </w:instrText>
      </w:r>
      <w:r w:rsidR="00CF1EF8" w:rsidRPr="00CF1EF8">
        <w:rPr>
          <w:rFonts w:ascii="Tahoma" w:eastAsiaTheme="majorEastAsia" w:hAnsi="Tahoma" w:cstheme="majorBidi"/>
          <w:b/>
          <w:color w:val="0070C0"/>
          <w:sz w:val="36"/>
          <w:szCs w:val="32"/>
          <w:u w:val="single"/>
          <w:lang w:val="en-GB"/>
        </w:rPr>
        <w:instrText xml:space="preserve"> \* MERGEFORMAT </w:instrText>
      </w:r>
      <w:r w:rsidRPr="00CF1EF8">
        <w:rPr>
          <w:rFonts w:ascii="Tahoma" w:eastAsiaTheme="majorEastAsia" w:hAnsi="Tahoma" w:cstheme="majorBidi"/>
          <w:b/>
          <w:color w:val="0070C0"/>
          <w:sz w:val="36"/>
          <w:szCs w:val="32"/>
          <w:u w:val="single"/>
          <w:lang w:val="en-GB"/>
        </w:rPr>
      </w:r>
      <w:r w:rsidRPr="00CF1EF8">
        <w:rPr>
          <w:rFonts w:ascii="Tahoma" w:eastAsiaTheme="majorEastAsia" w:hAnsi="Tahoma" w:cstheme="majorBidi"/>
          <w:b/>
          <w:color w:val="0070C0"/>
          <w:sz w:val="36"/>
          <w:szCs w:val="32"/>
          <w:u w:val="single"/>
          <w:lang w:val="en-GB"/>
        </w:rPr>
        <w:fldChar w:fldCharType="separate"/>
      </w:r>
      <w:r w:rsidR="00BB713D" w:rsidRPr="00BB713D">
        <w:rPr>
          <w:b/>
          <w:color w:val="0070C0"/>
          <w:sz w:val="24"/>
          <w:u w:val="single"/>
          <w:lang w:val="en-GB"/>
        </w:rPr>
        <w:t>Migration and asylum</w:t>
      </w:r>
      <w:r w:rsidRPr="00CF1EF8">
        <w:rPr>
          <w:rFonts w:ascii="Tahoma" w:eastAsiaTheme="majorEastAsia" w:hAnsi="Tahoma" w:cstheme="majorBidi"/>
          <w:b/>
          <w:color w:val="0070C0"/>
          <w:sz w:val="36"/>
          <w:szCs w:val="32"/>
          <w:u w:val="single"/>
          <w:lang w:val="en-GB"/>
        </w:rPr>
        <w:fldChar w:fldCharType="end"/>
      </w:r>
    </w:p>
    <w:p w14:paraId="39AF8B59" w14:textId="6620D92A" w:rsidR="00CF1EF8" w:rsidRDefault="00C836A4" w:rsidP="008301BB">
      <w:pPr>
        <w:pStyle w:val="Paragraphedeliste"/>
        <w:numPr>
          <w:ilvl w:val="0"/>
          <w:numId w:val="41"/>
        </w:numPr>
        <w:spacing w:line="240" w:lineRule="auto"/>
        <w:rPr>
          <w:rFonts w:ascii="Tahoma" w:eastAsiaTheme="majorEastAsia" w:hAnsi="Tahoma" w:cstheme="majorBidi"/>
          <w:b/>
          <w:color w:val="2E74B5" w:themeColor="accent1" w:themeShade="BF"/>
          <w:sz w:val="32"/>
          <w:szCs w:val="32"/>
          <w:lang w:val="en-GB"/>
        </w:rPr>
      </w:pPr>
      <w:r w:rsidRPr="00CF1EF8">
        <w:rPr>
          <w:rFonts w:ascii="Tahoma" w:eastAsiaTheme="majorEastAsia" w:hAnsi="Tahoma" w:cstheme="majorBidi"/>
          <w:b/>
          <w:color w:val="2E74B5" w:themeColor="accent1" w:themeShade="BF"/>
          <w:sz w:val="32"/>
          <w:szCs w:val="32"/>
          <w:lang w:val="en-GB"/>
        </w:rPr>
        <w:fldChar w:fldCharType="begin"/>
      </w:r>
      <w:r w:rsidRPr="00CF1EF8">
        <w:rPr>
          <w:rFonts w:ascii="Tahoma" w:eastAsiaTheme="majorEastAsia" w:hAnsi="Tahoma" w:cstheme="majorBidi"/>
          <w:b/>
          <w:color w:val="2E74B5" w:themeColor="accent1" w:themeShade="BF"/>
          <w:sz w:val="32"/>
          <w:szCs w:val="32"/>
          <w:lang w:val="en-GB"/>
        </w:rPr>
        <w:instrText xml:space="preserve"> REF _Ref461696982 \h </w:instrText>
      </w:r>
      <w:r w:rsidRPr="00CF1EF8">
        <w:rPr>
          <w:rFonts w:ascii="Tahoma" w:eastAsiaTheme="majorEastAsia" w:hAnsi="Tahoma" w:cstheme="majorBidi"/>
          <w:b/>
          <w:color w:val="2E74B5" w:themeColor="accent1" w:themeShade="BF"/>
          <w:sz w:val="32"/>
          <w:szCs w:val="32"/>
          <w:lang w:val="en-GB"/>
        </w:rPr>
      </w:r>
      <w:r w:rsidRPr="00CF1EF8">
        <w:rPr>
          <w:rFonts w:ascii="Tahoma" w:eastAsiaTheme="majorEastAsia" w:hAnsi="Tahoma" w:cstheme="majorBidi"/>
          <w:b/>
          <w:color w:val="2E74B5" w:themeColor="accent1" w:themeShade="BF"/>
          <w:sz w:val="32"/>
          <w:szCs w:val="32"/>
          <w:lang w:val="en-GB"/>
        </w:rPr>
        <w:fldChar w:fldCharType="separate"/>
      </w:r>
      <w:r w:rsidR="00BB713D">
        <w:rPr>
          <w:lang w:val="en-GB"/>
        </w:rPr>
        <w:t>Policy Developments</w:t>
      </w:r>
      <w:r w:rsidRPr="00CF1EF8">
        <w:rPr>
          <w:rFonts w:ascii="Tahoma" w:eastAsiaTheme="majorEastAsia" w:hAnsi="Tahoma" w:cstheme="majorBidi"/>
          <w:b/>
          <w:color w:val="2E74B5" w:themeColor="accent1" w:themeShade="BF"/>
          <w:sz w:val="32"/>
          <w:szCs w:val="32"/>
          <w:lang w:val="en-GB"/>
        </w:rPr>
        <w:fldChar w:fldCharType="end"/>
      </w:r>
    </w:p>
    <w:p w14:paraId="19F4E5CA" w14:textId="7664288A" w:rsidR="00CF1EF8" w:rsidRPr="00CF1EF8" w:rsidRDefault="00C836A4" w:rsidP="008301BB">
      <w:pPr>
        <w:pStyle w:val="Paragraphedeliste"/>
        <w:numPr>
          <w:ilvl w:val="0"/>
          <w:numId w:val="41"/>
        </w:numPr>
        <w:spacing w:line="240" w:lineRule="auto"/>
        <w:rPr>
          <w:rFonts w:ascii="Tahoma" w:eastAsiaTheme="majorEastAsia" w:hAnsi="Tahoma" w:cstheme="majorBidi"/>
          <w:b/>
          <w:color w:val="2E74B5" w:themeColor="accent1" w:themeShade="BF"/>
          <w:sz w:val="32"/>
          <w:szCs w:val="32"/>
          <w:lang w:val="en-GB"/>
        </w:rPr>
      </w:pPr>
      <w:r w:rsidRPr="00CF1EF8">
        <w:rPr>
          <w:rFonts w:ascii="Tahoma" w:eastAsiaTheme="majorEastAsia" w:hAnsi="Tahoma" w:cstheme="majorBidi"/>
          <w:b/>
          <w:color w:val="2E74B5" w:themeColor="accent1" w:themeShade="BF"/>
          <w:sz w:val="32"/>
          <w:szCs w:val="32"/>
          <w:lang w:val="en-GB"/>
        </w:rPr>
        <w:lastRenderedPageBreak/>
        <w:fldChar w:fldCharType="begin"/>
      </w:r>
      <w:r w:rsidRPr="00CF1EF8">
        <w:rPr>
          <w:rFonts w:ascii="Tahoma" w:eastAsiaTheme="majorEastAsia" w:hAnsi="Tahoma" w:cstheme="majorBidi"/>
          <w:b/>
          <w:color w:val="2E74B5" w:themeColor="accent1" w:themeShade="BF"/>
          <w:sz w:val="32"/>
          <w:szCs w:val="32"/>
          <w:lang w:val="en-GB"/>
        </w:rPr>
        <w:instrText xml:space="preserve"> REF _Ref461696983 \h </w:instrText>
      </w:r>
      <w:r w:rsidRPr="00CF1EF8">
        <w:rPr>
          <w:rFonts w:ascii="Tahoma" w:eastAsiaTheme="majorEastAsia" w:hAnsi="Tahoma" w:cstheme="majorBidi"/>
          <w:b/>
          <w:color w:val="2E74B5" w:themeColor="accent1" w:themeShade="BF"/>
          <w:sz w:val="32"/>
          <w:szCs w:val="32"/>
          <w:lang w:val="en-GB"/>
        </w:rPr>
      </w:r>
      <w:r w:rsidRPr="00CF1EF8">
        <w:rPr>
          <w:rFonts w:ascii="Tahoma" w:eastAsiaTheme="majorEastAsia" w:hAnsi="Tahoma" w:cstheme="majorBidi"/>
          <w:b/>
          <w:color w:val="2E74B5" w:themeColor="accent1" w:themeShade="BF"/>
          <w:sz w:val="32"/>
          <w:szCs w:val="32"/>
          <w:lang w:val="en-GB"/>
        </w:rPr>
        <w:fldChar w:fldCharType="separate"/>
      </w:r>
      <w:r w:rsidR="00BB713D">
        <w:rPr>
          <w:lang w:val="en-GB"/>
        </w:rPr>
        <w:t>Publications, funding opportunities and events</w:t>
      </w:r>
      <w:r w:rsidRPr="00CF1EF8">
        <w:rPr>
          <w:rFonts w:ascii="Tahoma" w:eastAsiaTheme="majorEastAsia" w:hAnsi="Tahoma" w:cstheme="majorBidi"/>
          <w:b/>
          <w:color w:val="2E74B5" w:themeColor="accent1" w:themeShade="BF"/>
          <w:sz w:val="32"/>
          <w:szCs w:val="32"/>
          <w:lang w:val="en-GB"/>
        </w:rPr>
        <w:fldChar w:fldCharType="end"/>
      </w:r>
    </w:p>
    <w:p w14:paraId="3D576A6D" w14:textId="7657941C" w:rsidR="00CF1EF8" w:rsidRPr="00CF1EF8" w:rsidRDefault="00C836A4" w:rsidP="008301BB">
      <w:pPr>
        <w:spacing w:line="240" w:lineRule="auto"/>
        <w:rPr>
          <w:rFonts w:ascii="Tahoma" w:eastAsiaTheme="majorEastAsia" w:hAnsi="Tahoma" w:cstheme="majorBidi"/>
          <w:b/>
          <w:color w:val="0070C0"/>
          <w:sz w:val="36"/>
          <w:szCs w:val="32"/>
          <w:u w:val="single"/>
          <w:lang w:val="en-GB"/>
        </w:rPr>
      </w:pPr>
      <w:r w:rsidRPr="00CF1EF8">
        <w:rPr>
          <w:rFonts w:ascii="Tahoma" w:eastAsiaTheme="majorEastAsia" w:hAnsi="Tahoma" w:cstheme="majorBidi"/>
          <w:b/>
          <w:color w:val="0070C0"/>
          <w:sz w:val="36"/>
          <w:szCs w:val="32"/>
          <w:u w:val="single"/>
          <w:lang w:val="en-GB"/>
        </w:rPr>
        <w:fldChar w:fldCharType="begin"/>
      </w:r>
      <w:r w:rsidRPr="00CF1EF8">
        <w:rPr>
          <w:rFonts w:ascii="Tahoma" w:eastAsiaTheme="majorEastAsia" w:hAnsi="Tahoma" w:cstheme="majorBidi"/>
          <w:b/>
          <w:color w:val="0070C0"/>
          <w:sz w:val="36"/>
          <w:szCs w:val="32"/>
          <w:u w:val="single"/>
          <w:lang w:val="en-GB"/>
        </w:rPr>
        <w:instrText xml:space="preserve"> REF _Ref461696990 \h </w:instrText>
      </w:r>
      <w:r w:rsidR="00CF1EF8" w:rsidRPr="00CF1EF8">
        <w:rPr>
          <w:rFonts w:ascii="Tahoma" w:eastAsiaTheme="majorEastAsia" w:hAnsi="Tahoma" w:cstheme="majorBidi"/>
          <w:b/>
          <w:color w:val="0070C0"/>
          <w:sz w:val="36"/>
          <w:szCs w:val="32"/>
          <w:u w:val="single"/>
          <w:lang w:val="en-GB"/>
        </w:rPr>
        <w:instrText xml:space="preserve"> \* MERGEFORMAT </w:instrText>
      </w:r>
      <w:r w:rsidRPr="00CF1EF8">
        <w:rPr>
          <w:rFonts w:ascii="Tahoma" w:eastAsiaTheme="majorEastAsia" w:hAnsi="Tahoma" w:cstheme="majorBidi"/>
          <w:b/>
          <w:color w:val="0070C0"/>
          <w:sz w:val="36"/>
          <w:szCs w:val="32"/>
          <w:u w:val="single"/>
          <w:lang w:val="en-GB"/>
        </w:rPr>
      </w:r>
      <w:r w:rsidRPr="00CF1EF8">
        <w:rPr>
          <w:rFonts w:ascii="Tahoma" w:eastAsiaTheme="majorEastAsia" w:hAnsi="Tahoma" w:cstheme="majorBidi"/>
          <w:b/>
          <w:color w:val="0070C0"/>
          <w:sz w:val="36"/>
          <w:szCs w:val="32"/>
          <w:u w:val="single"/>
          <w:lang w:val="en-GB"/>
        </w:rPr>
        <w:fldChar w:fldCharType="separate"/>
      </w:r>
      <w:r w:rsidR="00BB713D" w:rsidRPr="00BB713D">
        <w:rPr>
          <w:b/>
          <w:color w:val="0070C0"/>
          <w:sz w:val="24"/>
          <w:u w:val="single"/>
          <w:lang w:val="en-GB"/>
        </w:rPr>
        <w:t>Other</w:t>
      </w:r>
      <w:r w:rsidRPr="00CF1EF8">
        <w:rPr>
          <w:rFonts w:ascii="Tahoma" w:eastAsiaTheme="majorEastAsia" w:hAnsi="Tahoma" w:cstheme="majorBidi"/>
          <w:b/>
          <w:color w:val="0070C0"/>
          <w:sz w:val="36"/>
          <w:szCs w:val="32"/>
          <w:u w:val="single"/>
          <w:lang w:val="en-GB"/>
        </w:rPr>
        <w:fldChar w:fldCharType="end"/>
      </w:r>
    </w:p>
    <w:p w14:paraId="75607A49" w14:textId="437B18F1" w:rsidR="00CF1EF8" w:rsidRPr="00CF1EF8" w:rsidRDefault="00C836A4" w:rsidP="00CF1EF8">
      <w:pPr>
        <w:pStyle w:val="Paragraphedeliste"/>
        <w:numPr>
          <w:ilvl w:val="0"/>
          <w:numId w:val="42"/>
        </w:numPr>
        <w:spacing w:line="240" w:lineRule="auto"/>
        <w:rPr>
          <w:rFonts w:ascii="Tahoma" w:eastAsiaTheme="majorEastAsia" w:hAnsi="Tahoma" w:cstheme="majorBidi"/>
          <w:b/>
          <w:color w:val="2E74B5" w:themeColor="accent1" w:themeShade="BF"/>
          <w:sz w:val="32"/>
          <w:szCs w:val="32"/>
          <w:lang w:val="en-GB"/>
        </w:rPr>
      </w:pPr>
      <w:r w:rsidRPr="00CF1EF8">
        <w:rPr>
          <w:rFonts w:ascii="Tahoma" w:eastAsiaTheme="majorEastAsia" w:hAnsi="Tahoma" w:cstheme="majorBidi"/>
          <w:b/>
          <w:color w:val="2E74B5" w:themeColor="accent1" w:themeShade="BF"/>
          <w:sz w:val="32"/>
          <w:szCs w:val="32"/>
          <w:lang w:val="en-GB"/>
        </w:rPr>
        <w:fldChar w:fldCharType="begin"/>
      </w:r>
      <w:r w:rsidRPr="00CF1EF8">
        <w:rPr>
          <w:rFonts w:ascii="Tahoma" w:eastAsiaTheme="majorEastAsia" w:hAnsi="Tahoma" w:cstheme="majorBidi"/>
          <w:b/>
          <w:color w:val="2E74B5" w:themeColor="accent1" w:themeShade="BF"/>
          <w:sz w:val="32"/>
          <w:szCs w:val="32"/>
          <w:lang w:val="en-GB"/>
        </w:rPr>
        <w:instrText xml:space="preserve"> REF _Ref461696992 \h </w:instrText>
      </w:r>
      <w:r w:rsidRPr="00CF1EF8">
        <w:rPr>
          <w:rFonts w:ascii="Tahoma" w:eastAsiaTheme="majorEastAsia" w:hAnsi="Tahoma" w:cstheme="majorBidi"/>
          <w:b/>
          <w:color w:val="2E74B5" w:themeColor="accent1" w:themeShade="BF"/>
          <w:sz w:val="32"/>
          <w:szCs w:val="32"/>
          <w:lang w:val="en-GB"/>
        </w:rPr>
      </w:r>
      <w:r w:rsidRPr="00CF1EF8">
        <w:rPr>
          <w:rFonts w:ascii="Tahoma" w:eastAsiaTheme="majorEastAsia" w:hAnsi="Tahoma" w:cstheme="majorBidi"/>
          <w:b/>
          <w:color w:val="2E74B5" w:themeColor="accent1" w:themeShade="BF"/>
          <w:sz w:val="32"/>
          <w:szCs w:val="32"/>
          <w:lang w:val="en-GB"/>
        </w:rPr>
        <w:fldChar w:fldCharType="separate"/>
      </w:r>
      <w:r w:rsidR="00BB713D">
        <w:rPr>
          <w:lang w:val="en-GB"/>
        </w:rPr>
        <w:t>Publications, funding opportunities and events</w:t>
      </w:r>
      <w:r w:rsidRPr="00CF1EF8">
        <w:rPr>
          <w:rFonts w:ascii="Tahoma" w:eastAsiaTheme="majorEastAsia" w:hAnsi="Tahoma" w:cstheme="majorBidi"/>
          <w:b/>
          <w:color w:val="2E74B5" w:themeColor="accent1" w:themeShade="BF"/>
          <w:sz w:val="32"/>
          <w:szCs w:val="32"/>
          <w:lang w:val="en-GB"/>
        </w:rPr>
        <w:fldChar w:fldCharType="end"/>
      </w:r>
    </w:p>
    <w:p w14:paraId="1F28484A" w14:textId="51AE785A" w:rsidR="00CF1EF8" w:rsidRPr="00CF1EF8" w:rsidRDefault="00C836A4" w:rsidP="008301BB">
      <w:pPr>
        <w:spacing w:line="240" w:lineRule="auto"/>
        <w:rPr>
          <w:rFonts w:ascii="Tahoma" w:eastAsiaTheme="majorEastAsia" w:hAnsi="Tahoma" w:cstheme="majorBidi"/>
          <w:b/>
          <w:color w:val="0070C0"/>
          <w:sz w:val="36"/>
          <w:szCs w:val="32"/>
          <w:u w:val="single"/>
          <w:lang w:val="en-GB"/>
        </w:rPr>
      </w:pPr>
      <w:r w:rsidRPr="00CF1EF8">
        <w:rPr>
          <w:rFonts w:ascii="Tahoma" w:eastAsiaTheme="majorEastAsia" w:hAnsi="Tahoma" w:cstheme="majorBidi"/>
          <w:b/>
          <w:color w:val="0070C0"/>
          <w:sz w:val="36"/>
          <w:szCs w:val="32"/>
          <w:u w:val="single"/>
          <w:lang w:val="en-GB"/>
        </w:rPr>
        <w:fldChar w:fldCharType="begin"/>
      </w:r>
      <w:r w:rsidRPr="00CF1EF8">
        <w:rPr>
          <w:rFonts w:ascii="Tahoma" w:eastAsiaTheme="majorEastAsia" w:hAnsi="Tahoma" w:cstheme="majorBidi"/>
          <w:b/>
          <w:color w:val="0070C0"/>
          <w:sz w:val="36"/>
          <w:szCs w:val="32"/>
          <w:u w:val="single"/>
          <w:lang w:val="en-GB"/>
        </w:rPr>
        <w:instrText xml:space="preserve"> REF _Ref461696993 \h </w:instrText>
      </w:r>
      <w:r w:rsidR="00CF1EF8" w:rsidRPr="00CF1EF8">
        <w:rPr>
          <w:rFonts w:ascii="Tahoma" w:eastAsiaTheme="majorEastAsia" w:hAnsi="Tahoma" w:cstheme="majorBidi"/>
          <w:b/>
          <w:color w:val="0070C0"/>
          <w:sz w:val="36"/>
          <w:szCs w:val="32"/>
          <w:u w:val="single"/>
          <w:lang w:val="en-GB"/>
        </w:rPr>
        <w:instrText xml:space="preserve"> \* MERGEFORMAT </w:instrText>
      </w:r>
      <w:r w:rsidRPr="00CF1EF8">
        <w:rPr>
          <w:rFonts w:ascii="Tahoma" w:eastAsiaTheme="majorEastAsia" w:hAnsi="Tahoma" w:cstheme="majorBidi"/>
          <w:b/>
          <w:color w:val="0070C0"/>
          <w:sz w:val="36"/>
          <w:szCs w:val="32"/>
          <w:u w:val="single"/>
          <w:lang w:val="en-GB"/>
        </w:rPr>
      </w:r>
      <w:r w:rsidRPr="00CF1EF8">
        <w:rPr>
          <w:rFonts w:ascii="Tahoma" w:eastAsiaTheme="majorEastAsia" w:hAnsi="Tahoma" w:cstheme="majorBidi"/>
          <w:b/>
          <w:color w:val="0070C0"/>
          <w:sz w:val="36"/>
          <w:szCs w:val="32"/>
          <w:u w:val="single"/>
          <w:lang w:val="en-GB"/>
        </w:rPr>
        <w:fldChar w:fldCharType="separate"/>
      </w:r>
      <w:r w:rsidR="00BB713D" w:rsidRPr="00BB713D">
        <w:rPr>
          <w:b/>
          <w:color w:val="0070C0"/>
          <w:sz w:val="24"/>
          <w:u w:val="single"/>
          <w:lang w:val="en-GB"/>
        </w:rPr>
        <w:t>Recent case-law</w:t>
      </w:r>
      <w:r w:rsidRPr="00CF1EF8">
        <w:rPr>
          <w:rFonts w:ascii="Tahoma" w:eastAsiaTheme="majorEastAsia" w:hAnsi="Tahoma" w:cstheme="majorBidi"/>
          <w:b/>
          <w:color w:val="0070C0"/>
          <w:sz w:val="36"/>
          <w:szCs w:val="32"/>
          <w:u w:val="single"/>
          <w:lang w:val="en-GB"/>
        </w:rPr>
        <w:fldChar w:fldCharType="end"/>
      </w:r>
    </w:p>
    <w:p w14:paraId="7CABA703" w14:textId="40E6BFB0" w:rsidR="00F93FE2" w:rsidRPr="00CF1EF8" w:rsidRDefault="00C836A4" w:rsidP="00CF1EF8">
      <w:pPr>
        <w:pStyle w:val="Paragraphedeliste"/>
        <w:numPr>
          <w:ilvl w:val="0"/>
          <w:numId w:val="42"/>
        </w:numPr>
        <w:spacing w:line="240" w:lineRule="auto"/>
        <w:rPr>
          <w:rFonts w:ascii="Tahoma" w:eastAsiaTheme="majorEastAsia" w:hAnsi="Tahoma" w:cstheme="majorBidi"/>
          <w:b/>
          <w:color w:val="2E74B5" w:themeColor="accent1" w:themeShade="BF"/>
          <w:sz w:val="32"/>
          <w:szCs w:val="32"/>
          <w:lang w:val="en-GB"/>
        </w:rPr>
      </w:pPr>
      <w:r w:rsidRPr="00CF1EF8">
        <w:rPr>
          <w:rFonts w:ascii="Tahoma" w:eastAsiaTheme="majorEastAsia" w:hAnsi="Tahoma" w:cstheme="majorBidi"/>
          <w:b/>
          <w:color w:val="2E74B5" w:themeColor="accent1" w:themeShade="BF"/>
          <w:sz w:val="32"/>
          <w:szCs w:val="32"/>
          <w:lang w:val="en-GB"/>
        </w:rPr>
        <w:fldChar w:fldCharType="begin"/>
      </w:r>
      <w:r w:rsidRPr="00CF1EF8">
        <w:rPr>
          <w:rFonts w:ascii="Tahoma" w:eastAsiaTheme="majorEastAsia" w:hAnsi="Tahoma" w:cstheme="majorBidi"/>
          <w:b/>
          <w:color w:val="2E74B5" w:themeColor="accent1" w:themeShade="BF"/>
          <w:sz w:val="32"/>
          <w:szCs w:val="32"/>
          <w:lang w:val="en-GB"/>
        </w:rPr>
        <w:instrText xml:space="preserve"> REF _Ref421267642 \h </w:instrText>
      </w:r>
      <w:r w:rsidRPr="00CF1EF8">
        <w:rPr>
          <w:rFonts w:ascii="Tahoma" w:eastAsiaTheme="majorEastAsia" w:hAnsi="Tahoma" w:cstheme="majorBidi"/>
          <w:b/>
          <w:color w:val="2E74B5" w:themeColor="accent1" w:themeShade="BF"/>
          <w:sz w:val="32"/>
          <w:szCs w:val="32"/>
          <w:lang w:val="en-GB"/>
        </w:rPr>
      </w:r>
      <w:r w:rsidRPr="00CF1EF8">
        <w:rPr>
          <w:rFonts w:ascii="Tahoma" w:eastAsiaTheme="majorEastAsia" w:hAnsi="Tahoma" w:cstheme="majorBidi"/>
          <w:b/>
          <w:color w:val="2E74B5" w:themeColor="accent1" w:themeShade="BF"/>
          <w:sz w:val="32"/>
          <w:szCs w:val="32"/>
          <w:lang w:val="en-GB"/>
        </w:rPr>
        <w:fldChar w:fldCharType="separate"/>
      </w:r>
      <w:r w:rsidR="00BB713D" w:rsidRPr="006075A4">
        <w:rPr>
          <w:lang w:val="en-GB"/>
        </w:rPr>
        <w:t>European Court of Justice (ECJ)</w:t>
      </w:r>
      <w:r w:rsidRPr="00CF1EF8">
        <w:rPr>
          <w:rFonts w:ascii="Tahoma" w:eastAsiaTheme="majorEastAsia" w:hAnsi="Tahoma" w:cstheme="majorBidi"/>
          <w:b/>
          <w:color w:val="2E74B5" w:themeColor="accent1" w:themeShade="BF"/>
          <w:sz w:val="32"/>
          <w:szCs w:val="32"/>
          <w:lang w:val="en-GB"/>
        </w:rPr>
        <w:fldChar w:fldCharType="end"/>
      </w:r>
    </w:p>
    <w:p w14:paraId="62FCF6EB" w14:textId="77777777" w:rsidR="00C836A4" w:rsidRDefault="00C836A4">
      <w:pPr>
        <w:rPr>
          <w:rFonts w:ascii="Tahoma" w:eastAsiaTheme="majorEastAsia" w:hAnsi="Tahoma" w:cstheme="majorBidi"/>
          <w:b/>
          <w:color w:val="2E74B5" w:themeColor="accent1" w:themeShade="BF"/>
          <w:sz w:val="32"/>
          <w:szCs w:val="32"/>
          <w:lang w:val="en-GB"/>
        </w:rPr>
      </w:pPr>
      <w:r>
        <w:rPr>
          <w:lang w:val="en-GB"/>
        </w:rPr>
        <w:br w:type="page"/>
      </w:r>
    </w:p>
    <w:p w14:paraId="040B29A2" w14:textId="304505D1" w:rsidR="001140DC" w:rsidRDefault="00922F1E" w:rsidP="008301BB">
      <w:pPr>
        <w:pStyle w:val="Titre1"/>
        <w:pBdr>
          <w:top w:val="dotted" w:sz="4" w:space="1" w:color="auto"/>
          <w:bottom w:val="dotted" w:sz="4" w:space="1" w:color="auto"/>
        </w:pBdr>
        <w:spacing w:line="240" w:lineRule="auto"/>
        <w:rPr>
          <w:lang w:val="en-GB"/>
        </w:rPr>
      </w:pPr>
      <w:bookmarkStart w:id="5" w:name="_Ref461696957"/>
      <w:r w:rsidRPr="006075A4">
        <w:rPr>
          <w:lang w:val="en-GB"/>
        </w:rPr>
        <w:lastRenderedPageBreak/>
        <w:t>Highlight</w:t>
      </w:r>
      <w:bookmarkEnd w:id="1"/>
      <w:bookmarkEnd w:id="2"/>
      <w:bookmarkEnd w:id="3"/>
      <w:bookmarkEnd w:id="4"/>
      <w:r w:rsidR="00F93FE2">
        <w:rPr>
          <w:lang w:val="en-GB"/>
        </w:rPr>
        <w:t>:</w:t>
      </w:r>
      <w:r w:rsidR="00F01EC5">
        <w:rPr>
          <w:lang w:val="en-GB"/>
        </w:rPr>
        <w:t xml:space="preserve"> European Commission launches EU-wide LGBTI campaign</w:t>
      </w:r>
      <w:bookmarkEnd w:id="5"/>
    </w:p>
    <w:p w14:paraId="74E60A53" w14:textId="43A7A6F5" w:rsidR="00A73FA9" w:rsidRPr="006075A4" w:rsidRDefault="00F01EC5" w:rsidP="008301BB">
      <w:pPr>
        <w:spacing w:line="240" w:lineRule="auto"/>
        <w:rPr>
          <w:lang w:val="en-GB"/>
        </w:rPr>
      </w:pPr>
      <w:r>
        <w:rPr>
          <w:noProof/>
          <w:lang w:eastAsia="fr-BE"/>
        </w:rPr>
        <w:drawing>
          <wp:anchor distT="0" distB="0" distL="114300" distR="114300" simplePos="0" relativeHeight="251670528" behindDoc="0" locked="0" layoutInCell="1" allowOverlap="1" wp14:anchorId="3101D4D9" wp14:editId="664FECEC">
            <wp:simplePos x="0" y="0"/>
            <wp:positionH relativeFrom="margin">
              <wp:align>left</wp:align>
            </wp:positionH>
            <wp:positionV relativeFrom="margin">
              <wp:posOffset>685800</wp:posOffset>
            </wp:positionV>
            <wp:extent cx="2116455" cy="2590800"/>
            <wp:effectExtent l="19050" t="19050" r="17145" b="19050"/>
            <wp:wrapSquare wrapText="bothSides"/>
            <wp:docPr id="5" name="Image 5" descr="http://ec.europa.eu/justice/discrimination/orientation/awareness-raising/images/lgtbis-logo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c.europa.eu/justice/discrimination/orientation/awareness-raising/images/lgtbis-logo_e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6455" cy="2590800"/>
                    </a:xfrm>
                    <a:prstGeom prst="rect">
                      <a:avLst/>
                    </a:prstGeom>
                    <a:noFill/>
                    <a:ln>
                      <a:solidFill>
                        <a:schemeClr val="bg1"/>
                      </a:solidFill>
                    </a:ln>
                  </pic:spPr>
                </pic:pic>
              </a:graphicData>
            </a:graphic>
            <wp14:sizeRelH relativeFrom="margin">
              <wp14:pctWidth>0</wp14:pctWidth>
            </wp14:sizeRelH>
            <wp14:sizeRelV relativeFrom="margin">
              <wp14:pctHeight>0</wp14:pctHeight>
            </wp14:sizeRelV>
          </wp:anchor>
        </w:drawing>
      </w:r>
    </w:p>
    <w:p w14:paraId="3D3045F2" w14:textId="1CEF8862" w:rsidR="00F01EC5" w:rsidRDefault="00F01EC5" w:rsidP="008301BB">
      <w:pPr>
        <w:spacing w:line="240" w:lineRule="auto"/>
        <w:jc w:val="both"/>
        <w:rPr>
          <w:rStyle w:val="Lienhypertexte"/>
          <w:color w:val="auto"/>
          <w:u w:val="none"/>
          <w:lang w:val="en-GB"/>
        </w:rPr>
      </w:pPr>
      <w:bookmarkStart w:id="6" w:name="_Toc418770746"/>
      <w:bookmarkStart w:id="7" w:name="_Ref418784288"/>
      <w:bookmarkStart w:id="8" w:name="_Ref421267472"/>
      <w:r>
        <w:rPr>
          <w:rStyle w:val="Lienhypertexte"/>
          <w:color w:val="auto"/>
          <w:u w:val="none"/>
          <w:lang w:val="en-GB"/>
        </w:rPr>
        <w:t>In August 2016, t</w:t>
      </w:r>
      <w:r w:rsidR="006A041F" w:rsidRPr="002F72D9">
        <w:rPr>
          <w:rStyle w:val="Lienhypertexte"/>
          <w:color w:val="auto"/>
          <w:u w:val="none"/>
          <w:lang w:val="en-GB"/>
        </w:rPr>
        <w:t xml:space="preserve">he Commission </w:t>
      </w:r>
      <w:r w:rsidR="006A041F">
        <w:rPr>
          <w:rStyle w:val="Lienhypertexte"/>
          <w:color w:val="auto"/>
          <w:u w:val="none"/>
          <w:lang w:val="en-GB"/>
        </w:rPr>
        <w:t xml:space="preserve">launched </w:t>
      </w:r>
      <w:hyperlink r:id="rId11" w:history="1">
        <w:r w:rsidR="006A041F" w:rsidRPr="002F72D9">
          <w:rPr>
            <w:rStyle w:val="Lienhypertexte"/>
            <w:lang w:val="en-GB"/>
          </w:rPr>
          <w:t>‘We All Share the Same Dreams campaign’</w:t>
        </w:r>
      </w:hyperlink>
      <w:r w:rsidR="006A041F">
        <w:rPr>
          <w:rStyle w:val="Lienhypertexte"/>
          <w:color w:val="auto"/>
          <w:u w:val="none"/>
          <w:lang w:val="en-GB"/>
        </w:rPr>
        <w:t xml:space="preserve"> after </w:t>
      </w:r>
      <w:r w:rsidR="006A041F" w:rsidRPr="002F72D9">
        <w:rPr>
          <w:rStyle w:val="Lienhypertexte"/>
          <w:color w:val="auto"/>
          <w:u w:val="none"/>
          <w:lang w:val="en-GB"/>
        </w:rPr>
        <w:t xml:space="preserve">putting forward a </w:t>
      </w:r>
      <w:hyperlink r:id="rId12" w:history="1">
        <w:r w:rsidR="006A041F" w:rsidRPr="002F72D9">
          <w:rPr>
            <w:rStyle w:val="Lienhypertexte"/>
            <w:lang w:val="en-GB"/>
          </w:rPr>
          <w:t>'List of actions to advance LGBTI equality'</w:t>
        </w:r>
      </w:hyperlink>
      <w:r w:rsidR="006A041F">
        <w:rPr>
          <w:rStyle w:val="Lienhypertexte"/>
          <w:color w:val="auto"/>
          <w:u w:val="none"/>
          <w:lang w:val="en-GB"/>
        </w:rPr>
        <w:t xml:space="preserve"> </w:t>
      </w:r>
      <w:r>
        <w:rPr>
          <w:rStyle w:val="Lienhypertexte"/>
          <w:color w:val="auto"/>
          <w:u w:val="none"/>
          <w:lang w:val="en-GB"/>
        </w:rPr>
        <w:t>for 2016</w:t>
      </w:r>
      <w:r w:rsidR="006A041F" w:rsidRPr="002F72D9">
        <w:rPr>
          <w:rStyle w:val="Lienhypertexte"/>
          <w:color w:val="auto"/>
          <w:u w:val="none"/>
          <w:lang w:val="en-GB"/>
        </w:rPr>
        <w:t>-2019 to combat LGBTI discrimination</w:t>
      </w:r>
      <w:r>
        <w:rPr>
          <w:rStyle w:val="Lienhypertexte"/>
          <w:color w:val="auto"/>
          <w:u w:val="none"/>
          <w:lang w:val="en-GB"/>
        </w:rPr>
        <w:t>. The list of actions</w:t>
      </w:r>
      <w:r w:rsidR="006A041F" w:rsidRPr="002F72D9">
        <w:rPr>
          <w:rStyle w:val="Lienhypertexte"/>
          <w:color w:val="auto"/>
          <w:u w:val="none"/>
          <w:lang w:val="en-GB"/>
        </w:rPr>
        <w:t xml:space="preserve"> includes communication and awareness-raising activities to improve the social acceptance of this group. </w:t>
      </w:r>
    </w:p>
    <w:p w14:paraId="4CD0A5BC" w14:textId="7F394017" w:rsidR="00F01EC5" w:rsidRDefault="006A041F" w:rsidP="008301BB">
      <w:pPr>
        <w:spacing w:line="240" w:lineRule="auto"/>
        <w:jc w:val="both"/>
        <w:rPr>
          <w:rStyle w:val="Lienhypertexte"/>
          <w:color w:val="auto"/>
          <w:u w:val="none"/>
          <w:lang w:val="en-GB"/>
        </w:rPr>
      </w:pPr>
      <w:r w:rsidRPr="002F72D9">
        <w:rPr>
          <w:rStyle w:val="Lienhypertexte"/>
          <w:color w:val="auto"/>
          <w:u w:val="none"/>
          <w:lang w:val="en-GB"/>
        </w:rPr>
        <w:t xml:space="preserve">The Commission's list of actions is supported by the Council </w:t>
      </w:r>
      <w:r w:rsidR="00431C80">
        <w:rPr>
          <w:rStyle w:val="Lienhypertexte"/>
          <w:color w:val="auto"/>
          <w:u w:val="none"/>
          <w:lang w:val="en-GB"/>
        </w:rPr>
        <w:t>that</w:t>
      </w:r>
      <w:r w:rsidRPr="002F72D9">
        <w:rPr>
          <w:rStyle w:val="Lienhypertexte"/>
          <w:color w:val="auto"/>
          <w:u w:val="none"/>
          <w:lang w:val="en-GB"/>
        </w:rPr>
        <w:t xml:space="preserve"> adopted </w:t>
      </w:r>
      <w:hyperlink r:id="rId13" w:history="1">
        <w:r w:rsidRPr="002F72D9">
          <w:rPr>
            <w:rStyle w:val="Lienhypertexte"/>
            <w:lang w:val="en-GB"/>
          </w:rPr>
          <w:t>Council Conclusions on LGBTI Equality</w:t>
        </w:r>
      </w:hyperlink>
      <w:r w:rsidRPr="002F72D9">
        <w:rPr>
          <w:rStyle w:val="Lienhypertexte"/>
          <w:color w:val="auto"/>
          <w:u w:val="none"/>
          <w:lang w:val="en-GB"/>
        </w:rPr>
        <w:t xml:space="preserve"> for the first time in this policy field in June 2016.</w:t>
      </w:r>
      <w:r>
        <w:rPr>
          <w:rStyle w:val="Lienhypertexte"/>
          <w:color w:val="auto"/>
          <w:u w:val="none"/>
          <w:lang w:val="en-GB"/>
        </w:rPr>
        <w:t xml:space="preserve"> </w:t>
      </w:r>
      <w:r w:rsidR="00431C80" w:rsidRPr="00431C80">
        <w:rPr>
          <w:rStyle w:val="Lienhypertexte"/>
          <w:color w:val="auto"/>
          <w:u w:val="none"/>
          <w:lang w:val="en-GB"/>
        </w:rPr>
        <w:t>The Council Conclusions invite the European Commission and Member States to reinforce and continue to support the action of institutional mechanisms, including national Equality Bodies, as well as that of Equinet (point 13).</w:t>
      </w:r>
    </w:p>
    <w:p w14:paraId="2ED1FC7A" w14:textId="092DAA8F" w:rsidR="00F01EC5" w:rsidRPr="0038243B" w:rsidRDefault="00F01EC5" w:rsidP="008301BB">
      <w:pPr>
        <w:spacing w:line="240" w:lineRule="auto"/>
        <w:jc w:val="both"/>
        <w:rPr>
          <w:rStyle w:val="Lienhypertexte"/>
          <w:b/>
          <w:color w:val="auto"/>
          <w:sz w:val="28"/>
          <w:u w:val="none"/>
          <w:lang w:val="en-GB"/>
        </w:rPr>
      </w:pPr>
      <w:r w:rsidRPr="0038243B">
        <w:rPr>
          <w:rStyle w:val="Lienhypertexte"/>
          <w:b/>
          <w:color w:val="auto"/>
          <w:sz w:val="28"/>
          <w:u w:val="none"/>
          <w:lang w:val="en-GB"/>
        </w:rPr>
        <w:t>About the campaign</w:t>
      </w:r>
    </w:p>
    <w:p w14:paraId="37F4EBD1" w14:textId="568BF26E" w:rsidR="00F01EC5" w:rsidRDefault="00F01EC5" w:rsidP="008301BB">
      <w:pPr>
        <w:spacing w:line="240" w:lineRule="auto"/>
        <w:jc w:val="both"/>
        <w:rPr>
          <w:rStyle w:val="Lienhypertexte"/>
          <w:color w:val="auto"/>
          <w:u w:val="none"/>
          <w:lang w:val="en-GB"/>
        </w:rPr>
      </w:pPr>
      <w:r w:rsidRPr="00F01EC5">
        <w:rPr>
          <w:rStyle w:val="Lienhypertexte"/>
          <w:color w:val="auto"/>
          <w:u w:val="none"/>
          <w:lang w:val="en-GB"/>
        </w:rPr>
        <w:t>The campaign features LGBTI and straight people sharing the same dreams. The campaign focuses on the things that unite us rather than divide us and underlines that hopes and dreams are universal to us all.</w:t>
      </w:r>
    </w:p>
    <w:p w14:paraId="51E039E1" w14:textId="33A65378" w:rsidR="00F01EC5" w:rsidRDefault="00F01EC5" w:rsidP="008301BB">
      <w:pPr>
        <w:spacing w:line="240" w:lineRule="auto"/>
        <w:jc w:val="both"/>
        <w:rPr>
          <w:rStyle w:val="Lienhypertexte"/>
          <w:color w:val="auto"/>
          <w:u w:val="none"/>
          <w:lang w:val="en-GB"/>
        </w:rPr>
      </w:pPr>
      <w:r>
        <w:rPr>
          <w:rStyle w:val="Lienhypertexte"/>
          <w:color w:val="auto"/>
          <w:u w:val="none"/>
          <w:lang w:val="en-GB"/>
        </w:rPr>
        <w:t xml:space="preserve">It was officially launched in Amsterdam on the occasion of the </w:t>
      </w:r>
      <w:hyperlink r:id="rId14" w:history="1">
        <w:r w:rsidRPr="00F01EC5">
          <w:rPr>
            <w:rStyle w:val="Lienhypertexte"/>
            <w:lang w:val="en-GB"/>
          </w:rPr>
          <w:t>Europride Festival</w:t>
        </w:r>
      </w:hyperlink>
      <w:r>
        <w:rPr>
          <w:rStyle w:val="Lienhypertexte"/>
          <w:color w:val="auto"/>
          <w:u w:val="none"/>
          <w:lang w:val="en-GB"/>
        </w:rPr>
        <w:t xml:space="preserve"> in August 2016. </w:t>
      </w:r>
    </w:p>
    <w:p w14:paraId="0EDCE5F5" w14:textId="233B12AA" w:rsidR="00F01EC5" w:rsidRDefault="00F01EC5" w:rsidP="008301BB">
      <w:pPr>
        <w:spacing w:line="240" w:lineRule="auto"/>
        <w:jc w:val="both"/>
        <w:rPr>
          <w:rStyle w:val="Lienhypertexte"/>
          <w:color w:val="auto"/>
          <w:u w:val="none"/>
          <w:lang w:val="en-GB"/>
        </w:rPr>
      </w:pPr>
      <w:r>
        <w:rPr>
          <w:rStyle w:val="Lienhypertexte"/>
          <w:color w:val="auto"/>
          <w:u w:val="none"/>
          <w:lang w:val="en-GB"/>
        </w:rPr>
        <w:t xml:space="preserve">Various materials such as a </w:t>
      </w:r>
      <w:hyperlink r:id="rId15" w:history="1">
        <w:r w:rsidRPr="00F01EC5">
          <w:rPr>
            <w:rStyle w:val="Lienhypertexte"/>
            <w:lang w:val="en-GB"/>
          </w:rPr>
          <w:t>factsheet</w:t>
        </w:r>
      </w:hyperlink>
      <w:r>
        <w:rPr>
          <w:rStyle w:val="Lienhypertexte"/>
          <w:color w:val="auto"/>
          <w:u w:val="none"/>
          <w:lang w:val="en-GB"/>
        </w:rPr>
        <w:t xml:space="preserve"> and a </w:t>
      </w:r>
      <w:hyperlink r:id="rId16" w:history="1">
        <w:r w:rsidRPr="00F01EC5">
          <w:rPr>
            <w:rStyle w:val="Lienhypertexte"/>
            <w:lang w:val="en-GB"/>
          </w:rPr>
          <w:t>social media toolkit</w:t>
        </w:r>
      </w:hyperlink>
      <w:r>
        <w:rPr>
          <w:rStyle w:val="Lienhypertexte"/>
          <w:color w:val="auto"/>
          <w:u w:val="none"/>
          <w:lang w:val="en-GB"/>
        </w:rPr>
        <w:t xml:space="preserve"> are also available. </w:t>
      </w:r>
    </w:p>
    <w:p w14:paraId="2C47DA00" w14:textId="15C66BF4" w:rsidR="00F01EC5" w:rsidRPr="00F01EC5" w:rsidRDefault="00F01EC5" w:rsidP="008301BB">
      <w:pPr>
        <w:spacing w:line="240" w:lineRule="auto"/>
        <w:jc w:val="both"/>
        <w:rPr>
          <w:rStyle w:val="Lienhypertexte"/>
          <w:b/>
          <w:color w:val="auto"/>
          <w:u w:val="none"/>
          <w:lang w:val="en-GB"/>
        </w:rPr>
      </w:pPr>
      <w:r w:rsidRPr="00F01EC5">
        <w:rPr>
          <w:rStyle w:val="Lienhypertexte"/>
          <w:b/>
          <w:color w:val="auto"/>
          <w:u w:val="none"/>
          <w:lang w:val="en-GB"/>
        </w:rPr>
        <w:t xml:space="preserve">More information is available </w:t>
      </w:r>
      <w:hyperlink r:id="rId17" w:history="1">
        <w:r w:rsidRPr="00F01EC5">
          <w:rPr>
            <w:rStyle w:val="Lienhypertexte"/>
            <w:b/>
            <w:lang w:val="en-GB"/>
          </w:rPr>
          <w:t>here</w:t>
        </w:r>
      </w:hyperlink>
      <w:r w:rsidRPr="00F01EC5">
        <w:rPr>
          <w:rStyle w:val="Lienhypertexte"/>
          <w:b/>
          <w:color w:val="auto"/>
          <w:u w:val="none"/>
          <w:lang w:val="en-GB"/>
        </w:rPr>
        <w:t xml:space="preserve">. </w:t>
      </w:r>
    </w:p>
    <w:p w14:paraId="0D4EEBFE" w14:textId="74B87D9A" w:rsidR="00F01EC5" w:rsidRDefault="00F01EC5" w:rsidP="008301BB">
      <w:pPr>
        <w:spacing w:line="240" w:lineRule="auto"/>
        <w:jc w:val="both"/>
        <w:rPr>
          <w:rStyle w:val="Lienhypertexte"/>
          <w:color w:val="auto"/>
          <w:u w:val="none"/>
          <w:lang w:val="en-GB"/>
        </w:rPr>
      </w:pPr>
      <w:r>
        <w:rPr>
          <w:rStyle w:val="Lienhypertexte"/>
          <w:noProof/>
          <w:color w:val="auto"/>
          <w:u w:val="none"/>
          <w:lang w:eastAsia="fr-BE"/>
        </w:rPr>
        <w:drawing>
          <wp:inline distT="0" distB="0" distL="0" distR="0" wp14:anchorId="630F2DCA" wp14:editId="3D690ED1">
            <wp:extent cx="6181725" cy="225742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81725" cy="2257425"/>
                    </a:xfrm>
                    <a:prstGeom prst="rect">
                      <a:avLst/>
                    </a:prstGeom>
                    <a:noFill/>
                    <a:ln>
                      <a:noFill/>
                    </a:ln>
                  </pic:spPr>
                </pic:pic>
              </a:graphicData>
            </a:graphic>
          </wp:inline>
        </w:drawing>
      </w:r>
    </w:p>
    <w:p w14:paraId="25C54BBD" w14:textId="3EB202F8" w:rsidR="00F01EC5" w:rsidRDefault="00F01EC5" w:rsidP="008301BB">
      <w:pPr>
        <w:spacing w:line="240" w:lineRule="auto"/>
        <w:jc w:val="both"/>
        <w:rPr>
          <w:rStyle w:val="Lienhypertexte"/>
          <w:color w:val="auto"/>
          <w:u w:val="none"/>
          <w:lang w:val="en-GB"/>
        </w:rPr>
      </w:pPr>
      <w:r w:rsidRPr="00F01EC5">
        <w:rPr>
          <w:rStyle w:val="Lienhypertexte"/>
          <w:color w:val="auto"/>
          <w:u w:val="none"/>
          <w:lang w:val="en-GB"/>
        </w:rPr>
        <w:t xml:space="preserve">Do not hesitate to use the available materials to </w:t>
      </w:r>
      <w:r>
        <w:rPr>
          <w:rStyle w:val="Lienhypertexte"/>
          <w:color w:val="auto"/>
          <w:u w:val="none"/>
          <w:lang w:val="en-GB"/>
        </w:rPr>
        <w:t>share the campaign on your social media networks!</w:t>
      </w:r>
      <w:r w:rsidR="00CE7B37">
        <w:rPr>
          <w:rStyle w:val="Lienhypertexte"/>
          <w:color w:val="auto"/>
          <w:u w:val="none"/>
          <w:lang w:val="en-GB"/>
        </w:rPr>
        <w:t xml:space="preserve"> They are available in the 24 EU languages. </w:t>
      </w:r>
    </w:p>
    <w:p w14:paraId="5894E4EF" w14:textId="5A04C69B" w:rsidR="00F01EC5" w:rsidRPr="00F01EC5" w:rsidRDefault="00F01EC5" w:rsidP="008301BB">
      <w:pPr>
        <w:spacing w:line="240" w:lineRule="auto"/>
        <w:jc w:val="both"/>
        <w:rPr>
          <w:rStyle w:val="Lienhypertexte"/>
          <w:color w:val="auto"/>
          <w:u w:val="none"/>
          <w:lang w:val="en-GB"/>
        </w:rPr>
      </w:pPr>
      <w:r>
        <w:rPr>
          <w:rStyle w:val="Lienhypertexte"/>
          <w:color w:val="auto"/>
          <w:u w:val="none"/>
          <w:lang w:val="en-GB"/>
        </w:rPr>
        <w:t>In case you need more information</w:t>
      </w:r>
      <w:r w:rsidR="00CE7B37">
        <w:rPr>
          <w:rStyle w:val="Lienhypertexte"/>
          <w:color w:val="auto"/>
          <w:u w:val="none"/>
          <w:lang w:val="en-GB"/>
        </w:rPr>
        <w:t>, or particularly if you have feedback on how the campaign could be improved for the 2017 phase</w:t>
      </w:r>
      <w:r>
        <w:rPr>
          <w:rStyle w:val="Lienhypertexte"/>
          <w:color w:val="auto"/>
          <w:u w:val="none"/>
          <w:lang w:val="en-GB"/>
        </w:rPr>
        <w:t>, please contact Sarah Cooke O’Dowd, Equinet Communication Officer (</w:t>
      </w:r>
      <w:hyperlink r:id="rId19" w:history="1">
        <w:r w:rsidRPr="005E62BB">
          <w:rPr>
            <w:rStyle w:val="Lienhypertexte"/>
            <w:lang w:val="en-GB"/>
          </w:rPr>
          <w:t>sarah.cookeodowd@equineteurope.org</w:t>
        </w:r>
      </w:hyperlink>
      <w:r>
        <w:rPr>
          <w:rStyle w:val="Lienhypertexte"/>
          <w:color w:val="auto"/>
          <w:u w:val="none"/>
          <w:lang w:val="en-GB"/>
        </w:rPr>
        <w:t xml:space="preserve">). </w:t>
      </w:r>
    </w:p>
    <w:p w14:paraId="2D111E68" w14:textId="7B90DAA3" w:rsidR="00F01EC5" w:rsidRPr="00431C80" w:rsidRDefault="00CE4847" w:rsidP="00431C80">
      <w:pPr>
        <w:shd w:val="clear" w:color="auto" w:fill="FBE4D5" w:themeFill="accent2" w:themeFillTint="33"/>
        <w:spacing w:line="240" w:lineRule="auto"/>
        <w:rPr>
          <w:b/>
          <w:lang w:val="en-GB"/>
        </w:rPr>
      </w:pPr>
      <w:r>
        <w:rPr>
          <w:b/>
          <w:lang w:val="en-GB"/>
        </w:rPr>
        <w:t>FOR FURTHER INFORMATION</w:t>
      </w:r>
      <w:r>
        <w:rPr>
          <w:b/>
          <w:lang w:val="en-GB"/>
        </w:rPr>
        <w:br/>
      </w:r>
      <w:r>
        <w:rPr>
          <w:lang w:val="en-GB"/>
        </w:rPr>
        <w:t xml:space="preserve">Read the </w:t>
      </w:r>
      <w:r>
        <w:rPr>
          <w:b/>
          <w:lang w:val="en-GB"/>
        </w:rPr>
        <w:t xml:space="preserve">Equinet Perspective </w:t>
      </w:r>
      <w:hyperlink r:id="rId20" w:history="1">
        <w:r w:rsidRPr="00907671">
          <w:rPr>
            <w:rStyle w:val="Lienhypertexte"/>
            <w:lang w:val="en-US"/>
          </w:rPr>
          <w:t>Equality Bodies Promoting Equality &amp; non-discrimination for LGTBI people</w:t>
        </w:r>
      </w:hyperlink>
      <w:r w:rsidRPr="00445864">
        <w:rPr>
          <w:lang w:val="en-GB"/>
        </w:rPr>
        <w:t xml:space="preserve"> </w:t>
      </w:r>
      <w:r>
        <w:rPr>
          <w:lang w:val="en-GB"/>
        </w:rPr>
        <w:t xml:space="preserve">(2013) and the </w:t>
      </w:r>
      <w:r w:rsidRPr="004676F4">
        <w:rPr>
          <w:b/>
          <w:lang w:val="en-GB"/>
        </w:rPr>
        <w:t>summary of the Equinet</w:t>
      </w:r>
      <w:r>
        <w:rPr>
          <w:b/>
          <w:lang w:val="en-GB"/>
        </w:rPr>
        <w:t xml:space="preserve"> training event </w:t>
      </w:r>
      <w:hyperlink r:id="rId21" w:history="1">
        <w:r w:rsidRPr="00F01EC5">
          <w:rPr>
            <w:rStyle w:val="Lienhypertexte"/>
            <w:lang w:val="en-GB"/>
          </w:rPr>
          <w:t>on LGBTI issues</w:t>
        </w:r>
      </w:hyperlink>
      <w:r>
        <w:rPr>
          <w:b/>
          <w:lang w:val="en-GB"/>
        </w:rPr>
        <w:t xml:space="preserve"> </w:t>
      </w:r>
      <w:r w:rsidRPr="004676F4">
        <w:rPr>
          <w:lang w:val="en-GB"/>
        </w:rPr>
        <w:t>(</w:t>
      </w:r>
      <w:r w:rsidR="00F01EC5">
        <w:rPr>
          <w:lang w:val="en-GB"/>
        </w:rPr>
        <w:t xml:space="preserve">June </w:t>
      </w:r>
      <w:r w:rsidRPr="004676F4">
        <w:rPr>
          <w:lang w:val="en-GB"/>
        </w:rPr>
        <w:t>2014).</w:t>
      </w:r>
      <w:bookmarkStart w:id="9" w:name="_Ref421267521"/>
      <w:bookmarkStart w:id="10" w:name="_Toc418770747"/>
      <w:bookmarkStart w:id="11" w:name="_Ref418784309"/>
      <w:bookmarkEnd w:id="6"/>
      <w:bookmarkEnd w:id="7"/>
      <w:bookmarkEnd w:id="8"/>
    </w:p>
    <w:p w14:paraId="326F9116" w14:textId="7C2016FD" w:rsidR="000515A0" w:rsidRDefault="00C842B1" w:rsidP="008301BB">
      <w:pPr>
        <w:pStyle w:val="Titre1"/>
        <w:pBdr>
          <w:top w:val="dotted" w:sz="4" w:space="1" w:color="auto"/>
          <w:bottom w:val="dotted" w:sz="4" w:space="1" w:color="auto"/>
        </w:pBdr>
        <w:spacing w:line="240" w:lineRule="auto"/>
        <w:rPr>
          <w:lang w:val="en-GB"/>
        </w:rPr>
      </w:pPr>
      <w:bookmarkStart w:id="12" w:name="_Ref461696958"/>
      <w:r w:rsidRPr="006075A4">
        <w:rPr>
          <w:lang w:val="en-GB"/>
        </w:rPr>
        <w:lastRenderedPageBreak/>
        <w:t>General information</w:t>
      </w:r>
      <w:bookmarkEnd w:id="9"/>
      <w:bookmarkEnd w:id="12"/>
    </w:p>
    <w:p w14:paraId="1672E9A9" w14:textId="77777777" w:rsidR="008301BB" w:rsidRDefault="008301BB" w:rsidP="008301BB">
      <w:pPr>
        <w:spacing w:line="240" w:lineRule="auto"/>
        <w:rPr>
          <w:lang w:val="en-GB"/>
        </w:rPr>
      </w:pPr>
    </w:p>
    <w:p w14:paraId="41A30388" w14:textId="5A722B08" w:rsidR="008301BB" w:rsidRDefault="005930AD" w:rsidP="008301BB">
      <w:pPr>
        <w:pStyle w:val="Titre2"/>
        <w:spacing w:line="240" w:lineRule="auto"/>
        <w:rPr>
          <w:lang w:val="en-GB"/>
        </w:rPr>
      </w:pPr>
      <w:bookmarkStart w:id="13" w:name="_Ref461696959"/>
      <w:r>
        <w:rPr>
          <w:lang w:val="en-GB"/>
        </w:rPr>
        <w:t>Policy</w:t>
      </w:r>
      <w:r w:rsidR="00EF446F">
        <w:rPr>
          <w:lang w:val="en-GB"/>
        </w:rPr>
        <w:t xml:space="preserve"> developments</w:t>
      </w:r>
      <w:bookmarkEnd w:id="13"/>
    </w:p>
    <w:p w14:paraId="537878E5" w14:textId="035E3396" w:rsidR="008301BB" w:rsidRDefault="008301BB" w:rsidP="008301BB">
      <w:pPr>
        <w:spacing w:line="240" w:lineRule="auto"/>
        <w:contextualSpacing/>
        <w:jc w:val="both"/>
        <w:rPr>
          <w:b/>
          <w:lang w:val="en-GB"/>
        </w:rPr>
      </w:pPr>
    </w:p>
    <w:p w14:paraId="4801384A" w14:textId="4D265ADC" w:rsidR="009330E1" w:rsidRPr="008301BB" w:rsidRDefault="009330E1" w:rsidP="008301BB">
      <w:pPr>
        <w:spacing w:line="240" w:lineRule="auto"/>
        <w:contextualSpacing/>
        <w:jc w:val="both"/>
        <w:rPr>
          <w:b/>
          <w:color w:val="002060"/>
          <w:sz w:val="24"/>
          <w:lang w:val="en-GB"/>
        </w:rPr>
      </w:pPr>
      <w:r w:rsidRPr="008301BB">
        <w:rPr>
          <w:b/>
          <w:color w:val="002060"/>
          <w:sz w:val="24"/>
          <w:lang w:val="en-GB"/>
        </w:rPr>
        <w:t>European Economic and Social Committee presented its contribution to the European Commission’s 2017 Work Programme</w:t>
      </w:r>
    </w:p>
    <w:p w14:paraId="71D93DA1" w14:textId="77777777" w:rsidR="009330E1" w:rsidRPr="0064319A" w:rsidRDefault="009330E1" w:rsidP="008301BB">
      <w:pPr>
        <w:spacing w:line="240" w:lineRule="auto"/>
        <w:ind w:left="720"/>
        <w:contextualSpacing/>
        <w:jc w:val="both"/>
        <w:rPr>
          <w:b/>
          <w:lang w:val="en-GB"/>
        </w:rPr>
      </w:pPr>
    </w:p>
    <w:p w14:paraId="3229E00D" w14:textId="6ADD93A0" w:rsidR="00E3246B" w:rsidRPr="0064319A" w:rsidRDefault="009330E1" w:rsidP="008301BB">
      <w:pPr>
        <w:spacing w:line="240" w:lineRule="auto"/>
        <w:jc w:val="both"/>
        <w:rPr>
          <w:lang w:val="en-GB"/>
        </w:rPr>
      </w:pPr>
      <w:r w:rsidRPr="009330E1">
        <w:rPr>
          <w:lang w:val="en-GB"/>
        </w:rPr>
        <w:t xml:space="preserve">Representatives of European civil society have put forward their proposals as part of the </w:t>
      </w:r>
      <w:r w:rsidRPr="008301BB">
        <w:rPr>
          <w:b/>
          <w:lang w:val="en-GB"/>
        </w:rPr>
        <w:t>preparation by the Commission of its 2017 Work Programme</w:t>
      </w:r>
      <w:r w:rsidRPr="009330E1">
        <w:rPr>
          <w:lang w:val="en-GB"/>
        </w:rPr>
        <w:t xml:space="preserve">. </w:t>
      </w:r>
      <w:r>
        <w:rPr>
          <w:lang w:val="en-GB"/>
        </w:rPr>
        <w:t>T</w:t>
      </w:r>
      <w:r w:rsidRPr="009330E1">
        <w:rPr>
          <w:lang w:val="en-GB"/>
        </w:rPr>
        <w:t xml:space="preserve">he EESC considers that the European Commission must work to </w:t>
      </w:r>
      <w:r w:rsidRPr="008301BB">
        <w:rPr>
          <w:b/>
          <w:lang w:val="en-GB"/>
        </w:rPr>
        <w:t>restore a spirit of solidarity and responsibility, and regain public support</w:t>
      </w:r>
      <w:r w:rsidRPr="009330E1">
        <w:rPr>
          <w:lang w:val="en-GB"/>
        </w:rPr>
        <w:t xml:space="preserve">. The </w:t>
      </w:r>
      <w:r w:rsidR="008301BB">
        <w:rPr>
          <w:lang w:val="en-GB"/>
        </w:rPr>
        <w:t>EESC</w:t>
      </w:r>
      <w:r w:rsidRPr="009330E1">
        <w:rPr>
          <w:lang w:val="en-GB"/>
        </w:rPr>
        <w:t xml:space="preserve"> has identified three strategic political priorities around which the Commission should focus its 2017 Work Programme, namely </w:t>
      </w:r>
      <w:r w:rsidRPr="008301BB">
        <w:rPr>
          <w:b/>
          <w:lang w:val="en-GB"/>
        </w:rPr>
        <w:t>strengthening the economic and social cohesion of the EU, the EU's global role and citizens' ownership of the EU</w:t>
      </w:r>
      <w:r w:rsidRPr="009330E1">
        <w:rPr>
          <w:lang w:val="en-GB"/>
        </w:rPr>
        <w:t>.</w:t>
      </w:r>
      <w:r>
        <w:rPr>
          <w:lang w:val="en-GB"/>
        </w:rPr>
        <w:t xml:space="preserve"> See more information about these recommendations </w:t>
      </w:r>
      <w:hyperlink r:id="rId22" w:history="1">
        <w:r w:rsidRPr="0064319A">
          <w:rPr>
            <w:color w:val="0563C1" w:themeColor="hyperlink"/>
            <w:u w:val="single"/>
            <w:lang w:val="en-GB"/>
          </w:rPr>
          <w:t>here</w:t>
        </w:r>
      </w:hyperlink>
      <w:r w:rsidRPr="0064319A">
        <w:rPr>
          <w:lang w:val="en-GB"/>
        </w:rPr>
        <w:t xml:space="preserve">. </w:t>
      </w:r>
    </w:p>
    <w:p w14:paraId="39929ED7" w14:textId="77777777" w:rsidR="008301BB" w:rsidRDefault="008301BB" w:rsidP="008301BB">
      <w:pPr>
        <w:spacing w:line="240" w:lineRule="auto"/>
        <w:contextualSpacing/>
        <w:jc w:val="both"/>
        <w:rPr>
          <w:b/>
          <w:lang w:val="en-GB"/>
        </w:rPr>
      </w:pPr>
    </w:p>
    <w:p w14:paraId="0B766B3E" w14:textId="6F5471B8" w:rsidR="00E3246B" w:rsidRPr="008301BB" w:rsidRDefault="00E3246B" w:rsidP="008301BB">
      <w:pPr>
        <w:spacing w:line="240" w:lineRule="auto"/>
        <w:contextualSpacing/>
        <w:jc w:val="both"/>
        <w:rPr>
          <w:b/>
          <w:color w:val="002060"/>
          <w:sz w:val="24"/>
          <w:lang w:val="en-GB"/>
        </w:rPr>
      </w:pPr>
      <w:r w:rsidRPr="008301BB">
        <w:rPr>
          <w:b/>
          <w:color w:val="002060"/>
          <w:sz w:val="24"/>
          <w:lang w:val="en-GB"/>
        </w:rPr>
        <w:t>European Commission adopted a proposal for the FRA (Fundamental Rights Agency) Multiannual Framework 2018-2022</w:t>
      </w:r>
    </w:p>
    <w:p w14:paraId="6034C1AE" w14:textId="2F916C62" w:rsidR="00E3246B" w:rsidRPr="00E3246B" w:rsidRDefault="00E3246B" w:rsidP="008301BB">
      <w:pPr>
        <w:spacing w:line="240" w:lineRule="auto"/>
        <w:ind w:left="720"/>
        <w:contextualSpacing/>
        <w:jc w:val="both"/>
        <w:rPr>
          <w:b/>
          <w:lang w:val="en-GB"/>
        </w:rPr>
      </w:pPr>
    </w:p>
    <w:p w14:paraId="7D2DB2DD" w14:textId="2B4FEFD4" w:rsidR="0064319A" w:rsidRDefault="00E3246B" w:rsidP="008301BB">
      <w:pPr>
        <w:spacing w:line="240" w:lineRule="auto"/>
        <w:jc w:val="both"/>
        <w:rPr>
          <w:lang w:val="en-GB"/>
        </w:rPr>
      </w:pPr>
      <w:r>
        <w:rPr>
          <w:lang w:val="en-GB"/>
        </w:rPr>
        <w:t xml:space="preserve">The European Commission’s </w:t>
      </w:r>
      <w:r w:rsidR="00431C80">
        <w:rPr>
          <w:lang w:val="en-GB"/>
        </w:rPr>
        <w:t xml:space="preserve">proposal for a </w:t>
      </w:r>
      <w:r>
        <w:rPr>
          <w:lang w:val="en-GB"/>
        </w:rPr>
        <w:t xml:space="preserve">Council </w:t>
      </w:r>
      <w:r w:rsidR="00431C80">
        <w:rPr>
          <w:lang w:val="en-GB"/>
        </w:rPr>
        <w:t xml:space="preserve">decision on </w:t>
      </w:r>
      <w:r>
        <w:rPr>
          <w:lang w:val="en-GB"/>
        </w:rPr>
        <w:t xml:space="preserve">the Fundamental Rights Agency multiannual framework can be accessed </w:t>
      </w:r>
      <w:hyperlink r:id="rId23" w:history="1">
        <w:r w:rsidRPr="0064319A">
          <w:rPr>
            <w:color w:val="0563C1" w:themeColor="hyperlink"/>
            <w:u w:val="single"/>
            <w:lang w:val="en-GB"/>
          </w:rPr>
          <w:t>here</w:t>
        </w:r>
      </w:hyperlink>
      <w:r w:rsidRPr="0064319A">
        <w:rPr>
          <w:lang w:val="en-GB"/>
        </w:rPr>
        <w:t xml:space="preserve">. </w:t>
      </w:r>
    </w:p>
    <w:p w14:paraId="266875DE" w14:textId="0FFDFF1B" w:rsidR="00833B25" w:rsidRDefault="00833B25" w:rsidP="008301BB">
      <w:pPr>
        <w:spacing w:line="240" w:lineRule="auto"/>
        <w:jc w:val="both"/>
        <w:rPr>
          <w:lang w:val="en-GB"/>
        </w:rPr>
      </w:pPr>
    </w:p>
    <w:p w14:paraId="1BA7CD0E" w14:textId="77777777" w:rsidR="0038243B" w:rsidRDefault="00EF446F" w:rsidP="008301BB">
      <w:pPr>
        <w:pStyle w:val="Titre2"/>
        <w:spacing w:line="240" w:lineRule="auto"/>
        <w:rPr>
          <w:lang w:val="en-GB"/>
        </w:rPr>
      </w:pPr>
      <w:bookmarkStart w:id="14" w:name="_Ref461696960"/>
      <w:r>
        <w:rPr>
          <w:lang w:val="en-GB"/>
        </w:rPr>
        <w:t>Publications, funding opportunities and events</w:t>
      </w:r>
      <w:bookmarkEnd w:id="14"/>
    </w:p>
    <w:p w14:paraId="1365501A" w14:textId="77777777" w:rsidR="0038243B" w:rsidRDefault="0038243B" w:rsidP="008301BB">
      <w:pPr>
        <w:rPr>
          <w:lang w:val="en-GB"/>
        </w:rPr>
      </w:pPr>
    </w:p>
    <w:p w14:paraId="00C79EC4" w14:textId="77777777" w:rsidR="005930AD" w:rsidRPr="008D6C9B" w:rsidRDefault="005930AD" w:rsidP="005930AD">
      <w:pPr>
        <w:spacing w:line="240" w:lineRule="auto"/>
        <w:jc w:val="both"/>
        <w:rPr>
          <w:lang w:val="en-US"/>
        </w:rPr>
      </w:pPr>
      <w:r>
        <w:rPr>
          <w:b/>
          <w:shd w:val="clear" w:color="auto" w:fill="00B0F0"/>
          <w:lang w:val="en-GB"/>
        </w:rPr>
        <w:t>CALL FOR CONTRIBUTIONS</w:t>
      </w:r>
      <w:r>
        <w:rPr>
          <w:rFonts w:ascii="Calibri" w:eastAsia="Calibri" w:hAnsi="Calibri" w:cs="Times New Roman"/>
          <w:lang w:val="en-GB"/>
        </w:rPr>
        <w:t xml:space="preserve"> – </w:t>
      </w:r>
      <w:r>
        <w:rPr>
          <w:rFonts w:ascii="Calibri" w:eastAsia="Calibri" w:hAnsi="Calibri" w:cs="Times New Roman"/>
          <w:b/>
          <w:lang w:val="en-GB"/>
        </w:rPr>
        <w:t xml:space="preserve">European Commission </w:t>
      </w:r>
      <w:r>
        <w:rPr>
          <w:rFonts w:ascii="Calibri" w:eastAsia="Calibri" w:hAnsi="Calibri" w:cs="Times New Roman"/>
          <w:lang w:val="en-GB"/>
        </w:rPr>
        <w:t>–</w:t>
      </w:r>
      <w:r>
        <w:rPr>
          <w:lang w:val="en-GB"/>
        </w:rPr>
        <w:t xml:space="preserve"> </w:t>
      </w:r>
      <w:hyperlink r:id="rId24" w:history="1">
        <w:r w:rsidRPr="008D6C9B">
          <w:rPr>
            <w:rStyle w:val="Lienhypertexte"/>
            <w:lang w:val="en-US"/>
          </w:rPr>
          <w:t>Public consultation on the European Pillar of Social Rights</w:t>
        </w:r>
      </w:hyperlink>
      <w:r>
        <w:rPr>
          <w:lang w:val="en-US"/>
        </w:rPr>
        <w:t xml:space="preserve"> – (Deadline: 31</w:t>
      </w:r>
      <w:r w:rsidRPr="008D6C9B">
        <w:rPr>
          <w:vertAlign w:val="superscript"/>
          <w:lang w:val="en-US"/>
        </w:rPr>
        <w:t>st</w:t>
      </w:r>
      <w:r>
        <w:rPr>
          <w:lang w:val="en-US"/>
        </w:rPr>
        <w:t xml:space="preserve"> December 2016)</w:t>
      </w:r>
    </w:p>
    <w:p w14:paraId="7BF1D762" w14:textId="7A922C31" w:rsidR="009330E1" w:rsidRDefault="009330E1" w:rsidP="00403A84">
      <w:pPr>
        <w:spacing w:line="240" w:lineRule="auto"/>
        <w:jc w:val="both"/>
        <w:rPr>
          <w:lang w:val="en-GB"/>
        </w:rPr>
      </w:pPr>
      <w:r>
        <w:rPr>
          <w:b/>
          <w:shd w:val="clear" w:color="auto" w:fill="FFFF00"/>
          <w:lang w:val="en-GB"/>
        </w:rPr>
        <w:t>EVENT</w:t>
      </w:r>
      <w:r>
        <w:rPr>
          <w:b/>
          <w:lang w:val="en-GB"/>
        </w:rPr>
        <w:t xml:space="preserve"> – European </w:t>
      </w:r>
      <w:r w:rsidR="00E3246B">
        <w:rPr>
          <w:b/>
          <w:lang w:val="en-GB"/>
        </w:rPr>
        <w:t>Commission</w:t>
      </w:r>
      <w:r>
        <w:rPr>
          <w:b/>
          <w:lang w:val="en-GB"/>
        </w:rPr>
        <w:t xml:space="preserve"> </w:t>
      </w:r>
      <w:r>
        <w:rPr>
          <w:lang w:val="en-GB"/>
        </w:rPr>
        <w:t xml:space="preserve">– </w:t>
      </w:r>
      <w:hyperlink r:id="rId25" w:history="1">
        <w:r w:rsidRPr="00E3246B">
          <w:rPr>
            <w:rStyle w:val="Lienhypertexte"/>
            <w:lang w:val="en-US"/>
          </w:rPr>
          <w:t>2016 Annual Colloquium on Fundamental Rights</w:t>
        </w:r>
        <w:r w:rsidR="00403A84">
          <w:rPr>
            <w:rStyle w:val="Lienhypertexte"/>
            <w:lang w:val="en-US"/>
          </w:rPr>
          <w:t xml:space="preserve"> on media pluralism and democracy</w:t>
        </w:r>
        <w:r w:rsidRPr="00E3246B">
          <w:rPr>
            <w:rStyle w:val="Lienhypertexte"/>
            <w:lang w:val="en-US"/>
          </w:rPr>
          <w:t xml:space="preserve"> </w:t>
        </w:r>
      </w:hyperlink>
      <w:r>
        <w:rPr>
          <w:lang w:val="en-GB"/>
        </w:rPr>
        <w:t xml:space="preserve"> – 17</w:t>
      </w:r>
      <w:r>
        <w:rPr>
          <w:vertAlign w:val="superscript"/>
          <w:lang w:val="en-GB"/>
        </w:rPr>
        <w:t>th</w:t>
      </w:r>
      <w:r>
        <w:rPr>
          <w:lang w:val="en-GB"/>
        </w:rPr>
        <w:t>/18</w:t>
      </w:r>
      <w:r w:rsidRPr="009330E1">
        <w:rPr>
          <w:vertAlign w:val="superscript"/>
          <w:lang w:val="en-GB"/>
        </w:rPr>
        <w:t>th</w:t>
      </w:r>
      <w:r>
        <w:rPr>
          <w:lang w:val="en-GB"/>
        </w:rPr>
        <w:t xml:space="preserve"> November 2016, Brussels</w:t>
      </w:r>
    </w:p>
    <w:p w14:paraId="797D74A9" w14:textId="2CDCC1A4" w:rsidR="00E3246B" w:rsidRDefault="00E3246B" w:rsidP="00403A84">
      <w:pPr>
        <w:spacing w:line="240" w:lineRule="auto"/>
        <w:jc w:val="both"/>
        <w:rPr>
          <w:lang w:val="en-GB"/>
        </w:rPr>
      </w:pPr>
      <w:r>
        <w:rPr>
          <w:b/>
          <w:shd w:val="clear" w:color="auto" w:fill="FFFF00"/>
          <w:lang w:val="en-GB"/>
        </w:rPr>
        <w:t>EVENT</w:t>
      </w:r>
      <w:r>
        <w:rPr>
          <w:b/>
          <w:lang w:val="en-GB"/>
        </w:rPr>
        <w:t xml:space="preserve"> – European Commission</w:t>
      </w:r>
      <w:r w:rsidRPr="00E3246B">
        <w:rPr>
          <w:lang w:val="en-US"/>
        </w:rPr>
        <w:t xml:space="preserve"> </w:t>
      </w:r>
      <w:r w:rsidRPr="00E3246B">
        <w:rPr>
          <w:b/>
          <w:lang w:val="en-US"/>
        </w:rPr>
        <w:t>and</w:t>
      </w:r>
      <w:r w:rsidRPr="00E3246B">
        <w:rPr>
          <w:lang w:val="en-US"/>
        </w:rPr>
        <w:t xml:space="preserve"> </w:t>
      </w:r>
      <w:r w:rsidRPr="00E3246B">
        <w:rPr>
          <w:b/>
          <w:lang w:val="en-GB"/>
        </w:rPr>
        <w:t>Department of Justice and Equality of Ireland</w:t>
      </w:r>
      <w:r>
        <w:rPr>
          <w:b/>
          <w:lang w:val="en-GB"/>
        </w:rPr>
        <w:t xml:space="preserve"> </w:t>
      </w:r>
      <w:r>
        <w:rPr>
          <w:lang w:val="en-GB"/>
        </w:rPr>
        <w:t xml:space="preserve">– </w:t>
      </w:r>
      <w:hyperlink r:id="rId26" w:history="1">
        <w:r w:rsidRPr="00E3246B">
          <w:rPr>
            <w:rStyle w:val="Lienhypertexte"/>
            <w:lang w:val="en-US"/>
          </w:rPr>
          <w:t>7th EU Diversity Charters Annual Forum 'Selling Diversity in a World of Diversion'</w:t>
        </w:r>
      </w:hyperlink>
      <w:r>
        <w:rPr>
          <w:lang w:val="en-GB"/>
        </w:rPr>
        <w:t xml:space="preserve"> –</w:t>
      </w:r>
      <w:r w:rsidR="008E25FA">
        <w:rPr>
          <w:lang w:val="en-GB"/>
        </w:rPr>
        <w:t xml:space="preserve"> </w:t>
      </w:r>
      <w:r>
        <w:rPr>
          <w:lang w:val="en-GB"/>
        </w:rPr>
        <w:t>18</w:t>
      </w:r>
      <w:r w:rsidRPr="009330E1">
        <w:rPr>
          <w:vertAlign w:val="superscript"/>
          <w:lang w:val="en-GB"/>
        </w:rPr>
        <w:t>th</w:t>
      </w:r>
      <w:r>
        <w:rPr>
          <w:lang w:val="en-GB"/>
        </w:rPr>
        <w:t xml:space="preserve"> </w:t>
      </w:r>
      <w:r w:rsidR="008E25FA">
        <w:rPr>
          <w:lang w:val="en-GB"/>
        </w:rPr>
        <w:t>October</w:t>
      </w:r>
      <w:r>
        <w:rPr>
          <w:lang w:val="en-GB"/>
        </w:rPr>
        <w:t xml:space="preserve"> 2016, </w:t>
      </w:r>
      <w:r w:rsidR="008E25FA">
        <w:rPr>
          <w:lang w:val="en-GB"/>
        </w:rPr>
        <w:t>Dublin, Ireland</w:t>
      </w:r>
    </w:p>
    <w:p w14:paraId="6B379403" w14:textId="5C908236" w:rsidR="00510BEA" w:rsidRPr="005930AD" w:rsidRDefault="000C6403" w:rsidP="00403A84">
      <w:pPr>
        <w:spacing w:line="240" w:lineRule="auto"/>
        <w:jc w:val="both"/>
        <w:rPr>
          <w:lang w:val="en-GB"/>
        </w:rPr>
      </w:pPr>
      <w:r>
        <w:rPr>
          <w:b/>
          <w:color w:val="FFFFFF" w:themeColor="background1"/>
          <w:shd w:val="clear" w:color="auto" w:fill="7030A0"/>
          <w:lang w:val="en-GB"/>
        </w:rPr>
        <w:t>PUBLICATION</w:t>
      </w:r>
      <w:r>
        <w:rPr>
          <w:b/>
          <w:lang w:val="en-GB"/>
        </w:rPr>
        <w:t xml:space="preserve"> – </w:t>
      </w:r>
      <w:r>
        <w:rPr>
          <w:rFonts w:ascii="Calibri" w:eastAsia="Calibri" w:hAnsi="Calibri" w:cs="Times New Roman"/>
          <w:b/>
          <w:lang w:val="en-GB"/>
        </w:rPr>
        <w:t>Eurofound</w:t>
      </w:r>
      <w:r>
        <w:rPr>
          <w:rFonts w:ascii="Calibri" w:eastAsia="Calibri" w:hAnsi="Calibri" w:cs="Times New Roman"/>
          <w:lang w:val="en-GB"/>
        </w:rPr>
        <w:t xml:space="preserve"> – </w:t>
      </w:r>
      <w:hyperlink r:id="rId27" w:history="1">
        <w:r w:rsidRPr="00510BEA">
          <w:rPr>
            <w:rStyle w:val="Lienhypertexte"/>
            <w:lang w:val="en-US"/>
          </w:rPr>
          <w:t>New topics, new tools and innovative practices adopted by the social partners</w:t>
        </w:r>
      </w:hyperlink>
    </w:p>
    <w:p w14:paraId="211262A6" w14:textId="321235B1" w:rsidR="00CE0B3A" w:rsidRPr="00CE0B3A" w:rsidRDefault="00510BEA" w:rsidP="00403A84">
      <w:pPr>
        <w:spacing w:line="240" w:lineRule="auto"/>
        <w:jc w:val="both"/>
        <w:rPr>
          <w:rFonts w:ascii="Calibri" w:eastAsia="Calibri" w:hAnsi="Calibri" w:cs="Times New Roman"/>
          <w:lang w:val="en-GB"/>
        </w:rPr>
      </w:pPr>
      <w:r w:rsidRPr="00510BEA">
        <w:rPr>
          <w:rFonts w:ascii="Calibri" w:eastAsia="Calibri" w:hAnsi="Calibri" w:cs="Times New Roman"/>
          <w:lang w:val="en-GB"/>
        </w:rPr>
        <w:t>The main objective of this comparative study is to gather information on how social partners in the EU28 and Norway have responded to the many new political, legal and social challenges t</w:t>
      </w:r>
      <w:r w:rsidR="00CE0B3A">
        <w:rPr>
          <w:rFonts w:ascii="Calibri" w:eastAsia="Calibri" w:hAnsi="Calibri" w:cs="Times New Roman"/>
          <w:lang w:val="en-GB"/>
        </w:rPr>
        <w:t>hat have arisen in recent years.</w:t>
      </w:r>
    </w:p>
    <w:p w14:paraId="1FD19623" w14:textId="1DBEC2FF" w:rsidR="0034362B" w:rsidRPr="006075A4" w:rsidRDefault="0034362B" w:rsidP="005930AD">
      <w:pPr>
        <w:pBdr>
          <w:bottom w:val="dotted" w:sz="36" w:space="1" w:color="auto"/>
        </w:pBdr>
        <w:spacing w:line="240" w:lineRule="auto"/>
        <w:jc w:val="both"/>
        <w:rPr>
          <w:rFonts w:ascii="Calibri" w:eastAsia="Calibri" w:hAnsi="Calibri" w:cs="Times New Roman"/>
          <w:lang w:val="en-GB"/>
        </w:rPr>
      </w:pPr>
    </w:p>
    <w:p w14:paraId="0A3A3F3B" w14:textId="7BBDE240" w:rsidR="00542158" w:rsidRDefault="00C842B1" w:rsidP="005930AD">
      <w:pPr>
        <w:pStyle w:val="Titre1"/>
        <w:pBdr>
          <w:top w:val="dotted" w:sz="2" w:space="1" w:color="auto"/>
          <w:bottom w:val="dotted" w:sz="2" w:space="1" w:color="auto"/>
        </w:pBdr>
        <w:rPr>
          <w:lang w:val="en-GB"/>
        </w:rPr>
      </w:pPr>
      <w:bookmarkStart w:id="15" w:name="_Ref421267526"/>
      <w:r w:rsidRPr="006075A4">
        <w:rPr>
          <w:lang w:val="en-GB"/>
        </w:rPr>
        <w:t>Gender Equality</w:t>
      </w:r>
      <w:bookmarkEnd w:id="15"/>
    </w:p>
    <w:p w14:paraId="4F46DDAA" w14:textId="6579F16E" w:rsidR="00EF446F" w:rsidRDefault="00EF446F" w:rsidP="008301BB">
      <w:pPr>
        <w:spacing w:line="240" w:lineRule="auto"/>
        <w:rPr>
          <w:lang w:val="en-GB"/>
        </w:rPr>
      </w:pPr>
    </w:p>
    <w:p w14:paraId="7EC19789" w14:textId="7F5BABF8" w:rsidR="00EF446F" w:rsidRDefault="005930AD" w:rsidP="005930AD">
      <w:pPr>
        <w:pStyle w:val="Titre2"/>
        <w:rPr>
          <w:lang w:val="en-GB"/>
        </w:rPr>
      </w:pPr>
      <w:bookmarkStart w:id="16" w:name="_Ref461696963"/>
      <w:r>
        <w:rPr>
          <w:lang w:val="en-GB"/>
        </w:rPr>
        <w:t>Policy Developments</w:t>
      </w:r>
      <w:bookmarkEnd w:id="16"/>
    </w:p>
    <w:p w14:paraId="166B5BF2" w14:textId="77777777" w:rsidR="002D7C1C" w:rsidRPr="002D7C1C" w:rsidRDefault="005930AD" w:rsidP="002D7C1C">
      <w:pPr>
        <w:rPr>
          <w:b/>
          <w:color w:val="002060"/>
          <w:sz w:val="24"/>
          <w:lang w:val="en-GB"/>
        </w:rPr>
      </w:pPr>
      <w:r>
        <w:rPr>
          <w:lang w:val="en-GB"/>
        </w:rPr>
        <w:br/>
      </w:r>
      <w:r w:rsidR="002D7C1C" w:rsidRPr="002D7C1C">
        <w:rPr>
          <w:b/>
          <w:color w:val="002060"/>
          <w:sz w:val="24"/>
          <w:lang w:val="en-GB"/>
        </w:rPr>
        <w:t>European Commission launches second-stage consultation of EU social partner organisations on work-life balance</w:t>
      </w:r>
    </w:p>
    <w:p w14:paraId="2FB30A10" w14:textId="77777777" w:rsidR="002D7C1C" w:rsidRDefault="002D7C1C" w:rsidP="002D7C1C">
      <w:pPr>
        <w:jc w:val="both"/>
        <w:rPr>
          <w:lang w:val="en-GB"/>
        </w:rPr>
      </w:pPr>
      <w:r w:rsidRPr="002D7C1C">
        <w:rPr>
          <w:lang w:val="en-GB"/>
        </w:rPr>
        <w:lastRenderedPageBreak/>
        <w:t xml:space="preserve">The European Commission has launched a </w:t>
      </w:r>
      <w:r w:rsidRPr="003809DC">
        <w:rPr>
          <w:b/>
          <w:lang w:val="en-GB"/>
        </w:rPr>
        <w:t>s</w:t>
      </w:r>
      <w:r w:rsidRPr="002D7C1C">
        <w:rPr>
          <w:b/>
          <w:lang w:val="en-GB"/>
        </w:rPr>
        <w:t>econd-stage consultation with social partner organisations at European level</w:t>
      </w:r>
      <w:r w:rsidRPr="002D7C1C">
        <w:rPr>
          <w:lang w:val="en-GB"/>
        </w:rPr>
        <w:t xml:space="preserve">. The aim of the consultation is to seek their views on how to reduce obstacles to women's participation in the labour market, by improving work-life balance and possibilities for women and men to make use of their rights more equally. </w:t>
      </w:r>
      <w:r w:rsidRPr="002D7C1C">
        <w:rPr>
          <w:b/>
          <w:lang w:val="en-GB"/>
        </w:rPr>
        <w:t>EU employees' and employers' organisations have until 30 September 2016 to submit their views</w:t>
      </w:r>
      <w:r w:rsidRPr="002D7C1C">
        <w:rPr>
          <w:lang w:val="en-GB"/>
        </w:rPr>
        <w:t>.</w:t>
      </w:r>
      <w:r>
        <w:rPr>
          <w:lang w:val="en-GB"/>
        </w:rPr>
        <w:t xml:space="preserve"> If an agreement is quickly reached, the European Commission will present its first follow-up proposals to the Roadmap on Work-Life Balance at the beginning of next year. </w:t>
      </w:r>
    </w:p>
    <w:p w14:paraId="0295D5AB" w14:textId="77777777" w:rsidR="002D7C1C" w:rsidRDefault="002D7C1C" w:rsidP="002D7C1C">
      <w:pPr>
        <w:rPr>
          <w:lang w:val="en-GB"/>
        </w:rPr>
      </w:pPr>
      <w:r>
        <w:rPr>
          <w:lang w:val="en-GB"/>
        </w:rPr>
        <w:t xml:space="preserve">More information is available </w:t>
      </w:r>
      <w:hyperlink r:id="rId28" w:history="1">
        <w:r w:rsidRPr="002D7C1C">
          <w:rPr>
            <w:rStyle w:val="Lienhypertexte"/>
            <w:lang w:val="en-GB"/>
          </w:rPr>
          <w:t>here</w:t>
        </w:r>
      </w:hyperlink>
      <w:r>
        <w:rPr>
          <w:lang w:val="en-GB"/>
        </w:rPr>
        <w:t xml:space="preserve">. </w:t>
      </w:r>
    </w:p>
    <w:p w14:paraId="3E156162" w14:textId="4E389F50" w:rsidR="005930AD" w:rsidRPr="003809DC" w:rsidRDefault="005930AD" w:rsidP="005930AD">
      <w:pPr>
        <w:rPr>
          <w:b/>
          <w:color w:val="002060"/>
          <w:sz w:val="24"/>
          <w:lang w:val="en-GB"/>
        </w:rPr>
      </w:pPr>
      <w:r w:rsidRPr="003809DC">
        <w:rPr>
          <w:b/>
          <w:color w:val="002060"/>
          <w:sz w:val="24"/>
          <w:lang w:val="en-GB"/>
        </w:rPr>
        <w:t>European Parliament adopts report on work-life balance</w:t>
      </w:r>
    </w:p>
    <w:p w14:paraId="37E4C04A" w14:textId="3E8A5B49" w:rsidR="005930AD" w:rsidRPr="003809DC" w:rsidRDefault="005930AD" w:rsidP="005930AD">
      <w:pPr>
        <w:rPr>
          <w:lang w:val="en-GB"/>
        </w:rPr>
      </w:pPr>
      <w:r w:rsidRPr="003809DC">
        <w:rPr>
          <w:lang w:val="en-GB"/>
        </w:rPr>
        <w:t>On 13</w:t>
      </w:r>
      <w:r w:rsidRPr="003809DC">
        <w:rPr>
          <w:vertAlign w:val="superscript"/>
          <w:lang w:val="en-GB"/>
        </w:rPr>
        <w:t>th</w:t>
      </w:r>
      <w:r w:rsidRPr="003809DC">
        <w:rPr>
          <w:lang w:val="en-GB"/>
        </w:rPr>
        <w:t xml:space="preserve"> September, the European Parliament adopted a report on work-life balance calling on the European Commission to bring forward initiatives for a paternity leave and a carers’ leave directive. The </w:t>
      </w:r>
      <w:r w:rsidR="003809DC" w:rsidRPr="003809DC">
        <w:rPr>
          <w:lang w:val="en-GB"/>
        </w:rPr>
        <w:t xml:space="preserve">final </w:t>
      </w:r>
      <w:r w:rsidRPr="003809DC">
        <w:rPr>
          <w:lang w:val="en-GB"/>
        </w:rPr>
        <w:t xml:space="preserve">report </w:t>
      </w:r>
      <w:r w:rsidR="003809DC" w:rsidRPr="003809DC">
        <w:rPr>
          <w:lang w:val="en-GB"/>
        </w:rPr>
        <w:t>will be made available in the next Members’ Bulletin</w:t>
      </w:r>
      <w:r w:rsidRPr="003809DC">
        <w:rPr>
          <w:lang w:val="en-GB"/>
        </w:rPr>
        <w:t xml:space="preserve">. </w:t>
      </w:r>
    </w:p>
    <w:p w14:paraId="55CD3E2B" w14:textId="235CCF42" w:rsidR="005930AD" w:rsidRPr="003809DC" w:rsidRDefault="005930AD" w:rsidP="005930AD">
      <w:pPr>
        <w:rPr>
          <w:lang w:val="en-GB"/>
        </w:rPr>
      </w:pPr>
      <w:r w:rsidRPr="003809DC">
        <w:rPr>
          <w:lang w:val="en-GB"/>
        </w:rPr>
        <w:t xml:space="preserve">Read Families-Europe’s statement </w:t>
      </w:r>
      <w:hyperlink r:id="rId29" w:history="1">
        <w:r w:rsidRPr="003809DC">
          <w:rPr>
            <w:rStyle w:val="Lienhypertexte"/>
            <w:lang w:val="en-GB"/>
          </w:rPr>
          <w:t>here</w:t>
        </w:r>
      </w:hyperlink>
      <w:r w:rsidRPr="003809DC">
        <w:rPr>
          <w:lang w:val="en-GB"/>
        </w:rPr>
        <w:t xml:space="preserve">. </w:t>
      </w:r>
    </w:p>
    <w:p w14:paraId="3A87D073" w14:textId="59D1E7D1" w:rsidR="005930AD" w:rsidRPr="00DA7103" w:rsidRDefault="005930AD" w:rsidP="00DA7103">
      <w:pPr>
        <w:shd w:val="clear" w:color="auto" w:fill="FBE4D5" w:themeFill="accent2" w:themeFillTint="33"/>
        <w:rPr>
          <w:b/>
          <w:lang w:val="en-GB"/>
        </w:rPr>
      </w:pPr>
      <w:r w:rsidRPr="003809DC">
        <w:rPr>
          <w:lang w:val="en-GB"/>
        </w:rPr>
        <w:t xml:space="preserve">The report makes reference to </w:t>
      </w:r>
      <w:hyperlink r:id="rId30" w:history="1">
        <w:r w:rsidRPr="003809DC">
          <w:rPr>
            <w:rStyle w:val="Lienhypertexte"/>
            <w:b/>
            <w:lang w:val="en-GB"/>
          </w:rPr>
          <w:t>Equinet’s 2014 Perspective “Equality bodies promoting a better work-life balance for all”</w:t>
        </w:r>
      </w:hyperlink>
      <w:r w:rsidR="00DA7103" w:rsidRPr="003809DC">
        <w:rPr>
          <w:lang w:val="en-GB"/>
        </w:rPr>
        <w:t>.</w:t>
      </w:r>
      <w:r w:rsidR="00DA7103" w:rsidRPr="003809DC">
        <w:rPr>
          <w:lang w:val="en-GB"/>
        </w:rPr>
        <w:br/>
        <w:t xml:space="preserve">Read the report of the Equinet-Equality and Human Rights Commission (EHRC) joint roundtable event organised at the European Parliament in April 2016 </w:t>
      </w:r>
      <w:hyperlink r:id="rId31" w:history="1">
        <w:r w:rsidR="00DA7103" w:rsidRPr="003809DC">
          <w:rPr>
            <w:rStyle w:val="Lienhypertexte"/>
            <w:lang w:val="en-GB"/>
          </w:rPr>
          <w:t>here</w:t>
        </w:r>
      </w:hyperlink>
      <w:r w:rsidR="00DA7103" w:rsidRPr="003809DC">
        <w:rPr>
          <w:lang w:val="en-GB"/>
        </w:rPr>
        <w:t>.</w:t>
      </w:r>
      <w:r w:rsidR="00DA7103">
        <w:rPr>
          <w:lang w:val="en-GB"/>
        </w:rPr>
        <w:t xml:space="preserve"> </w:t>
      </w:r>
    </w:p>
    <w:p w14:paraId="687112F9" w14:textId="0DA52DC5" w:rsidR="002D7C1C" w:rsidRDefault="002D7C1C" w:rsidP="005930AD">
      <w:pPr>
        <w:rPr>
          <w:lang w:val="en-GB"/>
        </w:rPr>
      </w:pPr>
    </w:p>
    <w:p w14:paraId="356965A7" w14:textId="16C4C28D" w:rsidR="00CE0B3A" w:rsidRDefault="00CE0B3A" w:rsidP="005930AD">
      <w:pPr>
        <w:pStyle w:val="Titre2"/>
        <w:rPr>
          <w:lang w:val="en-GB"/>
        </w:rPr>
      </w:pPr>
      <w:bookmarkStart w:id="17" w:name="_Ref461696965"/>
      <w:r>
        <w:rPr>
          <w:lang w:val="en-GB"/>
        </w:rPr>
        <w:t>Publications, funding opportunities and events</w:t>
      </w:r>
      <w:bookmarkEnd w:id="17"/>
    </w:p>
    <w:p w14:paraId="37FDE97D" w14:textId="77777777" w:rsidR="002D7C1C" w:rsidRDefault="002D7C1C" w:rsidP="008301BB">
      <w:pPr>
        <w:spacing w:line="240" w:lineRule="auto"/>
        <w:jc w:val="both"/>
        <w:rPr>
          <w:lang w:val="en-GB"/>
        </w:rPr>
      </w:pPr>
    </w:p>
    <w:p w14:paraId="0098037D" w14:textId="29EACEF7" w:rsidR="008E25FA" w:rsidRDefault="008E25FA" w:rsidP="008301BB">
      <w:pPr>
        <w:spacing w:line="240" w:lineRule="auto"/>
        <w:jc w:val="both"/>
        <w:rPr>
          <w:lang w:val="en-GB"/>
        </w:rPr>
      </w:pPr>
      <w:r>
        <w:rPr>
          <w:b/>
          <w:color w:val="FFFFFF" w:themeColor="background1"/>
          <w:shd w:val="clear" w:color="auto" w:fill="00B050"/>
          <w:lang w:val="en-GB"/>
        </w:rPr>
        <w:t>CALL FOR TENDERS</w:t>
      </w:r>
      <w:r>
        <w:rPr>
          <w:lang w:val="en-GB"/>
        </w:rPr>
        <w:t xml:space="preserve"> – </w:t>
      </w:r>
      <w:r>
        <w:rPr>
          <w:b/>
          <w:lang w:val="en-GB"/>
        </w:rPr>
        <w:t>European Commission</w:t>
      </w:r>
      <w:r>
        <w:rPr>
          <w:lang w:val="en-GB"/>
        </w:rPr>
        <w:t xml:space="preserve"> – </w:t>
      </w:r>
      <w:hyperlink r:id="rId32" w:history="1">
        <w:r w:rsidRPr="008E25FA">
          <w:rPr>
            <w:rStyle w:val="Lienhypertexte"/>
            <w:lang w:val="en-GB"/>
          </w:rPr>
          <w:t>Call</w:t>
        </w:r>
        <w:r w:rsidRPr="008E25FA">
          <w:rPr>
            <w:rStyle w:val="Lienhypertexte"/>
            <w:lang w:val="en-US"/>
          </w:rPr>
          <w:t xml:space="preserve"> for tender for the provision of seminars to raise awareness among judges and legal practitioners on EU gender equality legislation</w:t>
        </w:r>
      </w:hyperlink>
      <w:r w:rsidRPr="008E25FA">
        <w:rPr>
          <w:lang w:val="en-US"/>
        </w:rPr>
        <w:t xml:space="preserve"> </w:t>
      </w:r>
      <w:r>
        <w:rPr>
          <w:lang w:val="en-GB"/>
        </w:rPr>
        <w:t>(Deadline: 19</w:t>
      </w:r>
      <w:r>
        <w:rPr>
          <w:vertAlign w:val="superscript"/>
          <w:lang w:val="en-GB"/>
        </w:rPr>
        <w:t>th</w:t>
      </w:r>
      <w:r>
        <w:rPr>
          <w:lang w:val="en-GB"/>
        </w:rPr>
        <w:t xml:space="preserve"> September</w:t>
      </w:r>
      <w:r w:rsidR="00EB5265">
        <w:rPr>
          <w:lang w:val="en-GB"/>
        </w:rPr>
        <w:t xml:space="preserve"> 2016)</w:t>
      </w:r>
    </w:p>
    <w:p w14:paraId="301299F2" w14:textId="73E956F2" w:rsidR="00E56FBD" w:rsidRDefault="00E56FBD" w:rsidP="008301BB">
      <w:pPr>
        <w:spacing w:line="240" w:lineRule="auto"/>
        <w:jc w:val="both"/>
        <w:rPr>
          <w:lang w:val="en-GB"/>
        </w:rPr>
      </w:pPr>
      <w:r w:rsidRPr="00E56FBD">
        <w:rPr>
          <w:b/>
          <w:color w:val="FFFFFF" w:themeColor="background1"/>
          <w:shd w:val="clear" w:color="auto" w:fill="00B050"/>
          <w:lang w:val="en-GB"/>
        </w:rPr>
        <w:t>CALL FOR PROPOSALS</w:t>
      </w:r>
      <w:r w:rsidRPr="00E56FBD">
        <w:rPr>
          <w:color w:val="FFFFFF" w:themeColor="background1"/>
          <w:lang w:val="en-GB"/>
        </w:rPr>
        <w:t xml:space="preserve"> </w:t>
      </w:r>
      <w:r>
        <w:rPr>
          <w:lang w:val="en-GB"/>
        </w:rPr>
        <w:t xml:space="preserve">– European Commission - </w:t>
      </w:r>
      <w:hyperlink r:id="rId33" w:history="1">
        <w:r w:rsidRPr="00E56FBD">
          <w:rPr>
            <w:rStyle w:val="Lienhypertexte"/>
            <w:lang w:val="en-GB"/>
          </w:rPr>
          <w:t>Restricted action grants to support national information, Awareness-raising and education activities aimed at preventing and combating violence against women</w:t>
        </w:r>
      </w:hyperlink>
      <w:r>
        <w:rPr>
          <w:lang w:val="en-GB"/>
        </w:rPr>
        <w:t xml:space="preserve"> (Deadline: 27</w:t>
      </w:r>
      <w:r w:rsidRPr="00E56FBD">
        <w:rPr>
          <w:vertAlign w:val="superscript"/>
          <w:lang w:val="en-GB"/>
        </w:rPr>
        <w:t>th</w:t>
      </w:r>
      <w:r>
        <w:rPr>
          <w:lang w:val="en-GB"/>
        </w:rPr>
        <w:t xml:space="preserve"> October 2016)</w:t>
      </w:r>
    </w:p>
    <w:p w14:paraId="638CB15B" w14:textId="1012D695" w:rsidR="00DF3600" w:rsidRDefault="00DF3600" w:rsidP="008301BB">
      <w:pPr>
        <w:spacing w:line="240" w:lineRule="auto"/>
        <w:jc w:val="both"/>
        <w:rPr>
          <w:lang w:val="en-GB"/>
        </w:rPr>
      </w:pPr>
      <w:r>
        <w:rPr>
          <w:b/>
          <w:shd w:val="clear" w:color="auto" w:fill="FFFF00"/>
          <w:lang w:val="en-GB"/>
        </w:rPr>
        <w:t>EVENT</w:t>
      </w:r>
      <w:r>
        <w:rPr>
          <w:b/>
          <w:lang w:val="en-GB"/>
        </w:rPr>
        <w:t xml:space="preserve"> – </w:t>
      </w:r>
      <w:r w:rsidRPr="00DF3600">
        <w:rPr>
          <w:b/>
          <w:lang w:val="en-GB"/>
        </w:rPr>
        <w:t>Gender, Scien</w:t>
      </w:r>
      <w:r>
        <w:rPr>
          <w:b/>
          <w:lang w:val="en-GB"/>
        </w:rPr>
        <w:t xml:space="preserve">ce, Technology and Environment (genderSTE) </w:t>
      </w:r>
      <w:r>
        <w:rPr>
          <w:lang w:val="en-GB"/>
        </w:rPr>
        <w:t xml:space="preserve">– </w:t>
      </w:r>
      <w:hyperlink r:id="rId34" w:history="1">
        <w:r w:rsidRPr="00DF3600">
          <w:rPr>
            <w:rStyle w:val="Lienhypertexte"/>
            <w:lang w:val="en-US"/>
          </w:rPr>
          <w:t>Conference “Engendering Habitat III: Facing the Global Challenges in Cities, Climate Change and Transport”</w:t>
        </w:r>
      </w:hyperlink>
      <w:r>
        <w:rPr>
          <w:lang w:val="en-GB"/>
        </w:rPr>
        <w:t>– 5</w:t>
      </w:r>
      <w:r w:rsidRPr="007F589E">
        <w:rPr>
          <w:vertAlign w:val="superscript"/>
          <w:lang w:val="en-GB"/>
        </w:rPr>
        <w:t>th</w:t>
      </w:r>
      <w:r>
        <w:rPr>
          <w:lang w:val="en-GB"/>
        </w:rPr>
        <w:t>/6</w:t>
      </w:r>
      <w:r w:rsidRPr="00DF3600">
        <w:rPr>
          <w:vertAlign w:val="superscript"/>
          <w:lang w:val="en-GB"/>
        </w:rPr>
        <w:t>th</w:t>
      </w:r>
      <w:r>
        <w:rPr>
          <w:lang w:val="en-GB"/>
        </w:rPr>
        <w:t xml:space="preserve"> October 2016, Madrid, Spain</w:t>
      </w:r>
    </w:p>
    <w:p w14:paraId="7A9CB618" w14:textId="0193B0AD" w:rsidR="001A3C8D" w:rsidRDefault="001A3C8D" w:rsidP="008301BB">
      <w:pPr>
        <w:spacing w:line="240" w:lineRule="auto"/>
        <w:jc w:val="both"/>
        <w:rPr>
          <w:lang w:val="en-GB"/>
        </w:rPr>
      </w:pPr>
      <w:r>
        <w:rPr>
          <w:b/>
          <w:shd w:val="clear" w:color="auto" w:fill="FFFF00"/>
          <w:lang w:val="en-GB"/>
        </w:rPr>
        <w:t>EVENT</w:t>
      </w:r>
      <w:r>
        <w:rPr>
          <w:b/>
          <w:lang w:val="en-GB"/>
        </w:rPr>
        <w:t xml:space="preserve"> – </w:t>
      </w:r>
      <w:r w:rsidRPr="001A3C8D">
        <w:rPr>
          <w:b/>
          <w:lang w:val="en-GB"/>
        </w:rPr>
        <w:t xml:space="preserve">Women In Development Europe+ (WIDE+) and the European Women’s Lobby (EWL) </w:t>
      </w:r>
      <w:r>
        <w:rPr>
          <w:lang w:val="en-GB"/>
        </w:rPr>
        <w:t xml:space="preserve">– </w:t>
      </w:r>
      <w:hyperlink r:id="rId35" w:history="1">
        <w:r w:rsidRPr="001A3C8D">
          <w:rPr>
            <w:rStyle w:val="Lienhypertexte"/>
            <w:lang w:val="en-US"/>
          </w:rPr>
          <w:t>International Conference: Movements, Borders, Rights? Feminist perspectives on global issues in Europe</w:t>
        </w:r>
      </w:hyperlink>
      <w:r>
        <w:rPr>
          <w:lang w:val="en-GB"/>
        </w:rPr>
        <w:t xml:space="preserve"> – 24</w:t>
      </w:r>
      <w:r w:rsidRPr="009330E1">
        <w:rPr>
          <w:vertAlign w:val="superscript"/>
          <w:lang w:val="en-GB"/>
        </w:rPr>
        <w:t>th</w:t>
      </w:r>
      <w:r>
        <w:rPr>
          <w:lang w:val="en-GB"/>
        </w:rPr>
        <w:t>/25</w:t>
      </w:r>
      <w:r w:rsidRPr="001A3C8D">
        <w:rPr>
          <w:vertAlign w:val="superscript"/>
          <w:lang w:val="en-GB"/>
        </w:rPr>
        <w:t>th</w:t>
      </w:r>
      <w:r>
        <w:rPr>
          <w:lang w:val="en-GB"/>
        </w:rPr>
        <w:t xml:space="preserve"> October 2016, Brussels, Belgium</w:t>
      </w:r>
    </w:p>
    <w:p w14:paraId="3C24D56D" w14:textId="73103FF8" w:rsidR="00EF446F" w:rsidRDefault="00243386" w:rsidP="00E56FBD">
      <w:pPr>
        <w:pBdr>
          <w:bottom w:val="dotted" w:sz="36" w:space="1" w:color="auto"/>
        </w:pBdr>
        <w:spacing w:line="240" w:lineRule="auto"/>
        <w:jc w:val="both"/>
        <w:rPr>
          <w:lang w:val="en-US"/>
        </w:rPr>
      </w:pPr>
      <w:r w:rsidRPr="001A3BA9">
        <w:rPr>
          <w:b/>
          <w:color w:val="FFFFFF" w:themeColor="background1"/>
          <w:shd w:val="clear" w:color="auto" w:fill="7030A0"/>
          <w:lang w:val="en-GB"/>
        </w:rPr>
        <w:t>PUBLICATION</w:t>
      </w:r>
      <w:r w:rsidRPr="001A3BA9">
        <w:rPr>
          <w:rFonts w:ascii="Calibri" w:eastAsia="Calibri" w:hAnsi="Calibri" w:cs="Times New Roman"/>
          <w:lang w:val="en-GB"/>
        </w:rPr>
        <w:t xml:space="preserve"> – </w:t>
      </w:r>
      <w:r>
        <w:rPr>
          <w:rFonts w:ascii="Calibri" w:eastAsia="Calibri" w:hAnsi="Calibri" w:cs="Times New Roman"/>
          <w:b/>
          <w:lang w:val="en-GB"/>
        </w:rPr>
        <w:t>European Commission</w:t>
      </w:r>
      <w:r w:rsidRPr="001A3BA9">
        <w:rPr>
          <w:rFonts w:ascii="Calibri" w:eastAsia="Calibri" w:hAnsi="Calibri" w:cs="Times New Roman"/>
          <w:lang w:val="en-GB"/>
        </w:rPr>
        <w:t xml:space="preserve"> –</w:t>
      </w:r>
      <w:r w:rsidRPr="00E62BDF">
        <w:rPr>
          <w:lang w:val="en-US"/>
        </w:rPr>
        <w:t xml:space="preserve"> </w:t>
      </w:r>
      <w:hyperlink r:id="rId36" w:history="1">
        <w:r w:rsidRPr="00243386">
          <w:rPr>
            <w:rStyle w:val="Lienhypertexte"/>
            <w:lang w:val="en-US"/>
          </w:rPr>
          <w:t>Evidence Review - Challenges of work-life balance faced by working families</w:t>
        </w:r>
      </w:hyperlink>
    </w:p>
    <w:p w14:paraId="7AF622D0" w14:textId="174F8605" w:rsidR="00243386" w:rsidRDefault="00243386" w:rsidP="00E56FBD">
      <w:pPr>
        <w:pBdr>
          <w:bottom w:val="dotted" w:sz="36" w:space="1" w:color="auto"/>
        </w:pBdr>
        <w:spacing w:line="240" w:lineRule="auto"/>
        <w:jc w:val="both"/>
        <w:rPr>
          <w:lang w:val="en-GB"/>
        </w:rPr>
      </w:pPr>
      <w:r w:rsidRPr="00243386">
        <w:rPr>
          <w:lang w:val="en-GB"/>
        </w:rPr>
        <w:t>The aim of this review is to providence evidence of the expected costs and benefits on work-life balance incurred by five reforms envisaged by the European Commission: the introduction of carer's leave; paternity leave; paid parental leave; father's quota; breastfeed provisions at work; and flexible and part-time work arrangement.</w:t>
      </w:r>
    </w:p>
    <w:p w14:paraId="4937F4CF" w14:textId="77777777" w:rsidR="00243386" w:rsidRPr="00243386" w:rsidRDefault="00243386" w:rsidP="00E56FBD">
      <w:pPr>
        <w:pBdr>
          <w:bottom w:val="dotted" w:sz="36" w:space="1" w:color="auto"/>
        </w:pBdr>
        <w:spacing w:line="240" w:lineRule="auto"/>
        <w:rPr>
          <w:lang w:val="en-US"/>
        </w:rPr>
      </w:pPr>
    </w:p>
    <w:p w14:paraId="4279531E" w14:textId="6AAAA6F2" w:rsidR="00C842B1" w:rsidRPr="006075A4" w:rsidRDefault="00F93FE2" w:rsidP="00E56FBD">
      <w:pPr>
        <w:pStyle w:val="Titre1"/>
        <w:pBdr>
          <w:top w:val="dotted" w:sz="4" w:space="1" w:color="auto"/>
          <w:bottom w:val="dotted" w:sz="4" w:space="1" w:color="auto"/>
        </w:pBdr>
        <w:rPr>
          <w:lang w:val="en-GB"/>
        </w:rPr>
      </w:pPr>
      <w:bookmarkStart w:id="18" w:name="_Ref461696966"/>
      <w:bookmarkStart w:id="19" w:name="_Toc418770748"/>
      <w:bookmarkStart w:id="20" w:name="_Ref418784315"/>
      <w:bookmarkStart w:id="21" w:name="_Ref418784316"/>
      <w:bookmarkEnd w:id="10"/>
      <w:bookmarkEnd w:id="11"/>
      <w:r>
        <w:rPr>
          <w:lang w:val="en-GB"/>
        </w:rPr>
        <w:t>Race/ethnic origin</w:t>
      </w:r>
      <w:bookmarkEnd w:id="18"/>
    </w:p>
    <w:p w14:paraId="01EB038F" w14:textId="77777777" w:rsidR="00E56FBD" w:rsidRDefault="00E56FBD" w:rsidP="008301BB">
      <w:pPr>
        <w:spacing w:line="240" w:lineRule="auto"/>
        <w:rPr>
          <w:lang w:val="en-GB"/>
        </w:rPr>
      </w:pPr>
      <w:bookmarkStart w:id="22" w:name="_Ref421267530"/>
    </w:p>
    <w:p w14:paraId="4D148674" w14:textId="54C516DA" w:rsidR="00EF446F" w:rsidRDefault="00E56FBD" w:rsidP="00E56FBD">
      <w:pPr>
        <w:pStyle w:val="Titre2"/>
        <w:rPr>
          <w:lang w:val="en-GB"/>
        </w:rPr>
      </w:pPr>
      <w:bookmarkStart w:id="23" w:name="_Ref461696967"/>
      <w:r>
        <w:rPr>
          <w:lang w:val="en-GB"/>
        </w:rPr>
        <w:lastRenderedPageBreak/>
        <w:t>Policy</w:t>
      </w:r>
      <w:r w:rsidR="00EF446F">
        <w:rPr>
          <w:lang w:val="en-GB"/>
        </w:rPr>
        <w:t xml:space="preserve"> developments</w:t>
      </w:r>
      <w:bookmarkEnd w:id="23"/>
    </w:p>
    <w:p w14:paraId="0B8E3ECF" w14:textId="77777777" w:rsidR="00E56FBD" w:rsidRDefault="00E56FBD" w:rsidP="00E56FBD">
      <w:pPr>
        <w:spacing w:line="240" w:lineRule="auto"/>
        <w:rPr>
          <w:lang w:val="en-GB"/>
        </w:rPr>
      </w:pPr>
    </w:p>
    <w:p w14:paraId="5A6D1136" w14:textId="3D05334F" w:rsidR="00833B25" w:rsidRPr="00E56FBD" w:rsidRDefault="00833B25" w:rsidP="00E56FBD">
      <w:pPr>
        <w:spacing w:line="240" w:lineRule="auto"/>
        <w:rPr>
          <w:b/>
          <w:color w:val="002060"/>
          <w:sz w:val="24"/>
          <w:lang w:val="en-GB"/>
        </w:rPr>
      </w:pPr>
      <w:r w:rsidRPr="00E56FBD">
        <w:rPr>
          <w:b/>
          <w:color w:val="002060"/>
          <w:sz w:val="24"/>
          <w:lang w:val="en-GB"/>
        </w:rPr>
        <w:t>Statement by European Commission First Vice-President Timmermans and Commissioner Jourová on the Roma Holocaust Memorial Day, 2 August 2016</w:t>
      </w:r>
    </w:p>
    <w:p w14:paraId="6309A1FD" w14:textId="77777777" w:rsidR="00E56FBD" w:rsidRDefault="00833B25" w:rsidP="00E56FBD">
      <w:pPr>
        <w:pBdr>
          <w:bottom w:val="dotted" w:sz="36" w:space="1" w:color="auto"/>
        </w:pBdr>
        <w:spacing w:line="240" w:lineRule="auto"/>
        <w:jc w:val="both"/>
        <w:rPr>
          <w:rStyle w:val="Lienhypertexte"/>
          <w:rFonts w:ascii="Arial" w:hAnsi="Arial" w:cs="Arial"/>
          <w:color w:val="000000"/>
          <w:spacing w:val="-12"/>
          <w:sz w:val="47"/>
          <w:szCs w:val="47"/>
          <w:bdr w:val="none" w:sz="0" w:space="0" w:color="auto" w:frame="1"/>
          <w:lang w:val="en-US"/>
        </w:rPr>
      </w:pPr>
      <w:r w:rsidRPr="00833B25">
        <w:rPr>
          <w:lang w:val="en-GB"/>
        </w:rPr>
        <w:t>The European Commission recalls its support for the European Parliament's resolution of 15 April 2015 officially recognising Roma Holocaust Memorial Day</w:t>
      </w:r>
      <w:r>
        <w:rPr>
          <w:lang w:val="en-GB"/>
        </w:rPr>
        <w:t>, hoping</w:t>
      </w:r>
      <w:r w:rsidRPr="00833B25">
        <w:rPr>
          <w:lang w:val="en-GB"/>
        </w:rPr>
        <w:t xml:space="preserve"> that all M</w:t>
      </w:r>
      <w:r>
        <w:rPr>
          <w:lang w:val="en-GB"/>
        </w:rPr>
        <w:t xml:space="preserve">ember States will recognise it. </w:t>
      </w:r>
      <w:r w:rsidRPr="00833B25">
        <w:rPr>
          <w:lang w:val="en-GB"/>
        </w:rPr>
        <w:t>The European Commission remains committed to improving Roma integration. It will continue to work with all stakeholders to improve the daily lives of Roma</w:t>
      </w:r>
      <w:r w:rsidR="00786ABB">
        <w:rPr>
          <w:lang w:val="en-GB"/>
        </w:rPr>
        <w:t>. More information is</w:t>
      </w:r>
      <w:r>
        <w:rPr>
          <w:lang w:val="en-GB"/>
        </w:rPr>
        <w:t xml:space="preserve"> available </w:t>
      </w:r>
      <w:hyperlink r:id="rId37" w:history="1">
        <w:r w:rsidRPr="00524C60">
          <w:rPr>
            <w:rStyle w:val="Lienhypertexte"/>
            <w:lang w:val="en-GB"/>
          </w:rPr>
          <w:t>here</w:t>
        </w:r>
      </w:hyperlink>
      <w:r>
        <w:rPr>
          <w:lang w:val="en-GB"/>
        </w:rPr>
        <w:t xml:space="preserve">. </w:t>
      </w:r>
      <w:hyperlink r:id="rId38" w:history="1">
        <w:r w:rsidR="001200F7" w:rsidRPr="00156277">
          <w:rPr>
            <w:rStyle w:val="Lienhypertexte"/>
            <w:rFonts w:ascii="Arial" w:hAnsi="Arial" w:cs="Arial"/>
            <w:vanish/>
            <w:color w:val="000000"/>
            <w:spacing w:val="-12"/>
            <w:sz w:val="47"/>
            <w:szCs w:val="47"/>
            <w:bdr w:val="none" w:sz="0" w:space="0" w:color="auto" w:frame="1"/>
            <w:lang w:val="en-US"/>
          </w:rPr>
          <w:t>Roma women's participation in public life</w:t>
        </w:r>
      </w:hyperlink>
    </w:p>
    <w:p w14:paraId="37F1B2F3" w14:textId="4395C093" w:rsidR="00156277" w:rsidRPr="00E56FBD" w:rsidRDefault="00BB713D" w:rsidP="00E56FBD">
      <w:pPr>
        <w:pBdr>
          <w:bottom w:val="dotted" w:sz="36" w:space="1" w:color="auto"/>
        </w:pBdr>
        <w:spacing w:line="240" w:lineRule="auto"/>
        <w:jc w:val="both"/>
        <w:rPr>
          <w:lang w:val="en-GB"/>
        </w:rPr>
      </w:pPr>
      <w:hyperlink r:id="rId39" w:history="1">
        <w:r w:rsidR="00156277" w:rsidRPr="00156277">
          <w:rPr>
            <w:rStyle w:val="Lienhypertexte"/>
            <w:rFonts w:ascii="Arial" w:hAnsi="Arial" w:cs="Arial"/>
            <w:vanish/>
            <w:color w:val="000000"/>
            <w:spacing w:val="-12"/>
            <w:sz w:val="47"/>
            <w:szCs w:val="47"/>
            <w:bdr w:val="none" w:sz="0" w:space="0" w:color="auto" w:frame="1"/>
            <w:lang w:val="en-US"/>
          </w:rPr>
          <w:t>Roma women's participation in public life</w:t>
        </w:r>
      </w:hyperlink>
    </w:p>
    <w:p w14:paraId="4376734D" w14:textId="26646CC5" w:rsidR="00624AFF" w:rsidRPr="006075A4" w:rsidRDefault="00D05673" w:rsidP="00E56FBD">
      <w:pPr>
        <w:pStyle w:val="Titre1"/>
        <w:pBdr>
          <w:top w:val="dotted" w:sz="4" w:space="1" w:color="auto"/>
          <w:bottom w:val="dotted" w:sz="4" w:space="1" w:color="auto"/>
        </w:pBdr>
        <w:rPr>
          <w:rFonts w:ascii="Calibri" w:eastAsia="Calibri" w:hAnsi="Calibri" w:cs="Times New Roman"/>
          <w:color w:val="auto"/>
          <w:sz w:val="22"/>
          <w:szCs w:val="22"/>
          <w:lang w:val="en-GB"/>
        </w:rPr>
      </w:pPr>
      <w:bookmarkStart w:id="24" w:name="_Ref461696968"/>
      <w:r w:rsidRPr="006075A4">
        <w:rPr>
          <w:lang w:val="en-GB"/>
        </w:rPr>
        <w:t>Sexual Orientation and Gender Identity</w:t>
      </w:r>
      <w:bookmarkEnd w:id="19"/>
      <w:bookmarkEnd w:id="20"/>
      <w:bookmarkEnd w:id="21"/>
      <w:bookmarkEnd w:id="22"/>
      <w:bookmarkEnd w:id="24"/>
    </w:p>
    <w:p w14:paraId="0520B64C" w14:textId="77777777" w:rsidR="00E56FBD" w:rsidRDefault="00E56FBD" w:rsidP="008301BB">
      <w:pPr>
        <w:spacing w:line="240" w:lineRule="auto"/>
        <w:rPr>
          <w:lang w:val="en-GB"/>
        </w:rPr>
      </w:pPr>
    </w:p>
    <w:p w14:paraId="74F80DCC" w14:textId="7570D4DC" w:rsidR="00E56FBD" w:rsidRPr="00E56FBD" w:rsidRDefault="00E56FBD" w:rsidP="00E56FBD">
      <w:pPr>
        <w:pStyle w:val="Titre2"/>
        <w:rPr>
          <w:lang w:val="en-GB"/>
        </w:rPr>
      </w:pPr>
      <w:bookmarkStart w:id="25" w:name="_Ref461696969"/>
      <w:r>
        <w:rPr>
          <w:lang w:val="en-GB"/>
        </w:rPr>
        <w:t xml:space="preserve">Policy </w:t>
      </w:r>
      <w:r w:rsidR="00EF446F">
        <w:rPr>
          <w:lang w:val="en-GB"/>
        </w:rPr>
        <w:t>developments</w:t>
      </w:r>
      <w:bookmarkEnd w:id="25"/>
      <w:r>
        <w:rPr>
          <w:lang w:val="en-GB"/>
        </w:rPr>
        <w:br/>
      </w:r>
    </w:p>
    <w:p w14:paraId="534FD8A2" w14:textId="48482311" w:rsidR="008A5500" w:rsidRPr="00E56FBD" w:rsidRDefault="008A5500" w:rsidP="008301BB">
      <w:pPr>
        <w:spacing w:line="240" w:lineRule="auto"/>
        <w:rPr>
          <w:b/>
          <w:color w:val="002060"/>
          <w:sz w:val="24"/>
          <w:lang w:val="en-GB"/>
        </w:rPr>
      </w:pPr>
      <w:r w:rsidRPr="00E56FBD">
        <w:rPr>
          <w:b/>
          <w:color w:val="002060"/>
          <w:sz w:val="24"/>
          <w:lang w:val="en-GB"/>
        </w:rPr>
        <w:t>Joint statement on the inclusion of LGBTI issues in the new cycle of EEA and Norway Grants</w:t>
      </w:r>
    </w:p>
    <w:p w14:paraId="17D03D5F" w14:textId="1090BF5E" w:rsidR="008A5500" w:rsidRDefault="00BB713D" w:rsidP="008301BB">
      <w:pPr>
        <w:spacing w:line="240" w:lineRule="auto"/>
        <w:jc w:val="both"/>
        <w:rPr>
          <w:lang w:val="en-GB"/>
        </w:rPr>
      </w:pPr>
      <w:hyperlink r:id="rId40" w:history="1">
        <w:r w:rsidR="003809DC" w:rsidRPr="003809DC">
          <w:rPr>
            <w:rStyle w:val="Lienhypertexte"/>
            <w:lang w:val="en-GB"/>
          </w:rPr>
          <w:t>ILGA-Europe</w:t>
        </w:r>
      </w:hyperlink>
      <w:r w:rsidR="003809DC">
        <w:rPr>
          <w:lang w:val="en-GB"/>
        </w:rPr>
        <w:t>,</w:t>
      </w:r>
      <w:r w:rsidR="008A5500">
        <w:rPr>
          <w:lang w:val="en-GB"/>
        </w:rPr>
        <w:t xml:space="preserve"> the </w:t>
      </w:r>
      <w:hyperlink r:id="rId41" w:history="1">
        <w:r w:rsidR="008A5500" w:rsidRPr="00E56FBD">
          <w:rPr>
            <w:rStyle w:val="Lienhypertexte"/>
            <w:lang w:val="en-GB"/>
          </w:rPr>
          <w:t>Norwegian Helsinki Committee</w:t>
        </w:r>
      </w:hyperlink>
      <w:r w:rsidR="008A5500">
        <w:rPr>
          <w:lang w:val="en-GB"/>
        </w:rPr>
        <w:t xml:space="preserve">, the </w:t>
      </w:r>
      <w:r w:rsidR="008A5500" w:rsidRPr="008A5500">
        <w:rPr>
          <w:lang w:val="en-GB"/>
        </w:rPr>
        <w:t xml:space="preserve">Association for </w:t>
      </w:r>
      <w:r w:rsidR="00E56FBD">
        <w:rPr>
          <w:lang w:val="en-GB"/>
        </w:rPr>
        <w:t>Ge</w:t>
      </w:r>
      <w:r w:rsidR="008A5500" w:rsidRPr="008A5500">
        <w:rPr>
          <w:lang w:val="en-GB"/>
        </w:rPr>
        <w:t>nde</w:t>
      </w:r>
      <w:r w:rsidR="00E56FBD">
        <w:rPr>
          <w:lang w:val="en-GB"/>
        </w:rPr>
        <w:t>r and Sexuality D</w:t>
      </w:r>
      <w:r w:rsidR="008A5500">
        <w:rPr>
          <w:lang w:val="en-GB"/>
        </w:rPr>
        <w:t xml:space="preserve">iversity – FRI and </w:t>
      </w:r>
      <w:r w:rsidR="008A5500" w:rsidRPr="008A5500">
        <w:rPr>
          <w:lang w:val="en-GB"/>
        </w:rPr>
        <w:t>Oslo Pride recognise that human rights and civil society are important priority areas in the new framework</w:t>
      </w:r>
      <w:r w:rsidR="0064319A">
        <w:rPr>
          <w:lang w:val="en-GB"/>
        </w:rPr>
        <w:t xml:space="preserve"> of the EEA and No</w:t>
      </w:r>
      <w:r w:rsidR="00524C60">
        <w:rPr>
          <w:lang w:val="en-GB"/>
        </w:rPr>
        <w:t>r</w:t>
      </w:r>
      <w:r w:rsidR="0064319A">
        <w:rPr>
          <w:lang w:val="en-GB"/>
        </w:rPr>
        <w:t>way Grants</w:t>
      </w:r>
      <w:r w:rsidR="008A5500" w:rsidRPr="008A5500">
        <w:rPr>
          <w:lang w:val="en-GB"/>
        </w:rPr>
        <w:t xml:space="preserve">. </w:t>
      </w:r>
      <w:r w:rsidR="0064319A">
        <w:rPr>
          <w:lang w:val="en-GB"/>
        </w:rPr>
        <w:t xml:space="preserve">However, </w:t>
      </w:r>
      <w:r w:rsidR="008A5500" w:rsidRPr="007F3499">
        <w:rPr>
          <w:b/>
          <w:lang w:val="en-GB"/>
        </w:rPr>
        <w:t xml:space="preserve">LGBTI is currently not explicitly mentioned in the </w:t>
      </w:r>
      <w:r w:rsidR="0064319A" w:rsidRPr="007F3499">
        <w:rPr>
          <w:b/>
          <w:lang w:val="en-GB"/>
        </w:rPr>
        <w:t>new cycle of</w:t>
      </w:r>
      <w:r w:rsidR="00524C60" w:rsidRPr="007F3499">
        <w:rPr>
          <w:b/>
          <w:lang w:val="en-GB"/>
        </w:rPr>
        <w:t xml:space="preserve"> </w:t>
      </w:r>
      <w:r w:rsidR="0064319A" w:rsidRPr="007F3499">
        <w:rPr>
          <w:b/>
          <w:lang w:val="en-GB"/>
        </w:rPr>
        <w:t>funding</w:t>
      </w:r>
      <w:r w:rsidR="008A5500" w:rsidRPr="007F3499">
        <w:rPr>
          <w:b/>
          <w:lang w:val="en-GB"/>
        </w:rPr>
        <w:t>,</w:t>
      </w:r>
      <w:r w:rsidR="008A5500" w:rsidRPr="008A5500">
        <w:rPr>
          <w:lang w:val="en-GB"/>
        </w:rPr>
        <w:t xml:space="preserve"> which creates the potential for LGBTI projects not being supported.</w:t>
      </w:r>
      <w:r w:rsidR="008A5500">
        <w:rPr>
          <w:lang w:val="en-GB"/>
        </w:rPr>
        <w:t xml:space="preserve"> </w:t>
      </w:r>
    </w:p>
    <w:p w14:paraId="35D69F7C" w14:textId="65A73FA5" w:rsidR="008A5500" w:rsidRDefault="008A5500" w:rsidP="003809DC">
      <w:pPr>
        <w:rPr>
          <w:lang w:val="en-GB"/>
        </w:rPr>
      </w:pPr>
      <w:r>
        <w:rPr>
          <w:lang w:val="en-GB"/>
        </w:rPr>
        <w:t xml:space="preserve">They </w:t>
      </w:r>
      <w:r w:rsidRPr="008A5500">
        <w:rPr>
          <w:lang w:val="en-GB"/>
        </w:rPr>
        <w:t xml:space="preserve">strongly encourage for the new programme to include </w:t>
      </w:r>
      <w:r w:rsidR="00524C60">
        <w:rPr>
          <w:lang w:val="en-GB"/>
        </w:rPr>
        <w:t>specific objectives to keep advancing on</w:t>
      </w:r>
      <w:r w:rsidRPr="008A5500">
        <w:rPr>
          <w:lang w:val="en-GB"/>
        </w:rPr>
        <w:t xml:space="preserve"> LGB</w:t>
      </w:r>
      <w:r w:rsidR="00524C60">
        <w:rPr>
          <w:lang w:val="en-GB"/>
        </w:rPr>
        <w:t>TI human</w:t>
      </w:r>
      <w:r w:rsidR="00786ABB">
        <w:rPr>
          <w:lang w:val="en-GB"/>
        </w:rPr>
        <w:t xml:space="preserve"> rights. More information is</w:t>
      </w:r>
      <w:r w:rsidR="00524C60">
        <w:rPr>
          <w:lang w:val="en-GB"/>
        </w:rPr>
        <w:t xml:space="preserve"> available </w:t>
      </w:r>
      <w:hyperlink r:id="rId42" w:history="1">
        <w:r w:rsidR="00524C60" w:rsidRPr="00524C60">
          <w:rPr>
            <w:rStyle w:val="Lienhypertexte"/>
            <w:lang w:val="en-GB"/>
          </w:rPr>
          <w:t>here</w:t>
        </w:r>
      </w:hyperlink>
      <w:r w:rsidR="00524C60">
        <w:rPr>
          <w:lang w:val="en-GB"/>
        </w:rPr>
        <w:t xml:space="preserve">. </w:t>
      </w:r>
    </w:p>
    <w:p w14:paraId="5C4181DE" w14:textId="77777777" w:rsidR="007F3499" w:rsidRDefault="007F3499" w:rsidP="008301BB">
      <w:pPr>
        <w:spacing w:line="240" w:lineRule="auto"/>
        <w:jc w:val="both"/>
        <w:rPr>
          <w:lang w:val="en-GB"/>
        </w:rPr>
      </w:pPr>
    </w:p>
    <w:p w14:paraId="473734D4" w14:textId="2ACF33BD" w:rsidR="00EF446F" w:rsidRDefault="00EF446F" w:rsidP="007F3499">
      <w:pPr>
        <w:pStyle w:val="Titre2"/>
        <w:rPr>
          <w:lang w:val="en-GB"/>
        </w:rPr>
      </w:pPr>
      <w:bookmarkStart w:id="26" w:name="_Ref461696970"/>
      <w:r>
        <w:rPr>
          <w:lang w:val="en-GB"/>
        </w:rPr>
        <w:t>Publications, funding opportunities and events</w:t>
      </w:r>
      <w:bookmarkEnd w:id="26"/>
    </w:p>
    <w:p w14:paraId="04FF7BAE" w14:textId="6E340447" w:rsidR="007A3B4E" w:rsidRDefault="007F3499" w:rsidP="007F3499">
      <w:pPr>
        <w:pBdr>
          <w:bottom w:val="dotted" w:sz="36" w:space="1" w:color="auto"/>
        </w:pBdr>
        <w:spacing w:line="240" w:lineRule="auto"/>
        <w:jc w:val="both"/>
        <w:rPr>
          <w:lang w:val="en-GB"/>
        </w:rPr>
      </w:pPr>
      <w:r>
        <w:rPr>
          <w:b/>
          <w:color w:val="FFFFFF" w:themeColor="background1"/>
          <w:shd w:val="clear" w:color="auto" w:fill="00B050"/>
          <w:lang w:val="en-GB"/>
        </w:rPr>
        <w:br/>
      </w:r>
      <w:r w:rsidR="00237934" w:rsidRPr="001A3BA9">
        <w:rPr>
          <w:b/>
          <w:color w:val="FFFFFF" w:themeColor="background1"/>
          <w:shd w:val="clear" w:color="auto" w:fill="00B050"/>
          <w:lang w:val="en-GB"/>
        </w:rPr>
        <w:t>FUNDING OPPORTUNITY</w:t>
      </w:r>
      <w:r w:rsidR="00237934">
        <w:rPr>
          <w:lang w:val="en-GB"/>
        </w:rPr>
        <w:t xml:space="preserve"> – </w:t>
      </w:r>
      <w:r w:rsidR="00237934" w:rsidRPr="00237934">
        <w:rPr>
          <w:b/>
          <w:lang w:val="en-GB"/>
        </w:rPr>
        <w:t>COC Netherlands and ILGA-Europe</w:t>
      </w:r>
      <w:r w:rsidR="00237934">
        <w:rPr>
          <w:b/>
          <w:lang w:val="en-GB"/>
        </w:rPr>
        <w:t xml:space="preserve"> </w:t>
      </w:r>
      <w:r w:rsidR="00237934">
        <w:rPr>
          <w:lang w:val="en-GB"/>
        </w:rPr>
        <w:t xml:space="preserve">– </w:t>
      </w:r>
      <w:hyperlink r:id="rId43" w:history="1">
        <w:r w:rsidR="00237934" w:rsidRPr="00237934">
          <w:rPr>
            <w:rStyle w:val="Lienhypertexte"/>
            <w:lang w:val="en-US"/>
          </w:rPr>
          <w:t>‘Allies in Action’ is a small action fund by COC Netherlands and ILGA-Europe. The fund was created to support LGBTI communities and their allies in Armenia, Azerbaijan, Belarus, Georgia, Russia, and Ukraine</w:t>
        </w:r>
      </w:hyperlink>
      <w:r w:rsidR="00237934" w:rsidRPr="00237934">
        <w:rPr>
          <w:lang w:val="en-US"/>
        </w:rPr>
        <w:t xml:space="preserve">. </w:t>
      </w:r>
      <w:r w:rsidR="00237934">
        <w:rPr>
          <w:lang w:val="en-GB"/>
        </w:rPr>
        <w:t>(D</w:t>
      </w:r>
      <w:r w:rsidR="00237934" w:rsidRPr="008427D7">
        <w:rPr>
          <w:lang w:val="en-GB"/>
        </w:rPr>
        <w:t xml:space="preserve">eadline: </w:t>
      </w:r>
      <w:r w:rsidR="00237934">
        <w:rPr>
          <w:lang w:val="en-GB"/>
        </w:rPr>
        <w:t>18</w:t>
      </w:r>
      <w:r w:rsidR="00237934" w:rsidRPr="00237934">
        <w:rPr>
          <w:vertAlign w:val="superscript"/>
          <w:lang w:val="en-GB"/>
        </w:rPr>
        <w:t>th</w:t>
      </w:r>
      <w:r w:rsidR="00237934">
        <w:rPr>
          <w:lang w:val="en-GB"/>
        </w:rPr>
        <w:t xml:space="preserve"> September 2016)</w:t>
      </w:r>
      <w:r w:rsidR="00E56FBD">
        <w:rPr>
          <w:lang w:val="en-GB"/>
        </w:rPr>
        <w:tab/>
      </w:r>
      <w:r w:rsidR="0034362B" w:rsidRPr="006075A4">
        <w:rPr>
          <w:lang w:val="en-GB"/>
        </w:rPr>
        <w:br/>
      </w:r>
    </w:p>
    <w:p w14:paraId="2B7F1B72" w14:textId="19ED2C13" w:rsidR="00820E6F" w:rsidRPr="0064319A" w:rsidRDefault="00820E6F" w:rsidP="007F3499">
      <w:pPr>
        <w:pBdr>
          <w:bottom w:val="dotted" w:sz="36" w:space="1" w:color="auto"/>
        </w:pBdr>
        <w:spacing w:line="240" w:lineRule="auto"/>
        <w:jc w:val="both"/>
        <w:rPr>
          <w:rStyle w:val="Lienhypertexte"/>
          <w:lang w:val="en-US"/>
        </w:rPr>
      </w:pPr>
      <w:r w:rsidRPr="001A3BA9">
        <w:rPr>
          <w:b/>
          <w:color w:val="FFFFFF" w:themeColor="background1"/>
          <w:shd w:val="clear" w:color="auto" w:fill="7030A0"/>
          <w:lang w:val="en-GB"/>
        </w:rPr>
        <w:t>PUBLICATION</w:t>
      </w:r>
      <w:r w:rsidRPr="001A3BA9">
        <w:rPr>
          <w:rFonts w:ascii="Calibri" w:eastAsia="Calibri" w:hAnsi="Calibri" w:cs="Times New Roman"/>
          <w:lang w:val="en-GB"/>
        </w:rPr>
        <w:t xml:space="preserve"> – </w:t>
      </w:r>
      <w:r w:rsidR="00E40FD2">
        <w:rPr>
          <w:rFonts w:ascii="Calibri" w:eastAsia="Calibri" w:hAnsi="Calibri" w:cs="Times New Roman"/>
          <w:b/>
          <w:lang w:val="en-GB"/>
        </w:rPr>
        <w:t>TGEU</w:t>
      </w:r>
      <w:r w:rsidRPr="001A3BA9">
        <w:rPr>
          <w:rFonts w:ascii="Calibri" w:eastAsia="Calibri" w:hAnsi="Calibri" w:cs="Times New Roman"/>
          <w:lang w:val="en-GB"/>
        </w:rPr>
        <w:t xml:space="preserve"> –</w:t>
      </w:r>
      <w:r w:rsidRPr="00E62BDF">
        <w:rPr>
          <w:lang w:val="en-US"/>
        </w:rPr>
        <w:t xml:space="preserve"> </w:t>
      </w:r>
      <w:bookmarkStart w:id="27" w:name="_Sexual_Orientation_and"/>
      <w:bookmarkEnd w:id="27"/>
      <w:r w:rsidR="0064319A">
        <w:rPr>
          <w:lang w:val="en-US"/>
        </w:rPr>
        <w:fldChar w:fldCharType="begin"/>
      </w:r>
      <w:r w:rsidR="0064319A">
        <w:rPr>
          <w:lang w:val="en-US"/>
        </w:rPr>
        <w:instrText xml:space="preserve"> HYPERLINK "http://tgeu.org/wp-content/uploads/2016/07/Trans-specific-recommendations-from-ECRI-July-2016.pdf.pdf" </w:instrText>
      </w:r>
      <w:r w:rsidR="0064319A">
        <w:rPr>
          <w:lang w:val="en-US"/>
        </w:rPr>
        <w:fldChar w:fldCharType="separate"/>
      </w:r>
      <w:r w:rsidR="0064319A" w:rsidRPr="0064319A">
        <w:rPr>
          <w:rStyle w:val="Lienhypertexte"/>
          <w:lang w:val="en-US"/>
        </w:rPr>
        <w:t>Collection of ECRI reports with trans-specific observations and recommendations</w:t>
      </w:r>
    </w:p>
    <w:p w14:paraId="7C50A4A5" w14:textId="0438B6AE" w:rsidR="00237934" w:rsidRDefault="0064319A" w:rsidP="007F3499">
      <w:pPr>
        <w:pBdr>
          <w:bottom w:val="dotted" w:sz="36" w:space="1" w:color="auto"/>
        </w:pBdr>
        <w:spacing w:line="240" w:lineRule="auto"/>
        <w:jc w:val="both"/>
        <w:rPr>
          <w:lang w:val="en-US"/>
        </w:rPr>
      </w:pPr>
      <w:r>
        <w:rPr>
          <w:lang w:val="en-US"/>
        </w:rPr>
        <w:fldChar w:fldCharType="end"/>
      </w:r>
      <w:r w:rsidRPr="0064319A">
        <w:rPr>
          <w:lang w:val="en-US"/>
        </w:rPr>
        <w:t>TGEU has collated information from European Commission Against Racism and Intolerance (ECRI)</w:t>
      </w:r>
      <w:r>
        <w:rPr>
          <w:lang w:val="en-US"/>
        </w:rPr>
        <w:t xml:space="preserve"> recent </w:t>
      </w:r>
      <w:r w:rsidRPr="0064319A">
        <w:rPr>
          <w:lang w:val="en-US"/>
        </w:rPr>
        <w:t>reports with trans-specific observations and recommendations.</w:t>
      </w:r>
      <w:r>
        <w:rPr>
          <w:lang w:val="en-US"/>
        </w:rPr>
        <w:t xml:space="preserve"> </w:t>
      </w:r>
      <w:r w:rsidRPr="0064319A">
        <w:rPr>
          <w:lang w:val="en-US"/>
        </w:rPr>
        <w:t xml:space="preserve">To ensure </w:t>
      </w:r>
      <w:r>
        <w:rPr>
          <w:lang w:val="en-US"/>
        </w:rPr>
        <w:t>this</w:t>
      </w:r>
      <w:r w:rsidRPr="0064319A">
        <w:rPr>
          <w:lang w:val="en-US"/>
        </w:rPr>
        <w:t xml:space="preserve"> information </w:t>
      </w:r>
      <w:r>
        <w:rPr>
          <w:lang w:val="en-US"/>
        </w:rPr>
        <w:t xml:space="preserve">is easily used by activists as an advocacy tool all information is also </w:t>
      </w:r>
      <w:r w:rsidRPr="0064319A">
        <w:rPr>
          <w:lang w:val="en-US"/>
        </w:rPr>
        <w:t xml:space="preserve">available for </w:t>
      </w:r>
      <w:r>
        <w:rPr>
          <w:lang w:val="en-US"/>
        </w:rPr>
        <w:t xml:space="preserve">each country </w:t>
      </w:r>
      <w:hyperlink r:id="rId44" w:history="1">
        <w:r w:rsidRPr="0064319A">
          <w:rPr>
            <w:rStyle w:val="Lienhypertexte"/>
            <w:lang w:val="en-US"/>
          </w:rPr>
          <w:t>here</w:t>
        </w:r>
      </w:hyperlink>
      <w:r>
        <w:rPr>
          <w:lang w:val="en-US"/>
        </w:rPr>
        <w:t xml:space="preserve">. </w:t>
      </w:r>
    </w:p>
    <w:p w14:paraId="298670E3" w14:textId="77777777" w:rsidR="0034362B" w:rsidRPr="006075A4" w:rsidRDefault="0034362B" w:rsidP="007F3499">
      <w:pPr>
        <w:pBdr>
          <w:bottom w:val="dotted" w:sz="36" w:space="1" w:color="auto"/>
        </w:pBdr>
        <w:spacing w:line="240" w:lineRule="auto"/>
        <w:jc w:val="both"/>
        <w:rPr>
          <w:lang w:val="en-GB"/>
        </w:rPr>
      </w:pPr>
    </w:p>
    <w:p w14:paraId="596B8B11" w14:textId="4A7A39DE" w:rsidR="00EF446F" w:rsidRDefault="004A7771" w:rsidP="007F3499">
      <w:pPr>
        <w:pStyle w:val="Titre1"/>
        <w:pBdr>
          <w:top w:val="dotted" w:sz="2" w:space="1" w:color="auto"/>
          <w:bottom w:val="dotted" w:sz="2" w:space="1" w:color="auto"/>
        </w:pBdr>
        <w:rPr>
          <w:lang w:val="en-GB"/>
        </w:rPr>
      </w:pPr>
      <w:bookmarkStart w:id="28" w:name="_Toc418770750"/>
      <w:bookmarkStart w:id="29" w:name="_Ref418784334"/>
      <w:bookmarkStart w:id="30" w:name="_Ref421267538"/>
      <w:bookmarkStart w:id="31" w:name="_Ref461696974"/>
      <w:r w:rsidRPr="006075A4">
        <w:rPr>
          <w:lang w:val="en-GB"/>
        </w:rPr>
        <w:t>Disability</w:t>
      </w:r>
      <w:bookmarkEnd w:id="28"/>
      <w:bookmarkEnd w:id="29"/>
      <w:bookmarkEnd w:id="30"/>
      <w:bookmarkEnd w:id="31"/>
    </w:p>
    <w:p w14:paraId="11326F81" w14:textId="77777777" w:rsidR="00EF446F" w:rsidRDefault="00EF446F" w:rsidP="008301BB">
      <w:pPr>
        <w:spacing w:line="240" w:lineRule="auto"/>
        <w:rPr>
          <w:lang w:val="en-GB"/>
        </w:rPr>
      </w:pPr>
    </w:p>
    <w:p w14:paraId="0CFD4C68" w14:textId="6832400E" w:rsidR="00EF446F" w:rsidRDefault="007F3499" w:rsidP="007F3499">
      <w:pPr>
        <w:pStyle w:val="Titre2"/>
        <w:rPr>
          <w:lang w:val="en-GB"/>
        </w:rPr>
      </w:pPr>
      <w:bookmarkStart w:id="32" w:name="_Ref461696975"/>
      <w:r>
        <w:rPr>
          <w:lang w:val="en-GB"/>
        </w:rPr>
        <w:t>Policy</w:t>
      </w:r>
      <w:r w:rsidR="00EF446F">
        <w:rPr>
          <w:lang w:val="en-GB"/>
        </w:rPr>
        <w:t xml:space="preserve"> developments</w:t>
      </w:r>
      <w:bookmarkEnd w:id="32"/>
    </w:p>
    <w:p w14:paraId="6AD048A7" w14:textId="77777777" w:rsidR="007F3499" w:rsidRPr="007F3499" w:rsidRDefault="007F3499" w:rsidP="007F3499">
      <w:pPr>
        <w:rPr>
          <w:lang w:val="en-GB"/>
        </w:rPr>
      </w:pPr>
    </w:p>
    <w:p w14:paraId="45C9C2EC" w14:textId="09C50B00" w:rsidR="008D6C9B" w:rsidRPr="007F3499" w:rsidRDefault="00FF4439" w:rsidP="007F3499">
      <w:pPr>
        <w:spacing w:line="240" w:lineRule="auto"/>
        <w:jc w:val="both"/>
        <w:rPr>
          <w:b/>
          <w:color w:val="002060"/>
          <w:sz w:val="24"/>
          <w:lang w:val="en-GB"/>
        </w:rPr>
      </w:pPr>
      <w:r w:rsidRPr="007F3499">
        <w:rPr>
          <w:rStyle w:val="Lienhypertexte"/>
          <w:b/>
          <w:color w:val="002060"/>
          <w:sz w:val="24"/>
          <w:u w:val="none"/>
          <w:lang w:val="en-GB"/>
        </w:rPr>
        <w:t>European Parliament adopts resolution to better implement the UN Convention on the Rights of Persons with Disabilities (CRPD)</w:t>
      </w:r>
    </w:p>
    <w:p w14:paraId="632CD1A0" w14:textId="3EEE0F21" w:rsidR="007F3499" w:rsidRDefault="00FF4439" w:rsidP="008301BB">
      <w:pPr>
        <w:spacing w:line="240" w:lineRule="auto"/>
        <w:jc w:val="both"/>
        <w:rPr>
          <w:lang w:val="en-US"/>
        </w:rPr>
      </w:pPr>
      <w:r>
        <w:rPr>
          <w:lang w:val="en-US"/>
        </w:rPr>
        <w:lastRenderedPageBreak/>
        <w:t xml:space="preserve">Last year, the European Union </w:t>
      </w:r>
      <w:r w:rsidR="008D6C9B" w:rsidRPr="008D6C9B">
        <w:rPr>
          <w:lang w:val="en-US"/>
        </w:rPr>
        <w:t xml:space="preserve">was reviewed by the </w:t>
      </w:r>
      <w:r w:rsidR="008D6C9B" w:rsidRPr="007F3499">
        <w:rPr>
          <w:b/>
          <w:lang w:val="en-US"/>
        </w:rPr>
        <w:t>UN Committee on the Rights of Persons with Disabilities</w:t>
      </w:r>
      <w:r w:rsidR="008D6C9B" w:rsidRPr="008D6C9B">
        <w:rPr>
          <w:lang w:val="en-US"/>
        </w:rPr>
        <w:t xml:space="preserve"> on its work to protect and promote the rights of 80 million </w:t>
      </w:r>
      <w:r w:rsidR="00741E49">
        <w:rPr>
          <w:lang w:val="en-US"/>
        </w:rPr>
        <w:t>people</w:t>
      </w:r>
      <w:r w:rsidR="00741E49" w:rsidRPr="008D6C9B">
        <w:rPr>
          <w:lang w:val="en-US"/>
        </w:rPr>
        <w:t xml:space="preserve"> </w:t>
      </w:r>
      <w:r w:rsidR="008D6C9B" w:rsidRPr="008D6C9B">
        <w:rPr>
          <w:lang w:val="en-US"/>
        </w:rPr>
        <w:t xml:space="preserve">with disabilities in Europe. </w:t>
      </w:r>
      <w:r w:rsidR="00741E49" w:rsidRPr="008D6C9B">
        <w:rPr>
          <w:lang w:val="en-US"/>
        </w:rPr>
        <w:t>Follow</w:t>
      </w:r>
      <w:r w:rsidR="00741E49">
        <w:rPr>
          <w:lang w:val="en-US"/>
        </w:rPr>
        <w:t>ing</w:t>
      </w:r>
      <w:r w:rsidR="00741E49" w:rsidRPr="008D6C9B">
        <w:rPr>
          <w:lang w:val="en-US"/>
        </w:rPr>
        <w:t xml:space="preserve"> </w:t>
      </w:r>
      <w:r w:rsidR="008D6C9B" w:rsidRPr="008D6C9B">
        <w:rPr>
          <w:lang w:val="en-US"/>
        </w:rPr>
        <w:t>that review, the UN Committee issu</w:t>
      </w:r>
      <w:r>
        <w:rPr>
          <w:lang w:val="en-US"/>
        </w:rPr>
        <w:t>ed a list of recommendations (‘</w:t>
      </w:r>
      <w:hyperlink r:id="rId45" w:history="1">
        <w:r w:rsidRPr="00FF4439">
          <w:rPr>
            <w:rStyle w:val="Lienhypertexte"/>
            <w:lang w:val="en-US"/>
          </w:rPr>
          <w:t>Concluding Observations’</w:t>
        </w:r>
      </w:hyperlink>
      <w:r w:rsidR="008D6C9B" w:rsidRPr="008D6C9B">
        <w:rPr>
          <w:lang w:val="en-US"/>
        </w:rPr>
        <w:t>) to the EU which</w:t>
      </w:r>
      <w:r w:rsidR="00741E49">
        <w:rPr>
          <w:lang w:val="en-US"/>
        </w:rPr>
        <w:t xml:space="preserve"> the EU</w:t>
      </w:r>
      <w:r w:rsidR="008D6C9B" w:rsidRPr="008D6C9B">
        <w:rPr>
          <w:lang w:val="en-US"/>
        </w:rPr>
        <w:t xml:space="preserve"> should report back on in four years. The European Parliament has formally reacted to the UN’s recommendations and made a report on this. </w:t>
      </w:r>
    </w:p>
    <w:p w14:paraId="1F269DF8" w14:textId="00EF8059" w:rsidR="008D6C9B" w:rsidRPr="008D6C9B" w:rsidRDefault="007F3499" w:rsidP="008301BB">
      <w:pPr>
        <w:spacing w:line="240" w:lineRule="auto"/>
        <w:jc w:val="both"/>
        <w:rPr>
          <w:lang w:val="en-US"/>
        </w:rPr>
      </w:pPr>
      <w:r>
        <w:rPr>
          <w:lang w:val="en-US"/>
        </w:rPr>
        <w:t>The</w:t>
      </w:r>
      <w:r w:rsidR="008D6C9B" w:rsidRPr="008D6C9B">
        <w:rPr>
          <w:lang w:val="en-US"/>
        </w:rPr>
        <w:t xml:space="preserve"> </w:t>
      </w:r>
      <w:hyperlink r:id="rId46" w:history="1">
        <w:r w:rsidR="008D6C9B" w:rsidRPr="00FF4439">
          <w:rPr>
            <w:rStyle w:val="Lienhypertexte"/>
            <w:lang w:val="en-US"/>
          </w:rPr>
          <w:t>report</w:t>
        </w:r>
      </w:hyperlink>
      <w:r w:rsidR="008D6C9B" w:rsidRPr="008D6C9B">
        <w:rPr>
          <w:lang w:val="en-US"/>
        </w:rPr>
        <w:t xml:space="preserve"> outlines the European Parliament’s views on what the EU needs to do better to implement the UN Convention on the Rights of Persons with Disabilities (CRPD).</w:t>
      </w:r>
    </w:p>
    <w:p w14:paraId="16AAD426" w14:textId="77777777" w:rsidR="007F3499" w:rsidRDefault="00FF4439" w:rsidP="007F3499">
      <w:pPr>
        <w:spacing w:line="240" w:lineRule="auto"/>
        <w:jc w:val="both"/>
        <w:rPr>
          <w:lang w:val="en-US"/>
        </w:rPr>
      </w:pPr>
      <w:r>
        <w:rPr>
          <w:lang w:val="en-US"/>
        </w:rPr>
        <w:t>On 7</w:t>
      </w:r>
      <w:r w:rsidRPr="00FF4439">
        <w:rPr>
          <w:vertAlign w:val="superscript"/>
          <w:lang w:val="en-US"/>
        </w:rPr>
        <w:t>th</w:t>
      </w:r>
      <w:r>
        <w:rPr>
          <w:lang w:val="en-US"/>
        </w:rPr>
        <w:t xml:space="preserve"> July</w:t>
      </w:r>
      <w:r w:rsidR="008D6C9B" w:rsidRPr="008D6C9B">
        <w:rPr>
          <w:lang w:val="en-US"/>
        </w:rPr>
        <w:t xml:space="preserve">, Members of the European Parliament adopted </w:t>
      </w:r>
      <w:r w:rsidR="008D6C9B" w:rsidRPr="007F3499">
        <w:rPr>
          <w:b/>
          <w:lang w:val="en-US"/>
        </w:rPr>
        <w:t>a resolution based on the report calling on the European Commission and the EU Council to fully impl</w:t>
      </w:r>
      <w:r w:rsidRPr="007F3499">
        <w:rPr>
          <w:b/>
          <w:lang w:val="en-US"/>
        </w:rPr>
        <w:t>ement the UN’s recommendations</w:t>
      </w:r>
      <w:r>
        <w:rPr>
          <w:lang w:val="en-US"/>
        </w:rPr>
        <w:t xml:space="preserve">. The resolution can be found </w:t>
      </w:r>
      <w:hyperlink r:id="rId47" w:history="1">
        <w:r w:rsidRPr="00FF4439">
          <w:rPr>
            <w:rStyle w:val="Lienhypertexte"/>
            <w:lang w:val="en-US"/>
          </w:rPr>
          <w:t>here</w:t>
        </w:r>
      </w:hyperlink>
      <w:r>
        <w:rPr>
          <w:lang w:val="en-US"/>
        </w:rPr>
        <w:t xml:space="preserve">. </w:t>
      </w:r>
    </w:p>
    <w:p w14:paraId="02CACF97" w14:textId="77777777" w:rsidR="007F3499" w:rsidRDefault="007F3499" w:rsidP="007F3499">
      <w:pPr>
        <w:spacing w:line="240" w:lineRule="auto"/>
        <w:jc w:val="both"/>
        <w:rPr>
          <w:lang w:val="en-US"/>
        </w:rPr>
      </w:pPr>
    </w:p>
    <w:p w14:paraId="43B43436" w14:textId="2E18A6FC" w:rsidR="008D6C9B" w:rsidRPr="007F3499" w:rsidRDefault="008D6C9B" w:rsidP="007F3499">
      <w:pPr>
        <w:spacing w:line="240" w:lineRule="auto"/>
        <w:jc w:val="both"/>
        <w:rPr>
          <w:rStyle w:val="Lienhypertexte"/>
          <w:color w:val="002060"/>
          <w:sz w:val="24"/>
          <w:u w:val="none"/>
          <w:lang w:val="en-US"/>
        </w:rPr>
      </w:pPr>
      <w:r w:rsidRPr="007F3499">
        <w:rPr>
          <w:rStyle w:val="Lienhypertexte"/>
          <w:b/>
          <w:color w:val="002060"/>
          <w:sz w:val="24"/>
          <w:u w:val="none"/>
          <w:lang w:val="en-GB"/>
        </w:rPr>
        <w:t>European Disability Forum’s initial response to the European Pillar of Social Rights</w:t>
      </w:r>
    </w:p>
    <w:p w14:paraId="296704C1" w14:textId="460123AD" w:rsidR="008D6C9B" w:rsidRDefault="008D6C9B" w:rsidP="00841B12">
      <w:pPr>
        <w:spacing w:line="240" w:lineRule="auto"/>
        <w:jc w:val="both"/>
        <w:rPr>
          <w:rStyle w:val="Lienhypertexte"/>
          <w:color w:val="auto"/>
          <w:u w:val="none"/>
          <w:lang w:val="en-GB"/>
        </w:rPr>
      </w:pPr>
      <w:r w:rsidRPr="008D6C9B">
        <w:rPr>
          <w:rStyle w:val="Lienhypertexte"/>
          <w:color w:val="auto"/>
          <w:u w:val="none"/>
          <w:lang w:val="en-GB"/>
        </w:rPr>
        <w:t>EDF welcomes any action from the E</w:t>
      </w:r>
      <w:r>
        <w:rPr>
          <w:rStyle w:val="Lienhypertexte"/>
          <w:color w:val="auto"/>
          <w:u w:val="none"/>
          <w:lang w:val="en-GB"/>
        </w:rPr>
        <w:t xml:space="preserve">uropean Union </w:t>
      </w:r>
      <w:r w:rsidRPr="008D6C9B">
        <w:rPr>
          <w:rStyle w:val="Lienhypertexte"/>
          <w:color w:val="auto"/>
          <w:u w:val="none"/>
          <w:lang w:val="en-GB"/>
        </w:rPr>
        <w:t xml:space="preserve">which seeks to strengthen commitment to, and implementation of social rights within the EU. Ahead of submitting its response, EDF has issued </w:t>
      </w:r>
      <w:hyperlink r:id="rId48" w:history="1">
        <w:r w:rsidRPr="008D6C9B">
          <w:rPr>
            <w:rStyle w:val="Lienhypertexte"/>
            <w:lang w:val="en-GB"/>
          </w:rPr>
          <w:t>an initial response to the first outline of the Social Pillar</w:t>
        </w:r>
      </w:hyperlink>
      <w:r w:rsidRPr="008D6C9B">
        <w:rPr>
          <w:rStyle w:val="Lienhypertexte"/>
          <w:color w:val="auto"/>
          <w:u w:val="none"/>
          <w:lang w:val="en-GB"/>
        </w:rPr>
        <w:t xml:space="preserve">. This initial response is based on a preliminary consultation of EDF’s members and draws from EDF’s past work on employment and social policy, including </w:t>
      </w:r>
      <w:hyperlink r:id="rId49" w:history="1">
        <w:r w:rsidRPr="008D6C9B">
          <w:rPr>
            <w:rStyle w:val="Lienhypertexte"/>
            <w:lang w:val="en-GB"/>
          </w:rPr>
          <w:t>EDF’s Alternative Report to the UN Committee on the Rights of Persons with Disabilities</w:t>
        </w:r>
      </w:hyperlink>
      <w:r w:rsidRPr="008D6C9B">
        <w:rPr>
          <w:rStyle w:val="Lienhypertexte"/>
          <w:color w:val="auto"/>
          <w:u w:val="none"/>
          <w:lang w:val="en-GB"/>
        </w:rPr>
        <w:t>. In the coming months, EDF will undertake detailed discussions with its members and partners in order to submit a comprehensive input to th</w:t>
      </w:r>
      <w:r>
        <w:rPr>
          <w:rStyle w:val="Lienhypertexte"/>
          <w:color w:val="auto"/>
          <w:u w:val="none"/>
          <w:lang w:val="en-GB"/>
        </w:rPr>
        <w:t>e consultation by December 2016</w:t>
      </w:r>
      <w:r w:rsidRPr="008D6C9B">
        <w:rPr>
          <w:rStyle w:val="Lienhypertexte"/>
          <w:color w:val="auto"/>
          <w:u w:val="none"/>
          <w:lang w:val="en-GB"/>
        </w:rPr>
        <w:t xml:space="preserve">. More information is available </w:t>
      </w:r>
      <w:hyperlink r:id="rId50" w:history="1">
        <w:r w:rsidRPr="008D6C9B">
          <w:rPr>
            <w:rStyle w:val="Lienhypertexte"/>
            <w:lang w:val="en-GB"/>
          </w:rPr>
          <w:t>here</w:t>
        </w:r>
      </w:hyperlink>
      <w:r w:rsidRPr="008D6C9B">
        <w:rPr>
          <w:rStyle w:val="Lienhypertexte"/>
          <w:color w:val="auto"/>
          <w:u w:val="none"/>
          <w:lang w:val="en-GB"/>
        </w:rPr>
        <w:t xml:space="preserve">. </w:t>
      </w:r>
    </w:p>
    <w:p w14:paraId="34C27645" w14:textId="77777777" w:rsidR="00841B12" w:rsidRPr="008D6C9B" w:rsidRDefault="00841B12" w:rsidP="00841B12">
      <w:pPr>
        <w:pBdr>
          <w:bottom w:val="dotted" w:sz="36" w:space="1" w:color="auto"/>
        </w:pBdr>
        <w:spacing w:line="240" w:lineRule="auto"/>
        <w:jc w:val="both"/>
        <w:rPr>
          <w:b/>
          <w:lang w:val="en-GB"/>
        </w:rPr>
      </w:pPr>
    </w:p>
    <w:p w14:paraId="16F13B09" w14:textId="355DCE5B" w:rsidR="00D05673" w:rsidRDefault="00AB116C" w:rsidP="00841B12">
      <w:pPr>
        <w:pStyle w:val="Titre1"/>
        <w:pBdr>
          <w:top w:val="dotted" w:sz="8" w:space="1" w:color="auto"/>
          <w:bottom w:val="dotted" w:sz="8" w:space="1" w:color="auto"/>
        </w:pBdr>
        <w:rPr>
          <w:lang w:val="en-GB"/>
        </w:rPr>
      </w:pPr>
      <w:bookmarkStart w:id="33" w:name="_Ref421267547"/>
      <w:r w:rsidRPr="006075A4">
        <w:rPr>
          <w:lang w:val="en-GB"/>
        </w:rPr>
        <w:t>Age</w:t>
      </w:r>
      <w:bookmarkEnd w:id="33"/>
    </w:p>
    <w:p w14:paraId="14A6860A" w14:textId="77777777" w:rsidR="00EF446F" w:rsidRDefault="00EF446F" w:rsidP="008301BB">
      <w:pPr>
        <w:spacing w:line="240" w:lineRule="auto"/>
        <w:rPr>
          <w:lang w:val="en-GB"/>
        </w:rPr>
      </w:pPr>
    </w:p>
    <w:p w14:paraId="7CC4CDC1" w14:textId="3A6E1E06" w:rsidR="00841B12" w:rsidRPr="00841B12" w:rsidRDefault="00841B12" w:rsidP="00841B12">
      <w:pPr>
        <w:pStyle w:val="Titre2"/>
        <w:rPr>
          <w:lang w:val="en-GB"/>
        </w:rPr>
      </w:pPr>
      <w:bookmarkStart w:id="34" w:name="_Ref461696978"/>
      <w:r>
        <w:rPr>
          <w:lang w:val="en-GB"/>
        </w:rPr>
        <w:t>Policy</w:t>
      </w:r>
      <w:r w:rsidR="00EF446F">
        <w:rPr>
          <w:lang w:val="en-GB"/>
        </w:rPr>
        <w:t xml:space="preserve"> developments</w:t>
      </w:r>
      <w:bookmarkEnd w:id="34"/>
      <w:r>
        <w:rPr>
          <w:lang w:val="en-GB"/>
        </w:rPr>
        <w:br/>
      </w:r>
    </w:p>
    <w:p w14:paraId="640DE666" w14:textId="1634A7BB" w:rsidR="00243386" w:rsidRPr="00CE7B37" w:rsidRDefault="00841B12" w:rsidP="00841B12">
      <w:pPr>
        <w:rPr>
          <w:rStyle w:val="Lienhypertexte"/>
          <w:b/>
          <w:color w:val="002060"/>
          <w:sz w:val="24"/>
          <w:u w:val="none"/>
          <w:lang w:val="en-US"/>
        </w:rPr>
      </w:pPr>
      <w:r w:rsidRPr="00CE7B37">
        <w:rPr>
          <w:rStyle w:val="Lienhypertexte"/>
          <w:b/>
          <w:color w:val="002060"/>
          <w:sz w:val="24"/>
          <w:u w:val="none"/>
          <w:lang w:val="en-US"/>
        </w:rPr>
        <w:t>Civil society organisations publish j</w:t>
      </w:r>
      <w:r w:rsidR="00243386" w:rsidRPr="00CE7B37">
        <w:rPr>
          <w:rStyle w:val="Lienhypertexte"/>
          <w:b/>
          <w:color w:val="002060"/>
          <w:sz w:val="24"/>
          <w:u w:val="none"/>
          <w:lang w:val="en-US"/>
        </w:rPr>
        <w:t>oint statement on the Youth Guarantee</w:t>
      </w:r>
    </w:p>
    <w:p w14:paraId="779D2D44" w14:textId="0B26AD6A" w:rsidR="00243386" w:rsidRDefault="00243386" w:rsidP="008301BB">
      <w:pPr>
        <w:spacing w:line="240" w:lineRule="auto"/>
        <w:jc w:val="both"/>
        <w:rPr>
          <w:rStyle w:val="Lienhypertexte"/>
          <w:color w:val="auto"/>
          <w:u w:val="none"/>
          <w:lang w:val="en-GB"/>
        </w:rPr>
      </w:pPr>
      <w:r w:rsidRPr="00243386">
        <w:rPr>
          <w:rStyle w:val="Lienhypertexte"/>
          <w:color w:val="auto"/>
          <w:u w:val="none"/>
          <w:lang w:val="en-GB"/>
        </w:rPr>
        <w:t>Eurocities, European Trade Union</w:t>
      </w:r>
      <w:r>
        <w:rPr>
          <w:rStyle w:val="Lienhypertexte"/>
          <w:color w:val="auto"/>
          <w:u w:val="none"/>
          <w:lang w:val="en-GB"/>
        </w:rPr>
        <w:t xml:space="preserve"> Confederation</w:t>
      </w:r>
      <w:r w:rsidRPr="00243386">
        <w:rPr>
          <w:rStyle w:val="Lienhypertexte"/>
          <w:color w:val="auto"/>
          <w:u w:val="none"/>
          <w:lang w:val="en-GB"/>
        </w:rPr>
        <w:t xml:space="preserve"> Youth, European Youth Forum, European Disability Forum, EASPD, FEANTSA, COFACE, Solidar and AGE Platform Europe</w:t>
      </w:r>
      <w:r>
        <w:rPr>
          <w:rStyle w:val="Lienhypertexte"/>
          <w:color w:val="auto"/>
          <w:u w:val="none"/>
          <w:lang w:val="en-GB"/>
        </w:rPr>
        <w:t xml:space="preserve"> released a joint statement calling the </w:t>
      </w:r>
      <w:r w:rsidRPr="00243386">
        <w:rPr>
          <w:rStyle w:val="Lienhypertexte"/>
          <w:color w:val="auto"/>
          <w:u w:val="none"/>
          <w:lang w:val="en-GB"/>
        </w:rPr>
        <w:t xml:space="preserve">European Commission and the European Parliament </w:t>
      </w:r>
      <w:r w:rsidRPr="00841B12">
        <w:rPr>
          <w:rStyle w:val="Lienhypertexte"/>
          <w:b/>
          <w:color w:val="auto"/>
          <w:u w:val="none"/>
          <w:lang w:val="en-GB"/>
        </w:rPr>
        <w:t xml:space="preserve">to guarantee the necessary investment to support the efforts that have been undertaken across Europe to implement the Youth Guarantee – and to ultimately ensure young people’s right to a quality job. </w:t>
      </w:r>
      <w:r>
        <w:rPr>
          <w:rStyle w:val="Lienhypertexte"/>
          <w:color w:val="auto"/>
          <w:u w:val="none"/>
          <w:lang w:val="en-GB"/>
        </w:rPr>
        <w:t xml:space="preserve">The statement can be read </w:t>
      </w:r>
      <w:hyperlink r:id="rId51" w:history="1">
        <w:r w:rsidRPr="00243386">
          <w:rPr>
            <w:rStyle w:val="Lienhypertexte"/>
            <w:lang w:val="en-GB"/>
          </w:rPr>
          <w:t>here</w:t>
        </w:r>
      </w:hyperlink>
      <w:r>
        <w:rPr>
          <w:rStyle w:val="Lienhypertexte"/>
          <w:color w:val="auto"/>
          <w:u w:val="none"/>
          <w:lang w:val="en-GB"/>
        </w:rPr>
        <w:t xml:space="preserve">. </w:t>
      </w:r>
    </w:p>
    <w:p w14:paraId="65D779EC" w14:textId="77777777" w:rsidR="00243386" w:rsidRPr="00243386" w:rsidRDefault="00243386" w:rsidP="008301BB">
      <w:pPr>
        <w:spacing w:line="240" w:lineRule="auto"/>
        <w:jc w:val="both"/>
        <w:rPr>
          <w:lang w:val="en-GB"/>
        </w:rPr>
      </w:pPr>
    </w:p>
    <w:p w14:paraId="3AB18B60" w14:textId="7D1882AA" w:rsidR="00EF446F" w:rsidRDefault="00EF446F" w:rsidP="00841B12">
      <w:pPr>
        <w:pStyle w:val="Titre2"/>
        <w:rPr>
          <w:lang w:val="en-GB"/>
        </w:rPr>
      </w:pPr>
      <w:bookmarkStart w:id="35" w:name="_Ref461696979"/>
      <w:r>
        <w:rPr>
          <w:lang w:val="en-GB"/>
        </w:rPr>
        <w:t>Publications, funding opportunities and events</w:t>
      </w:r>
      <w:bookmarkEnd w:id="35"/>
    </w:p>
    <w:p w14:paraId="3059A68D" w14:textId="77777777" w:rsidR="00841B12" w:rsidRPr="00841B12" w:rsidRDefault="00841B12" w:rsidP="00841B12">
      <w:pPr>
        <w:rPr>
          <w:lang w:val="en-GB"/>
        </w:rPr>
      </w:pPr>
    </w:p>
    <w:p w14:paraId="167D198B" w14:textId="3651E045" w:rsidR="00FD04B4" w:rsidRDefault="006C51C1" w:rsidP="008301BB">
      <w:pPr>
        <w:spacing w:line="240" w:lineRule="auto"/>
        <w:jc w:val="both"/>
        <w:rPr>
          <w:lang w:val="en-US"/>
        </w:rPr>
      </w:pPr>
      <w:r>
        <w:rPr>
          <w:noProof/>
          <w:lang w:eastAsia="fr-BE"/>
        </w:rPr>
        <w:drawing>
          <wp:anchor distT="0" distB="0" distL="114300" distR="114300" simplePos="0" relativeHeight="251650048" behindDoc="1" locked="0" layoutInCell="1" allowOverlap="1" wp14:anchorId="176C55AC" wp14:editId="78BE6CCC">
            <wp:simplePos x="0" y="0"/>
            <wp:positionH relativeFrom="column">
              <wp:posOffset>5055235</wp:posOffset>
            </wp:positionH>
            <wp:positionV relativeFrom="paragraph">
              <wp:posOffset>323850</wp:posOffset>
            </wp:positionV>
            <wp:extent cx="1112520" cy="1419225"/>
            <wp:effectExtent l="19050" t="19050" r="11430" b="28575"/>
            <wp:wrapTight wrapText="bothSides">
              <wp:wrapPolygon edited="0">
                <wp:start x="-370" y="-290"/>
                <wp:lineTo x="-370" y="21745"/>
                <wp:lineTo x="21452" y="21745"/>
                <wp:lineTo x="21452" y="-290"/>
                <wp:lineTo x="-370" y="-29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rofound.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112520" cy="1419225"/>
                    </a:xfrm>
                    <a:prstGeom prst="rect">
                      <a:avLst/>
                    </a:prstGeom>
                    <a:ln>
                      <a:solidFill>
                        <a:schemeClr val="tx1">
                          <a:lumMod val="95000"/>
                          <a:lumOff val="5000"/>
                        </a:schemeClr>
                      </a:solidFill>
                    </a:ln>
                  </pic:spPr>
                </pic:pic>
              </a:graphicData>
            </a:graphic>
            <wp14:sizeRelH relativeFrom="page">
              <wp14:pctWidth>0</wp14:pctWidth>
            </wp14:sizeRelH>
            <wp14:sizeRelV relativeFrom="page">
              <wp14:pctHeight>0</wp14:pctHeight>
            </wp14:sizeRelV>
          </wp:anchor>
        </w:drawing>
      </w:r>
      <w:r w:rsidR="00FD04B4">
        <w:rPr>
          <w:b/>
          <w:color w:val="FFFFFF" w:themeColor="background1"/>
          <w:shd w:val="clear" w:color="auto" w:fill="7030A0"/>
          <w:lang w:val="en-GB"/>
        </w:rPr>
        <w:t>PUBLICATION</w:t>
      </w:r>
      <w:r w:rsidR="00FD04B4">
        <w:rPr>
          <w:b/>
          <w:lang w:val="en-GB"/>
        </w:rPr>
        <w:t xml:space="preserve"> –</w:t>
      </w:r>
      <w:r w:rsidR="00FD04B4" w:rsidRPr="00FD04B4">
        <w:rPr>
          <w:lang w:val="en-US"/>
        </w:rPr>
        <w:t xml:space="preserve"> </w:t>
      </w:r>
      <w:r w:rsidR="00FD04B4" w:rsidRPr="00FD04B4">
        <w:rPr>
          <w:b/>
          <w:lang w:val="en-GB"/>
        </w:rPr>
        <w:t>United Nations Department of Economic and Social Affairs (UN DESA)</w:t>
      </w:r>
      <w:r w:rsidR="00FD04B4">
        <w:rPr>
          <w:b/>
          <w:lang w:val="en-GB"/>
        </w:rPr>
        <w:t xml:space="preserve"> </w:t>
      </w:r>
      <w:r w:rsidR="00FD04B4">
        <w:rPr>
          <w:rFonts w:ascii="Calibri" w:eastAsia="Calibri" w:hAnsi="Calibri" w:cs="Times New Roman"/>
          <w:lang w:val="en-GB"/>
        </w:rPr>
        <w:t xml:space="preserve">– </w:t>
      </w:r>
      <w:hyperlink r:id="rId53" w:history="1">
        <w:r w:rsidR="00FD04B4" w:rsidRPr="00FD04B4">
          <w:rPr>
            <w:rStyle w:val="Lienhypertexte"/>
            <w:lang w:val="en-US"/>
          </w:rPr>
          <w:t>World Youth Report on Youth Civic Engagement</w:t>
        </w:r>
      </w:hyperlink>
    </w:p>
    <w:p w14:paraId="4DEC6F89" w14:textId="06E8B1B1" w:rsidR="006A041F" w:rsidRPr="00CE0B3A" w:rsidRDefault="00FD04B4" w:rsidP="008301BB">
      <w:pPr>
        <w:spacing w:line="240" w:lineRule="auto"/>
        <w:jc w:val="both"/>
        <w:rPr>
          <w:lang w:val="en-US"/>
        </w:rPr>
      </w:pPr>
      <w:r w:rsidRPr="00FD04B4">
        <w:rPr>
          <w:lang w:val="en-US"/>
        </w:rPr>
        <w:t>The World Youth Report on Youth Civic Engagement, which is prepared by the United Nations Department of Economic and Social Affairs (UN DESA),</w:t>
      </w:r>
      <w:r>
        <w:rPr>
          <w:lang w:val="en-US"/>
        </w:rPr>
        <w:t xml:space="preserve"> was released </w:t>
      </w:r>
      <w:r w:rsidR="00741E49">
        <w:rPr>
          <w:lang w:val="en-US"/>
        </w:rPr>
        <w:t xml:space="preserve">on </w:t>
      </w:r>
      <w:r>
        <w:rPr>
          <w:lang w:val="en-US"/>
        </w:rPr>
        <w:t xml:space="preserve">15 July. </w:t>
      </w:r>
      <w:r w:rsidRPr="00FD04B4">
        <w:rPr>
          <w:lang w:val="en-US"/>
        </w:rPr>
        <w:t xml:space="preserve">The report is published biennially and focuses on youth civic engagement. According to the report, its objective is to “provide a basis for policy discussions </w:t>
      </w:r>
      <w:r w:rsidRPr="00FD04B4">
        <w:rPr>
          <w:lang w:val="en-US"/>
        </w:rPr>
        <w:lastRenderedPageBreak/>
        <w:t>around youth civic engagement” so that youth can be fully included in all sectors of the societies in which they live.</w:t>
      </w:r>
    </w:p>
    <w:p w14:paraId="6E5AABB3" w14:textId="63E81FE3" w:rsidR="000C6403" w:rsidRPr="000C6403" w:rsidRDefault="000C6403" w:rsidP="008301BB">
      <w:pPr>
        <w:spacing w:line="240" w:lineRule="auto"/>
        <w:jc w:val="both"/>
        <w:rPr>
          <w:lang w:val="en-US"/>
        </w:rPr>
      </w:pPr>
      <w:r>
        <w:rPr>
          <w:b/>
          <w:color w:val="FFFFFF" w:themeColor="background1"/>
          <w:shd w:val="clear" w:color="auto" w:fill="7030A0"/>
          <w:lang w:val="en-GB"/>
        </w:rPr>
        <w:t>PUBLICATION</w:t>
      </w:r>
      <w:r>
        <w:rPr>
          <w:b/>
          <w:lang w:val="en-GB"/>
        </w:rPr>
        <w:t xml:space="preserve"> – </w:t>
      </w:r>
      <w:r>
        <w:rPr>
          <w:rFonts w:ascii="Calibri" w:eastAsia="Calibri" w:hAnsi="Calibri" w:cs="Times New Roman"/>
          <w:b/>
          <w:lang w:val="en-GB"/>
        </w:rPr>
        <w:t>Eurofound</w:t>
      </w:r>
      <w:r>
        <w:rPr>
          <w:rFonts w:ascii="Calibri" w:eastAsia="Calibri" w:hAnsi="Calibri" w:cs="Times New Roman"/>
          <w:lang w:val="en-GB"/>
        </w:rPr>
        <w:t xml:space="preserve"> – </w:t>
      </w:r>
      <w:hyperlink r:id="rId54" w:history="1">
        <w:r w:rsidRPr="000C6403">
          <w:rPr>
            <w:rStyle w:val="Lienhypertexte"/>
            <w:lang w:val="en-US"/>
          </w:rPr>
          <w:t>Exploring the diversity of NEETs</w:t>
        </w:r>
      </w:hyperlink>
    </w:p>
    <w:p w14:paraId="067666C0" w14:textId="3F61C6FB" w:rsidR="006A041F" w:rsidRDefault="009B2BD0" w:rsidP="008301BB">
      <w:pPr>
        <w:spacing w:line="240" w:lineRule="auto"/>
        <w:jc w:val="both"/>
        <w:rPr>
          <w:lang w:val="en-GB"/>
        </w:rPr>
      </w:pPr>
      <w:r>
        <w:rPr>
          <w:b/>
          <w:color w:val="FFFFFF" w:themeColor="background1"/>
          <w:shd w:val="clear" w:color="auto" w:fill="7030A0"/>
          <w:lang w:val="en-GB"/>
        </w:rPr>
        <w:t>PUBLICATION</w:t>
      </w:r>
      <w:r>
        <w:rPr>
          <w:b/>
          <w:lang w:val="en-GB"/>
        </w:rPr>
        <w:t xml:space="preserve"> – </w:t>
      </w:r>
      <w:r>
        <w:rPr>
          <w:rFonts w:ascii="Calibri" w:eastAsia="Calibri" w:hAnsi="Calibri" w:cs="Times New Roman"/>
          <w:b/>
          <w:lang w:val="en-GB"/>
        </w:rPr>
        <w:t>Eurofound</w:t>
      </w:r>
      <w:r>
        <w:rPr>
          <w:rFonts w:ascii="Calibri" w:eastAsia="Calibri" w:hAnsi="Calibri" w:cs="Times New Roman"/>
          <w:lang w:val="en-GB"/>
        </w:rPr>
        <w:t xml:space="preserve"> – </w:t>
      </w:r>
      <w:hyperlink r:id="rId55" w:history="1">
        <w:r w:rsidRPr="009B2BD0">
          <w:rPr>
            <w:rStyle w:val="Lienhypertexte"/>
            <w:lang w:val="en-US"/>
          </w:rPr>
          <w:t>Sustainable work throughout the life course: National policies and strategies</w:t>
        </w:r>
      </w:hyperlink>
      <w:r>
        <w:rPr>
          <w:rFonts w:ascii="Calibri" w:eastAsia="Calibri" w:hAnsi="Calibri" w:cs="Times New Roman"/>
          <w:color w:val="0563C1" w:themeColor="hyperlink"/>
          <w:u w:val="single"/>
          <w:lang w:val="en-GB"/>
        </w:rPr>
        <w:br/>
      </w:r>
      <w:r w:rsidR="00841B12">
        <w:rPr>
          <w:lang w:val="en-GB"/>
        </w:rPr>
        <w:br/>
      </w:r>
      <w:r w:rsidRPr="009B2BD0">
        <w:rPr>
          <w:lang w:val="en-GB"/>
        </w:rPr>
        <w:t xml:space="preserve">European countries face the challenges of ageing populations supported by shrinking workforces, more precarious types of employment, and in many cases, a decreasing number of jobs in the wake of the economic crisis. This study analyses national policies that help to achieve sustainable work in 10 EU Member States. </w:t>
      </w:r>
    </w:p>
    <w:p w14:paraId="37F10D47" w14:textId="77777777" w:rsidR="006A041F" w:rsidRDefault="006A041F" w:rsidP="008301BB">
      <w:pPr>
        <w:spacing w:line="240" w:lineRule="auto"/>
        <w:jc w:val="both"/>
        <w:rPr>
          <w:lang w:val="en-GB"/>
        </w:rPr>
      </w:pPr>
      <w:r>
        <w:rPr>
          <w:b/>
          <w:shd w:val="clear" w:color="auto" w:fill="FFFF00"/>
          <w:lang w:val="en-GB"/>
        </w:rPr>
        <w:t>EVENT</w:t>
      </w:r>
      <w:r>
        <w:rPr>
          <w:b/>
          <w:lang w:val="en-GB"/>
        </w:rPr>
        <w:t xml:space="preserve"> – </w:t>
      </w:r>
      <w:r w:rsidRPr="003E367E">
        <w:rPr>
          <w:b/>
          <w:lang w:val="en-GB"/>
        </w:rPr>
        <w:t>European Economic and Social Committee (EESC), Eurofound and the Workage project</w:t>
      </w:r>
      <w:r>
        <w:rPr>
          <w:lang w:val="en-GB"/>
        </w:rPr>
        <w:t xml:space="preserve">– </w:t>
      </w:r>
      <w:hyperlink r:id="rId56" w:history="1">
        <w:r w:rsidRPr="00E14630">
          <w:rPr>
            <w:rStyle w:val="Lienhypertexte"/>
            <w:lang w:val="en-US"/>
          </w:rPr>
          <w:t>Sustainable work: Retaining Europe’s ageing workforce and making work more sustainable throughout the life course</w:t>
        </w:r>
      </w:hyperlink>
      <w:r>
        <w:rPr>
          <w:lang w:val="en-GB"/>
        </w:rPr>
        <w:t xml:space="preserve"> – 29</w:t>
      </w:r>
      <w:r w:rsidRPr="009330E1">
        <w:rPr>
          <w:vertAlign w:val="superscript"/>
          <w:lang w:val="en-GB"/>
        </w:rPr>
        <w:t>th</w:t>
      </w:r>
      <w:r>
        <w:rPr>
          <w:lang w:val="en-GB"/>
        </w:rPr>
        <w:t xml:space="preserve"> September 2016, Brussels, Belgium</w:t>
      </w:r>
    </w:p>
    <w:p w14:paraId="4895E27B" w14:textId="4BFDC46E" w:rsidR="000C6403" w:rsidRDefault="006A041F" w:rsidP="008301BB">
      <w:pPr>
        <w:spacing w:line="240" w:lineRule="auto"/>
        <w:jc w:val="both"/>
        <w:rPr>
          <w:lang w:val="en-GB"/>
        </w:rPr>
      </w:pPr>
      <w:r>
        <w:rPr>
          <w:b/>
          <w:shd w:val="clear" w:color="auto" w:fill="FFFF00"/>
          <w:lang w:val="en-GB"/>
        </w:rPr>
        <w:t>EVENT</w:t>
      </w:r>
      <w:r>
        <w:rPr>
          <w:b/>
          <w:lang w:val="en-GB"/>
        </w:rPr>
        <w:t xml:space="preserve"> – </w:t>
      </w:r>
      <w:r w:rsidRPr="006A041F">
        <w:rPr>
          <w:b/>
          <w:lang w:val="en-GB"/>
        </w:rPr>
        <w:t xml:space="preserve">AGE Platform Europe </w:t>
      </w:r>
      <w:r>
        <w:rPr>
          <w:lang w:val="en-GB"/>
        </w:rPr>
        <w:t xml:space="preserve">– </w:t>
      </w:r>
      <w:hyperlink r:id="rId57" w:history="1">
        <w:r w:rsidRPr="006A041F">
          <w:rPr>
            <w:rStyle w:val="Lienhypertexte"/>
            <w:lang w:val="en-US"/>
          </w:rPr>
          <w:t>4</w:t>
        </w:r>
        <w:r w:rsidRPr="006A041F">
          <w:rPr>
            <w:rStyle w:val="Lienhypertexte"/>
            <w:vertAlign w:val="superscript"/>
            <w:lang w:val="en-US"/>
          </w:rPr>
          <w:t>th</w:t>
        </w:r>
        <w:r w:rsidRPr="006A041F">
          <w:rPr>
            <w:rStyle w:val="Lienhypertexte"/>
            <w:lang w:val="en-US"/>
          </w:rPr>
          <w:t xml:space="preserve"> AGE Annual Conference</w:t>
        </w:r>
      </w:hyperlink>
      <w:r>
        <w:rPr>
          <w:lang w:val="en-GB"/>
        </w:rPr>
        <w:t xml:space="preserve"> – 18</w:t>
      </w:r>
      <w:r w:rsidRPr="009330E1">
        <w:rPr>
          <w:vertAlign w:val="superscript"/>
          <w:lang w:val="en-GB"/>
        </w:rPr>
        <w:t>th</w:t>
      </w:r>
      <w:r>
        <w:rPr>
          <w:lang w:val="en-GB"/>
        </w:rPr>
        <w:t xml:space="preserve"> November 2016, Brussels, Belgium</w:t>
      </w:r>
    </w:p>
    <w:p w14:paraId="5370F0C5" w14:textId="7E91C5F2" w:rsidR="00841B12" w:rsidRDefault="00841B12" w:rsidP="00841B12">
      <w:pPr>
        <w:pBdr>
          <w:bottom w:val="dotted" w:sz="36" w:space="1" w:color="auto"/>
        </w:pBdr>
        <w:spacing w:line="240" w:lineRule="auto"/>
        <w:rPr>
          <w:lang w:val="en-GB"/>
        </w:rPr>
      </w:pPr>
    </w:p>
    <w:p w14:paraId="3963D604" w14:textId="1B23E310" w:rsidR="00EF446F" w:rsidRPr="00841B12" w:rsidRDefault="00841B12" w:rsidP="00841B12">
      <w:pPr>
        <w:pStyle w:val="Titre1"/>
        <w:pBdr>
          <w:top w:val="dotted" w:sz="4" w:space="1" w:color="auto"/>
          <w:bottom w:val="dotted" w:sz="4" w:space="1" w:color="auto"/>
        </w:pBdr>
        <w:rPr>
          <w:lang w:val="en-GB"/>
        </w:rPr>
      </w:pPr>
      <w:bookmarkStart w:id="36" w:name="_Ref461696981"/>
      <w:r>
        <w:rPr>
          <w:lang w:val="en-GB"/>
        </w:rPr>
        <w:t>Migration and asylum</w:t>
      </w:r>
      <w:bookmarkEnd w:id="36"/>
    </w:p>
    <w:p w14:paraId="35137785" w14:textId="77777777" w:rsidR="00841B12" w:rsidRPr="00431C80" w:rsidRDefault="00841B12" w:rsidP="00C836A4">
      <w:pPr>
        <w:pStyle w:val="Sansinterligne"/>
        <w:rPr>
          <w:lang w:val="en-US"/>
        </w:rPr>
      </w:pPr>
    </w:p>
    <w:p w14:paraId="63F829C9" w14:textId="076DCF7D" w:rsidR="00841B12" w:rsidRDefault="00841B12" w:rsidP="008301BB">
      <w:pPr>
        <w:pStyle w:val="Titre2"/>
        <w:spacing w:line="240" w:lineRule="auto"/>
        <w:rPr>
          <w:lang w:val="en-GB"/>
        </w:rPr>
      </w:pPr>
      <w:bookmarkStart w:id="37" w:name="_Ref461696982"/>
      <w:r>
        <w:rPr>
          <w:lang w:val="en-GB"/>
        </w:rPr>
        <w:t>Policy Developments</w:t>
      </w:r>
      <w:bookmarkEnd w:id="37"/>
    </w:p>
    <w:p w14:paraId="39DD73A4" w14:textId="77777777" w:rsidR="00841B12" w:rsidRDefault="00841B12" w:rsidP="00841B12">
      <w:pPr>
        <w:spacing w:line="240" w:lineRule="auto"/>
        <w:contextualSpacing/>
        <w:jc w:val="both"/>
        <w:rPr>
          <w:b/>
          <w:color w:val="002060"/>
          <w:sz w:val="24"/>
          <w:highlight w:val="yellow"/>
          <w:lang w:val="en-GB"/>
        </w:rPr>
      </w:pPr>
    </w:p>
    <w:p w14:paraId="1CCEA274" w14:textId="67DA3984" w:rsidR="00841B12" w:rsidRPr="00841B12" w:rsidRDefault="00841B12" w:rsidP="00841B12">
      <w:pPr>
        <w:spacing w:line="240" w:lineRule="auto"/>
        <w:contextualSpacing/>
        <w:jc w:val="both"/>
        <w:rPr>
          <w:b/>
          <w:color w:val="002060"/>
          <w:sz w:val="24"/>
          <w:lang w:val="en-GB"/>
        </w:rPr>
      </w:pPr>
      <w:r w:rsidRPr="00841B12">
        <w:rPr>
          <w:b/>
          <w:color w:val="002060"/>
          <w:sz w:val="24"/>
          <w:lang w:val="en-GB"/>
        </w:rPr>
        <w:t>The International Organization for Migration issued its Recommendations to the Slovak Presidency of the Council of the European Union</w:t>
      </w:r>
    </w:p>
    <w:p w14:paraId="3E3B10A9" w14:textId="77777777" w:rsidR="00841B12" w:rsidRPr="00841B12" w:rsidRDefault="00841B12" w:rsidP="00841B12">
      <w:pPr>
        <w:spacing w:line="240" w:lineRule="auto"/>
        <w:ind w:left="720"/>
        <w:contextualSpacing/>
        <w:jc w:val="both"/>
        <w:rPr>
          <w:b/>
          <w:lang w:val="en-GB"/>
        </w:rPr>
      </w:pPr>
    </w:p>
    <w:p w14:paraId="05114FDD" w14:textId="77777777" w:rsidR="00814C6F" w:rsidRDefault="00841B12" w:rsidP="00841B12">
      <w:pPr>
        <w:spacing w:line="240" w:lineRule="auto"/>
        <w:jc w:val="both"/>
        <w:rPr>
          <w:lang w:val="en-GB"/>
        </w:rPr>
      </w:pPr>
      <w:r w:rsidRPr="00841B12">
        <w:rPr>
          <w:lang w:val="en-GB"/>
        </w:rPr>
        <w:t xml:space="preserve">In line with its Migration Governance Framework, </w:t>
      </w:r>
      <w:hyperlink r:id="rId58" w:history="1">
        <w:r w:rsidRPr="00841B12">
          <w:rPr>
            <w:rStyle w:val="Lienhypertexte"/>
            <w:lang w:val="en-GB"/>
          </w:rPr>
          <w:t>IOM</w:t>
        </w:r>
      </w:hyperlink>
      <w:r w:rsidRPr="00841B12">
        <w:rPr>
          <w:lang w:val="en-GB"/>
        </w:rPr>
        <w:t xml:space="preserve"> calls on the Slovak Presidency of the Council of the EU to act upon the three following recommendations: </w:t>
      </w:r>
      <w:r w:rsidRPr="00841B12">
        <w:rPr>
          <w:lang w:val="en-GB"/>
        </w:rPr>
        <w:tab/>
      </w:r>
      <w:r w:rsidRPr="00841B12">
        <w:rPr>
          <w:lang w:val="en-GB"/>
        </w:rPr>
        <w:br/>
        <w:t xml:space="preserve">1) Partner with third countries; </w:t>
      </w:r>
      <w:r w:rsidRPr="00841B12">
        <w:rPr>
          <w:lang w:val="en-GB"/>
        </w:rPr>
        <w:tab/>
      </w:r>
      <w:r w:rsidRPr="00841B12">
        <w:rPr>
          <w:lang w:val="en-GB"/>
        </w:rPr>
        <w:br/>
        <w:t>2) Enhance migrant integration;</w:t>
      </w:r>
      <w:r w:rsidRPr="00841B12">
        <w:rPr>
          <w:lang w:val="en-GB"/>
        </w:rPr>
        <w:tab/>
      </w:r>
      <w:r w:rsidRPr="00841B12">
        <w:rPr>
          <w:lang w:val="en-GB"/>
        </w:rPr>
        <w:br/>
        <w:t xml:space="preserve">3) Implement dignified return and reintegration migration policies. </w:t>
      </w:r>
    </w:p>
    <w:p w14:paraId="7AFAF909" w14:textId="04319121" w:rsidR="00841B12" w:rsidRPr="0064319A" w:rsidRDefault="00841B12" w:rsidP="00841B12">
      <w:pPr>
        <w:spacing w:line="240" w:lineRule="auto"/>
        <w:jc w:val="both"/>
        <w:rPr>
          <w:lang w:val="en-GB"/>
        </w:rPr>
      </w:pPr>
      <w:r w:rsidRPr="00841B12">
        <w:rPr>
          <w:lang w:val="en-GB"/>
        </w:rPr>
        <w:t xml:space="preserve">See more information about these recommendations </w:t>
      </w:r>
      <w:hyperlink r:id="rId59" w:history="1">
        <w:r w:rsidRPr="00841B12">
          <w:rPr>
            <w:color w:val="0563C1" w:themeColor="hyperlink"/>
            <w:u w:val="single"/>
            <w:lang w:val="en-GB"/>
          </w:rPr>
          <w:t>here</w:t>
        </w:r>
      </w:hyperlink>
      <w:r w:rsidRPr="00841B12">
        <w:rPr>
          <w:lang w:val="en-GB"/>
        </w:rPr>
        <w:t>.</w:t>
      </w:r>
      <w:r w:rsidRPr="0064319A">
        <w:rPr>
          <w:lang w:val="en-GB"/>
        </w:rPr>
        <w:t xml:space="preserve"> </w:t>
      </w:r>
    </w:p>
    <w:p w14:paraId="7C9E2B7A" w14:textId="191200A7" w:rsidR="00841B12" w:rsidRDefault="00841B12" w:rsidP="00841B12">
      <w:pPr>
        <w:rPr>
          <w:lang w:val="en-GB"/>
        </w:rPr>
      </w:pPr>
    </w:p>
    <w:p w14:paraId="3433E2D3" w14:textId="77777777" w:rsidR="00841B12" w:rsidRDefault="00841B12" w:rsidP="00841B12">
      <w:pPr>
        <w:pStyle w:val="Titre2"/>
        <w:rPr>
          <w:lang w:val="en-GB"/>
        </w:rPr>
      </w:pPr>
      <w:bookmarkStart w:id="38" w:name="_Ref461696983"/>
      <w:r>
        <w:rPr>
          <w:lang w:val="en-GB"/>
        </w:rPr>
        <w:t>Publications, funding opportunities and events</w:t>
      </w:r>
      <w:bookmarkEnd w:id="38"/>
    </w:p>
    <w:p w14:paraId="22B46F6B" w14:textId="77777777" w:rsidR="00841B12" w:rsidRDefault="00841B12" w:rsidP="00841B12">
      <w:pPr>
        <w:spacing w:line="240" w:lineRule="auto"/>
        <w:jc w:val="both"/>
        <w:rPr>
          <w:b/>
          <w:shd w:val="clear" w:color="auto" w:fill="FFFF00"/>
          <w:lang w:val="en-GB"/>
        </w:rPr>
      </w:pPr>
    </w:p>
    <w:p w14:paraId="6D9A5764" w14:textId="60832878" w:rsidR="00841B12" w:rsidRPr="00841B12" w:rsidRDefault="00841B12" w:rsidP="00841B12">
      <w:pPr>
        <w:spacing w:line="240" w:lineRule="auto"/>
        <w:jc w:val="both"/>
        <w:rPr>
          <w:lang w:val="en-GB"/>
        </w:rPr>
      </w:pPr>
      <w:r>
        <w:rPr>
          <w:b/>
          <w:shd w:val="clear" w:color="auto" w:fill="FFFF00"/>
          <w:lang w:val="en-GB"/>
        </w:rPr>
        <w:t>EVENT</w:t>
      </w:r>
      <w:r>
        <w:rPr>
          <w:b/>
          <w:lang w:val="en-GB"/>
        </w:rPr>
        <w:t xml:space="preserve"> – </w:t>
      </w:r>
      <w:r w:rsidRPr="003E367E">
        <w:rPr>
          <w:b/>
          <w:lang w:val="en-GB"/>
        </w:rPr>
        <w:t>Eurofound</w:t>
      </w:r>
      <w:r>
        <w:rPr>
          <w:b/>
          <w:lang w:val="en-GB"/>
        </w:rPr>
        <w:t xml:space="preserve"> </w:t>
      </w:r>
      <w:r>
        <w:rPr>
          <w:lang w:val="en-GB"/>
        </w:rPr>
        <w:t xml:space="preserve">– </w:t>
      </w:r>
      <w:hyperlink r:id="rId60" w:history="1">
        <w:r w:rsidRPr="00E14630">
          <w:rPr>
            <w:rStyle w:val="Lienhypertexte"/>
            <w:lang w:val="en-US"/>
          </w:rPr>
          <w:t>EU labour market integration of asylum-seekers and refugees - Eurofound National Cluster Seminar</w:t>
        </w:r>
      </w:hyperlink>
      <w:r>
        <w:rPr>
          <w:lang w:val="en-GB"/>
        </w:rPr>
        <w:t xml:space="preserve"> – 28</w:t>
      </w:r>
      <w:r w:rsidRPr="00E14630">
        <w:rPr>
          <w:vertAlign w:val="superscript"/>
          <w:lang w:val="en-GB"/>
        </w:rPr>
        <w:t>th</w:t>
      </w:r>
      <w:r>
        <w:rPr>
          <w:lang w:val="en-GB"/>
        </w:rPr>
        <w:t>/29</w:t>
      </w:r>
      <w:r w:rsidRPr="009330E1">
        <w:rPr>
          <w:vertAlign w:val="superscript"/>
          <w:lang w:val="en-GB"/>
        </w:rPr>
        <w:t>th</w:t>
      </w:r>
      <w:r>
        <w:rPr>
          <w:lang w:val="en-GB"/>
        </w:rPr>
        <w:t xml:space="preserve"> November 2016, Berlin, Germany</w:t>
      </w:r>
    </w:p>
    <w:p w14:paraId="6D9969B6" w14:textId="57F0CBBC" w:rsidR="00841B12" w:rsidRDefault="00841B12" w:rsidP="00841B12">
      <w:pPr>
        <w:pBdr>
          <w:bottom w:val="dotted" w:sz="36" w:space="1" w:color="auto"/>
        </w:pBdr>
        <w:spacing w:line="240" w:lineRule="auto"/>
        <w:jc w:val="both"/>
        <w:rPr>
          <w:rStyle w:val="Lienhypertexte"/>
          <w:u w:val="none"/>
          <w:lang w:val="en-GB"/>
        </w:rPr>
      </w:pPr>
      <w:r w:rsidRPr="00841B12">
        <w:rPr>
          <w:b/>
          <w:color w:val="FFFFFF" w:themeColor="background1"/>
          <w:shd w:val="clear" w:color="auto" w:fill="7030A0"/>
          <w:lang w:val="en-GB"/>
        </w:rPr>
        <w:t>PUBLICATION</w:t>
      </w:r>
      <w:r w:rsidRPr="00841B12">
        <w:rPr>
          <w:b/>
          <w:lang w:val="en-GB"/>
        </w:rPr>
        <w:t xml:space="preserve"> – </w:t>
      </w:r>
      <w:r w:rsidRPr="00841B12">
        <w:rPr>
          <w:rFonts w:ascii="Calibri" w:eastAsia="Calibri" w:hAnsi="Calibri" w:cs="Times New Roman"/>
          <w:b/>
          <w:lang w:val="en-GB"/>
        </w:rPr>
        <w:t>Frontex</w:t>
      </w:r>
      <w:r w:rsidRPr="00841B12">
        <w:rPr>
          <w:rFonts w:ascii="Calibri" w:eastAsia="Calibri" w:hAnsi="Calibri" w:cs="Times New Roman"/>
          <w:lang w:val="en-GB"/>
        </w:rPr>
        <w:t xml:space="preserve"> – </w:t>
      </w:r>
      <w:hyperlink r:id="rId61" w:history="1">
        <w:r w:rsidRPr="00841B12">
          <w:rPr>
            <w:rStyle w:val="Lienhypertexte"/>
            <w:lang w:val="en-GB"/>
          </w:rPr>
          <w:t>Frontex Risk Analysis Network Quarterly Report</w:t>
        </w:r>
      </w:hyperlink>
      <w:r w:rsidRPr="00403A84">
        <w:rPr>
          <w:rStyle w:val="Lienhypertexte"/>
          <w:u w:val="none"/>
          <w:lang w:val="en-GB"/>
        </w:rPr>
        <w:tab/>
      </w:r>
    </w:p>
    <w:p w14:paraId="4BC4D41F" w14:textId="77777777" w:rsidR="00841B12" w:rsidRDefault="00841B12" w:rsidP="00841B12">
      <w:pPr>
        <w:pBdr>
          <w:bottom w:val="dotted" w:sz="36" w:space="1" w:color="auto"/>
        </w:pBdr>
        <w:spacing w:line="240" w:lineRule="auto"/>
        <w:jc w:val="both"/>
        <w:rPr>
          <w:rFonts w:ascii="Calibri" w:eastAsia="Calibri" w:hAnsi="Calibri" w:cs="Times New Roman"/>
          <w:color w:val="0563C1" w:themeColor="hyperlink"/>
          <w:u w:val="single"/>
          <w:lang w:val="en-GB"/>
        </w:rPr>
      </w:pPr>
    </w:p>
    <w:p w14:paraId="357B7D7E" w14:textId="3CE1AC07" w:rsidR="00841B12" w:rsidRPr="00841B12" w:rsidRDefault="00841B12" w:rsidP="00841B12">
      <w:pPr>
        <w:rPr>
          <w:lang w:val="en-GB"/>
        </w:rPr>
      </w:pPr>
    </w:p>
    <w:p w14:paraId="37A35064" w14:textId="63ACF0C9" w:rsidR="00EF446F" w:rsidRDefault="00EF446F" w:rsidP="00841B12">
      <w:pPr>
        <w:pStyle w:val="Titre1"/>
        <w:pBdr>
          <w:top w:val="dotted" w:sz="4" w:space="1" w:color="auto"/>
          <w:bottom w:val="dotted" w:sz="4" w:space="1" w:color="auto"/>
        </w:pBdr>
        <w:rPr>
          <w:lang w:val="en-GB"/>
        </w:rPr>
      </w:pPr>
      <w:bookmarkStart w:id="39" w:name="_Ref461696990"/>
      <w:r>
        <w:rPr>
          <w:lang w:val="en-GB"/>
        </w:rPr>
        <w:t>Other</w:t>
      </w:r>
      <w:bookmarkEnd w:id="39"/>
    </w:p>
    <w:p w14:paraId="64DE2EAD" w14:textId="77777777" w:rsidR="00EF446F" w:rsidRDefault="00EF446F" w:rsidP="008301BB">
      <w:pPr>
        <w:spacing w:line="240" w:lineRule="auto"/>
        <w:rPr>
          <w:lang w:val="en-GB"/>
        </w:rPr>
      </w:pPr>
    </w:p>
    <w:p w14:paraId="32A0FB87" w14:textId="0DAF651F" w:rsidR="00EF446F" w:rsidRDefault="00EF446F" w:rsidP="00841B12">
      <w:pPr>
        <w:pStyle w:val="Titre2"/>
        <w:rPr>
          <w:lang w:val="en-GB"/>
        </w:rPr>
      </w:pPr>
      <w:bookmarkStart w:id="40" w:name="_Ref461696992"/>
      <w:r>
        <w:rPr>
          <w:lang w:val="en-GB"/>
        </w:rPr>
        <w:lastRenderedPageBreak/>
        <w:t>Publications, funding opportunities and events</w:t>
      </w:r>
      <w:bookmarkEnd w:id="40"/>
    </w:p>
    <w:p w14:paraId="1CC71CFF" w14:textId="77777777" w:rsidR="00841B12" w:rsidRPr="00841B12" w:rsidRDefault="00841B12" w:rsidP="00841B12">
      <w:pPr>
        <w:rPr>
          <w:lang w:val="en-GB"/>
        </w:rPr>
      </w:pPr>
    </w:p>
    <w:p w14:paraId="399CC7F3" w14:textId="234FD8AC" w:rsidR="00243386" w:rsidRPr="000C6403" w:rsidRDefault="00243386" w:rsidP="008301BB">
      <w:pPr>
        <w:spacing w:line="240" w:lineRule="auto"/>
        <w:jc w:val="both"/>
        <w:rPr>
          <w:lang w:val="en-US"/>
        </w:rPr>
      </w:pPr>
      <w:r>
        <w:rPr>
          <w:b/>
          <w:color w:val="FFFFFF" w:themeColor="background1"/>
          <w:shd w:val="clear" w:color="auto" w:fill="7030A0"/>
          <w:lang w:val="en-GB"/>
        </w:rPr>
        <w:t>PUBLICATION</w:t>
      </w:r>
      <w:r>
        <w:rPr>
          <w:b/>
          <w:lang w:val="en-GB"/>
        </w:rPr>
        <w:t xml:space="preserve"> – </w:t>
      </w:r>
      <w:r>
        <w:rPr>
          <w:rFonts w:ascii="Calibri" w:eastAsia="Calibri" w:hAnsi="Calibri" w:cs="Times New Roman"/>
          <w:b/>
          <w:lang w:val="en-GB"/>
        </w:rPr>
        <w:t>OECD and European Commission</w:t>
      </w:r>
      <w:r>
        <w:rPr>
          <w:rFonts w:ascii="Calibri" w:eastAsia="Calibri" w:hAnsi="Calibri" w:cs="Times New Roman"/>
          <w:lang w:val="en-GB"/>
        </w:rPr>
        <w:t xml:space="preserve"> – </w:t>
      </w:r>
      <w:hyperlink r:id="rId62" w:history="1">
        <w:r w:rsidRPr="00243386">
          <w:rPr>
            <w:rStyle w:val="Lienhypertexte"/>
            <w:lang w:val="en-US"/>
          </w:rPr>
          <w:t>Inclusive Business Creation - Good Practice Compendium</w:t>
        </w:r>
      </w:hyperlink>
    </w:p>
    <w:p w14:paraId="4EAF8E97" w14:textId="77777777" w:rsidR="00243386" w:rsidRPr="000C6403" w:rsidRDefault="00243386" w:rsidP="008301BB">
      <w:pPr>
        <w:spacing w:line="240" w:lineRule="auto"/>
        <w:jc w:val="both"/>
        <w:rPr>
          <w:lang w:val="en-US"/>
        </w:rPr>
      </w:pPr>
      <w:r>
        <w:rPr>
          <w:b/>
          <w:color w:val="FFFFFF" w:themeColor="background1"/>
          <w:shd w:val="clear" w:color="auto" w:fill="7030A0"/>
          <w:lang w:val="en-GB"/>
        </w:rPr>
        <w:t>PUBLICATION</w:t>
      </w:r>
      <w:r>
        <w:rPr>
          <w:b/>
          <w:lang w:val="en-GB"/>
        </w:rPr>
        <w:t xml:space="preserve"> – </w:t>
      </w:r>
      <w:r>
        <w:rPr>
          <w:rFonts w:ascii="Calibri" w:eastAsia="Calibri" w:hAnsi="Calibri" w:cs="Times New Roman"/>
          <w:b/>
          <w:lang w:val="en-GB"/>
        </w:rPr>
        <w:t>Eurofound</w:t>
      </w:r>
      <w:r>
        <w:rPr>
          <w:rFonts w:ascii="Calibri" w:eastAsia="Calibri" w:hAnsi="Calibri" w:cs="Times New Roman"/>
          <w:lang w:val="en-GB"/>
        </w:rPr>
        <w:t xml:space="preserve"> – </w:t>
      </w:r>
      <w:hyperlink r:id="rId63" w:history="1">
        <w:r w:rsidRPr="000C6403">
          <w:rPr>
            <w:rStyle w:val="Lienhypertexte"/>
            <w:lang w:val="en-US"/>
          </w:rPr>
          <w:t>Exploring the diversity of NEETs</w:t>
        </w:r>
      </w:hyperlink>
    </w:p>
    <w:p w14:paraId="5EF09089" w14:textId="77777777" w:rsidR="00841B12" w:rsidRPr="00243386" w:rsidRDefault="00841B12" w:rsidP="00841B12">
      <w:pPr>
        <w:spacing w:line="240" w:lineRule="auto"/>
        <w:jc w:val="both"/>
        <w:rPr>
          <w:lang w:val="en-US"/>
        </w:rPr>
      </w:pPr>
    </w:p>
    <w:p w14:paraId="6C53EA1D" w14:textId="77777777" w:rsidR="00B07813" w:rsidRPr="006075A4" w:rsidRDefault="00B07813" w:rsidP="008301BB">
      <w:pPr>
        <w:pBdr>
          <w:bottom w:val="dotted" w:sz="36" w:space="1" w:color="auto"/>
        </w:pBdr>
        <w:spacing w:line="240" w:lineRule="auto"/>
        <w:rPr>
          <w:lang w:val="en-GB"/>
        </w:rPr>
      </w:pPr>
    </w:p>
    <w:p w14:paraId="6A49563D" w14:textId="77777777" w:rsidR="00B07813" w:rsidRPr="006075A4" w:rsidRDefault="00B07813" w:rsidP="00C836A4">
      <w:pPr>
        <w:pStyle w:val="Titre1"/>
        <w:pBdr>
          <w:top w:val="dotted" w:sz="4" w:space="1" w:color="auto"/>
          <w:bottom w:val="dotted" w:sz="4" w:space="1" w:color="auto"/>
        </w:pBdr>
        <w:spacing w:line="240" w:lineRule="auto"/>
        <w:rPr>
          <w:lang w:val="en-GB"/>
        </w:rPr>
      </w:pPr>
      <w:bookmarkStart w:id="41" w:name="_Toc418770756"/>
      <w:bookmarkStart w:id="42" w:name="_Ref418784375"/>
      <w:bookmarkStart w:id="43" w:name="_Ref421267634"/>
      <w:bookmarkStart w:id="44" w:name="_Ref461696993"/>
      <w:r w:rsidRPr="006075A4">
        <w:rPr>
          <w:lang w:val="en-GB"/>
        </w:rPr>
        <w:t>Recent case-law</w:t>
      </w:r>
      <w:bookmarkEnd w:id="41"/>
      <w:bookmarkEnd w:id="42"/>
      <w:bookmarkEnd w:id="43"/>
      <w:bookmarkEnd w:id="44"/>
    </w:p>
    <w:p w14:paraId="1A7E5E2B" w14:textId="77777777" w:rsidR="00AB116C" w:rsidRPr="006075A4" w:rsidRDefault="00AB116C" w:rsidP="00C836A4">
      <w:pPr>
        <w:rPr>
          <w:lang w:val="en-GB"/>
        </w:rPr>
      </w:pPr>
      <w:bookmarkStart w:id="45" w:name="_Toc418770757"/>
      <w:bookmarkStart w:id="46" w:name="_Ref418784385"/>
    </w:p>
    <w:p w14:paraId="5E641C49" w14:textId="74B1E422" w:rsidR="00542158" w:rsidRPr="006075A4" w:rsidRDefault="00B07813" w:rsidP="008301BB">
      <w:pPr>
        <w:pStyle w:val="Titre2"/>
        <w:spacing w:line="240" w:lineRule="auto"/>
        <w:rPr>
          <w:lang w:val="en-GB"/>
        </w:rPr>
      </w:pPr>
      <w:bookmarkStart w:id="47" w:name="_Ref421267642"/>
      <w:r w:rsidRPr="006075A4">
        <w:rPr>
          <w:lang w:val="en-GB"/>
        </w:rPr>
        <w:t>European Court of Justice (ECJ)</w:t>
      </w:r>
      <w:bookmarkEnd w:id="45"/>
      <w:bookmarkEnd w:id="46"/>
      <w:bookmarkEnd w:id="47"/>
    </w:p>
    <w:p w14:paraId="42A15CBC" w14:textId="77777777" w:rsidR="0098379A" w:rsidRDefault="0098379A" w:rsidP="008301BB">
      <w:pPr>
        <w:spacing w:line="240" w:lineRule="auto"/>
        <w:rPr>
          <w:lang w:val="en-GB"/>
        </w:rPr>
      </w:pPr>
    </w:p>
    <w:p w14:paraId="1DA93D6D" w14:textId="00FC7DF8" w:rsidR="00CE0B3A" w:rsidRPr="00C836A4" w:rsidRDefault="00FB5353" w:rsidP="00C836A4">
      <w:pPr>
        <w:pStyle w:val="Paragraphedeliste"/>
        <w:numPr>
          <w:ilvl w:val="0"/>
          <w:numId w:val="36"/>
        </w:numPr>
        <w:spacing w:line="240" w:lineRule="auto"/>
        <w:rPr>
          <w:lang w:val="en-GB"/>
        </w:rPr>
      </w:pPr>
      <w:r w:rsidRPr="00C836A4">
        <w:rPr>
          <w:b/>
          <w:lang w:val="en-GB"/>
        </w:rPr>
        <w:t xml:space="preserve">Asma Bougnaoui </w:t>
      </w:r>
      <w:r w:rsidR="00C836A4" w:rsidRPr="00C836A4">
        <w:rPr>
          <w:b/>
          <w:lang w:val="en-GB"/>
        </w:rPr>
        <w:t>and</w:t>
      </w:r>
      <w:r w:rsidRPr="00C836A4">
        <w:rPr>
          <w:b/>
          <w:lang w:val="en-GB"/>
        </w:rPr>
        <w:t xml:space="preserve"> Association de défense des droits de l’homme (ADDH) vs Micropole SA</w:t>
      </w:r>
      <w:r w:rsidR="00C836A4" w:rsidRPr="00C836A4">
        <w:rPr>
          <w:lang w:val="en-GB"/>
        </w:rPr>
        <w:t xml:space="preserve"> </w:t>
      </w:r>
      <w:r w:rsidR="00C836A4" w:rsidRPr="00C836A4">
        <w:rPr>
          <w:b/>
          <w:lang w:val="en-GB"/>
        </w:rPr>
        <w:t>– Opinion of Advocate General Sharpston – 13th July 2016</w:t>
      </w:r>
    </w:p>
    <w:p w14:paraId="7179455E" w14:textId="2BE6BA4B" w:rsidR="00C836A4" w:rsidRPr="00C836A4" w:rsidRDefault="00C836A4" w:rsidP="00C836A4">
      <w:pPr>
        <w:spacing w:line="240" w:lineRule="auto"/>
        <w:rPr>
          <w:lang w:val="en-GB"/>
        </w:rPr>
      </w:pPr>
      <w:r>
        <w:rPr>
          <w:lang w:val="en-GB"/>
        </w:rPr>
        <w:t xml:space="preserve">Read the opinion of AG Sharpston </w:t>
      </w:r>
      <w:hyperlink r:id="rId64" w:history="1">
        <w:r w:rsidRPr="00C836A4">
          <w:rPr>
            <w:rStyle w:val="Lienhypertexte"/>
            <w:lang w:val="en-GB"/>
          </w:rPr>
          <w:t>here</w:t>
        </w:r>
      </w:hyperlink>
      <w:r>
        <w:rPr>
          <w:lang w:val="en-GB"/>
        </w:rPr>
        <w:t xml:space="preserve">. </w:t>
      </w:r>
    </w:p>
    <w:p w14:paraId="63510349" w14:textId="0D98A428" w:rsidR="00C836A4" w:rsidRDefault="00C836A4" w:rsidP="00FB5353">
      <w:pPr>
        <w:spacing w:line="240" w:lineRule="auto"/>
        <w:rPr>
          <w:lang w:val="en-GB"/>
        </w:rPr>
      </w:pPr>
      <w:r>
        <w:rPr>
          <w:lang w:val="en-GB"/>
        </w:rPr>
        <w:t xml:space="preserve">Read Dr Erica Howard’s analysis of Achbita and Bougnaoui cases </w:t>
      </w:r>
      <w:hyperlink r:id="rId65" w:history="1">
        <w:r w:rsidRPr="00C836A4">
          <w:rPr>
            <w:rStyle w:val="Lienhypertexte"/>
            <w:lang w:val="en-GB"/>
          </w:rPr>
          <w:t>here</w:t>
        </w:r>
      </w:hyperlink>
      <w:r>
        <w:rPr>
          <w:lang w:val="en-GB"/>
        </w:rPr>
        <w:t xml:space="preserve">.  </w:t>
      </w:r>
    </w:p>
    <w:p w14:paraId="33DE5D03" w14:textId="77777777" w:rsidR="00C836A4" w:rsidRPr="00C836A4" w:rsidRDefault="00C836A4" w:rsidP="00FB5353">
      <w:pPr>
        <w:spacing w:line="240" w:lineRule="auto"/>
        <w:rPr>
          <w:lang w:val="en-GB"/>
        </w:rPr>
      </w:pPr>
    </w:p>
    <w:p w14:paraId="2FBBAA9A" w14:textId="25367B04" w:rsidR="00FB5353" w:rsidRPr="00C836A4" w:rsidRDefault="00C836A4" w:rsidP="00C836A4">
      <w:pPr>
        <w:pStyle w:val="Paragraphedeliste"/>
        <w:numPr>
          <w:ilvl w:val="0"/>
          <w:numId w:val="36"/>
        </w:numPr>
        <w:spacing w:line="240" w:lineRule="auto"/>
        <w:rPr>
          <w:b/>
          <w:lang w:val="en-GB"/>
        </w:rPr>
      </w:pPr>
      <w:r w:rsidRPr="00C836A4">
        <w:rPr>
          <w:b/>
          <w:lang w:val="en-GB"/>
        </w:rPr>
        <w:t>Nils-Johannes Kratzer v R+V Allgemeine Versicherung AG - 28</w:t>
      </w:r>
      <w:r w:rsidRPr="00C836A4">
        <w:rPr>
          <w:b/>
          <w:vertAlign w:val="superscript"/>
          <w:lang w:val="en-GB"/>
        </w:rPr>
        <w:t>th</w:t>
      </w:r>
      <w:r>
        <w:rPr>
          <w:b/>
          <w:lang w:val="en-GB"/>
        </w:rPr>
        <w:t xml:space="preserve"> July 2016</w:t>
      </w:r>
    </w:p>
    <w:p w14:paraId="1F7A7577" w14:textId="2D6CE0CF" w:rsidR="00237934" w:rsidRPr="00C836A4" w:rsidRDefault="00C836A4" w:rsidP="00C836A4">
      <w:pPr>
        <w:jc w:val="both"/>
        <w:rPr>
          <w:lang w:val="en-GB"/>
        </w:rPr>
      </w:pPr>
      <w:r>
        <w:rPr>
          <w:lang w:val="en-GB"/>
        </w:rPr>
        <w:t xml:space="preserve">The </w:t>
      </w:r>
      <w:r w:rsidRPr="00C836A4">
        <w:rPr>
          <w:lang w:val="en-GB"/>
        </w:rPr>
        <w:t>case concerned a person who applied for a job not with the intention of getting the job, but with the intention of brining a claim on discrimination on the grounds of gender for the sole purpose of receiving compensation. The court held that these fake applications are not under the protection of the directive and indeed are abuse of rights</w:t>
      </w:r>
      <w:r>
        <w:rPr>
          <w:lang w:val="en-GB"/>
        </w:rPr>
        <w:t xml:space="preserve">. The case is available </w:t>
      </w:r>
      <w:hyperlink r:id="rId66" w:anchor="ctx1" w:history="1">
        <w:r w:rsidRPr="00C836A4">
          <w:rPr>
            <w:rStyle w:val="Lienhypertexte"/>
            <w:lang w:val="en-GB"/>
          </w:rPr>
          <w:t>here</w:t>
        </w:r>
      </w:hyperlink>
      <w:r>
        <w:rPr>
          <w:lang w:val="en-GB"/>
        </w:rPr>
        <w:t xml:space="preserve">. </w:t>
      </w:r>
      <w:r>
        <w:rPr>
          <w:lang w:val="en-GB"/>
        </w:rPr>
        <w:tab/>
      </w:r>
    </w:p>
    <w:sectPr w:rsidR="00237934" w:rsidRPr="00C836A4" w:rsidSect="006415D5">
      <w:footerReference w:type="default" r:id="rId6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80A91" w14:textId="77777777" w:rsidR="00B07813" w:rsidRDefault="00B07813" w:rsidP="001140DC">
      <w:pPr>
        <w:spacing w:after="0" w:line="240" w:lineRule="auto"/>
      </w:pPr>
      <w:r>
        <w:separator/>
      </w:r>
    </w:p>
  </w:endnote>
  <w:endnote w:type="continuationSeparator" w:id="0">
    <w:p w14:paraId="66C38360" w14:textId="77777777" w:rsidR="00B07813" w:rsidRDefault="00B07813" w:rsidP="001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768080"/>
      <w:docPartObj>
        <w:docPartGallery w:val="Page Numbers (Bottom of Page)"/>
        <w:docPartUnique/>
      </w:docPartObj>
    </w:sdtPr>
    <w:sdtEndPr>
      <w:rPr>
        <w:noProof/>
      </w:rPr>
    </w:sdtEndPr>
    <w:sdtContent>
      <w:p w14:paraId="4691FE19" w14:textId="362EA40A" w:rsidR="00B07813" w:rsidRDefault="00B07813">
        <w:pPr>
          <w:pStyle w:val="Pieddepage"/>
          <w:jc w:val="center"/>
        </w:pPr>
        <w:r>
          <w:fldChar w:fldCharType="begin"/>
        </w:r>
        <w:r>
          <w:instrText xml:space="preserve"> PAGE   \* MERGEFORMAT </w:instrText>
        </w:r>
        <w:r>
          <w:fldChar w:fldCharType="separate"/>
        </w:r>
        <w:r w:rsidR="00BB713D">
          <w:rPr>
            <w:noProof/>
          </w:rPr>
          <w:t>1</w:t>
        </w:r>
        <w:r>
          <w:rPr>
            <w:noProof/>
          </w:rPr>
          <w:fldChar w:fldCharType="end"/>
        </w:r>
      </w:p>
    </w:sdtContent>
  </w:sdt>
  <w:p w14:paraId="69CDCD89" w14:textId="77777777" w:rsidR="00B07813" w:rsidRDefault="00B078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7F39C" w14:textId="77777777" w:rsidR="00B07813" w:rsidRDefault="00B07813" w:rsidP="001140DC">
      <w:pPr>
        <w:spacing w:after="0" w:line="240" w:lineRule="auto"/>
      </w:pPr>
      <w:r>
        <w:separator/>
      </w:r>
    </w:p>
  </w:footnote>
  <w:footnote w:type="continuationSeparator" w:id="0">
    <w:p w14:paraId="2DAA5EEB" w14:textId="77777777" w:rsidR="00B07813" w:rsidRDefault="00B07813" w:rsidP="00114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61C2"/>
    <w:multiLevelType w:val="hybridMultilevel"/>
    <w:tmpl w:val="BC26AD12"/>
    <w:lvl w:ilvl="0" w:tplc="19A8BDD8">
      <w:start w:val="1"/>
      <w:numFmt w:val="bullet"/>
      <w:lvlText w:val=""/>
      <w:lvlJc w:val="left"/>
      <w:pPr>
        <w:ind w:left="720" w:hanging="360"/>
      </w:pPr>
      <w:rPr>
        <w:rFonts w:ascii="Symbol" w:hAnsi="Symbol" w:hint="default"/>
        <w:color w:val="auto"/>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5E2214"/>
    <w:multiLevelType w:val="hybridMultilevel"/>
    <w:tmpl w:val="85EC24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FE1CEF"/>
    <w:multiLevelType w:val="hybridMultilevel"/>
    <w:tmpl w:val="1F9625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7E1683B"/>
    <w:multiLevelType w:val="hybridMultilevel"/>
    <w:tmpl w:val="CA7A21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D0E1381"/>
    <w:multiLevelType w:val="hybridMultilevel"/>
    <w:tmpl w:val="D512D0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E6B5BDD"/>
    <w:multiLevelType w:val="hybridMultilevel"/>
    <w:tmpl w:val="07A006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19959BD"/>
    <w:multiLevelType w:val="hybridMultilevel"/>
    <w:tmpl w:val="B2027AEA"/>
    <w:lvl w:ilvl="0" w:tplc="19A8BDD8">
      <w:start w:val="1"/>
      <w:numFmt w:val="bullet"/>
      <w:lvlText w:val=""/>
      <w:lvlJc w:val="left"/>
      <w:pPr>
        <w:ind w:left="720" w:hanging="360"/>
      </w:pPr>
      <w:rPr>
        <w:rFonts w:ascii="Symbol" w:hAnsi="Symbol" w:hint="default"/>
        <w:color w:val="auto"/>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2C676E5"/>
    <w:multiLevelType w:val="hybridMultilevel"/>
    <w:tmpl w:val="FF2E40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40F3AA6"/>
    <w:multiLevelType w:val="hybridMultilevel"/>
    <w:tmpl w:val="5EC8AF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5394E98"/>
    <w:multiLevelType w:val="hybridMultilevel"/>
    <w:tmpl w:val="7C9E571C"/>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1C0532EB"/>
    <w:multiLevelType w:val="hybridMultilevel"/>
    <w:tmpl w:val="3F028B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3CD1781"/>
    <w:multiLevelType w:val="hybridMultilevel"/>
    <w:tmpl w:val="C89C9D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A327DD3"/>
    <w:multiLevelType w:val="hybridMultilevel"/>
    <w:tmpl w:val="A1DE41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CE86CC4"/>
    <w:multiLevelType w:val="hybridMultilevel"/>
    <w:tmpl w:val="B80C5A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FAF0AE7"/>
    <w:multiLevelType w:val="hybridMultilevel"/>
    <w:tmpl w:val="D08C4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586FCD"/>
    <w:multiLevelType w:val="hybridMultilevel"/>
    <w:tmpl w:val="D9DC66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5692E43"/>
    <w:multiLevelType w:val="hybridMultilevel"/>
    <w:tmpl w:val="96A606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CEF4E28"/>
    <w:multiLevelType w:val="hybridMultilevel"/>
    <w:tmpl w:val="3E5007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EAA337E"/>
    <w:multiLevelType w:val="hybridMultilevel"/>
    <w:tmpl w:val="399C92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F0012FC"/>
    <w:multiLevelType w:val="hybridMultilevel"/>
    <w:tmpl w:val="F3D27022"/>
    <w:lvl w:ilvl="0" w:tplc="19A8BDD8">
      <w:start w:val="1"/>
      <w:numFmt w:val="bullet"/>
      <w:lvlText w:val=""/>
      <w:lvlJc w:val="left"/>
      <w:pPr>
        <w:ind w:left="720" w:hanging="360"/>
      </w:pPr>
      <w:rPr>
        <w:rFonts w:ascii="Symbol" w:hAnsi="Symbol" w:hint="default"/>
        <w:color w:val="auto"/>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2270AC0"/>
    <w:multiLevelType w:val="hybridMultilevel"/>
    <w:tmpl w:val="FB14B4CA"/>
    <w:lvl w:ilvl="0" w:tplc="19A8BDD8">
      <w:start w:val="1"/>
      <w:numFmt w:val="bullet"/>
      <w:lvlText w:val=""/>
      <w:lvlJc w:val="left"/>
      <w:pPr>
        <w:ind w:left="720" w:hanging="360"/>
      </w:pPr>
      <w:rPr>
        <w:rFonts w:ascii="Symbol" w:hAnsi="Symbol" w:hint="default"/>
        <w:color w:val="auto"/>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5AE6005"/>
    <w:multiLevelType w:val="hybridMultilevel"/>
    <w:tmpl w:val="C59697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5DE0D0E"/>
    <w:multiLevelType w:val="hybridMultilevel"/>
    <w:tmpl w:val="1734AC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6AF6547"/>
    <w:multiLevelType w:val="hybridMultilevel"/>
    <w:tmpl w:val="400C60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BFC3BCA"/>
    <w:multiLevelType w:val="hybridMultilevel"/>
    <w:tmpl w:val="E4E49A2C"/>
    <w:lvl w:ilvl="0" w:tplc="19A8BDD8">
      <w:start w:val="1"/>
      <w:numFmt w:val="bullet"/>
      <w:lvlText w:val=""/>
      <w:lvlJc w:val="left"/>
      <w:pPr>
        <w:ind w:left="720" w:hanging="360"/>
      </w:pPr>
      <w:rPr>
        <w:rFonts w:ascii="Symbol" w:hAnsi="Symbol" w:hint="default"/>
        <w:color w:val="auto"/>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0FB7F07"/>
    <w:multiLevelType w:val="hybridMultilevel"/>
    <w:tmpl w:val="EA485B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2E864B6"/>
    <w:multiLevelType w:val="hybridMultilevel"/>
    <w:tmpl w:val="ABB251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4201901"/>
    <w:multiLevelType w:val="hybridMultilevel"/>
    <w:tmpl w:val="08144D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5781939"/>
    <w:multiLevelType w:val="hybridMultilevel"/>
    <w:tmpl w:val="95546638"/>
    <w:lvl w:ilvl="0" w:tplc="69EAA37E">
      <w:numFmt w:val="bullet"/>
      <w:lvlText w:val="-"/>
      <w:lvlJc w:val="left"/>
      <w:pPr>
        <w:ind w:left="405" w:hanging="360"/>
      </w:pPr>
      <w:rPr>
        <w:rFonts w:ascii="Calibri" w:eastAsiaTheme="minorHAnsi" w:hAnsi="Calibri" w:cstheme="minorBidi" w:hint="default"/>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29" w15:restartNumberingAfterBreak="0">
    <w:nsid w:val="5B0055A2"/>
    <w:multiLevelType w:val="hybridMultilevel"/>
    <w:tmpl w:val="FB6AB3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BB85DA2"/>
    <w:multiLevelType w:val="hybridMultilevel"/>
    <w:tmpl w:val="B81ED6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5C3F1FB5"/>
    <w:multiLevelType w:val="hybridMultilevel"/>
    <w:tmpl w:val="5AA25B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D217B51"/>
    <w:multiLevelType w:val="hybridMultilevel"/>
    <w:tmpl w:val="0A2CB9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22D1769"/>
    <w:multiLevelType w:val="hybridMultilevel"/>
    <w:tmpl w:val="D4289C1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4" w15:restartNumberingAfterBreak="0">
    <w:nsid w:val="69704737"/>
    <w:multiLevelType w:val="hybridMultilevel"/>
    <w:tmpl w:val="921CD2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E481642"/>
    <w:multiLevelType w:val="hybridMultilevel"/>
    <w:tmpl w:val="3E500F9A"/>
    <w:lvl w:ilvl="0" w:tplc="19A8BDD8">
      <w:start w:val="1"/>
      <w:numFmt w:val="bullet"/>
      <w:lvlText w:val=""/>
      <w:lvlJc w:val="left"/>
      <w:pPr>
        <w:ind w:left="720" w:hanging="360"/>
      </w:pPr>
      <w:rPr>
        <w:rFonts w:ascii="Symbol" w:hAnsi="Symbol" w:hint="default"/>
        <w:color w:val="auto"/>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E8F3A8A"/>
    <w:multiLevelType w:val="hybridMultilevel"/>
    <w:tmpl w:val="020609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72DD5D56"/>
    <w:multiLevelType w:val="hybridMultilevel"/>
    <w:tmpl w:val="F184E5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7972EA8"/>
    <w:multiLevelType w:val="hybridMultilevel"/>
    <w:tmpl w:val="4C18A7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7B885D91"/>
    <w:multiLevelType w:val="hybridMultilevel"/>
    <w:tmpl w:val="BF860D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7C576F0F"/>
    <w:multiLevelType w:val="hybridMultilevel"/>
    <w:tmpl w:val="BF26C4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FD90D3C"/>
    <w:multiLevelType w:val="hybridMultilevel"/>
    <w:tmpl w:val="EEBA0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1"/>
  </w:num>
  <w:num w:numId="2">
    <w:abstractNumId w:val="3"/>
  </w:num>
  <w:num w:numId="3">
    <w:abstractNumId w:val="22"/>
  </w:num>
  <w:num w:numId="4">
    <w:abstractNumId w:val="30"/>
  </w:num>
  <w:num w:numId="5">
    <w:abstractNumId w:val="34"/>
  </w:num>
  <w:num w:numId="6">
    <w:abstractNumId w:val="21"/>
  </w:num>
  <w:num w:numId="7">
    <w:abstractNumId w:val="11"/>
  </w:num>
  <w:num w:numId="8">
    <w:abstractNumId w:val="15"/>
  </w:num>
  <w:num w:numId="9">
    <w:abstractNumId w:val="1"/>
  </w:num>
  <w:num w:numId="10">
    <w:abstractNumId w:val="16"/>
  </w:num>
  <w:num w:numId="11">
    <w:abstractNumId w:val="37"/>
  </w:num>
  <w:num w:numId="12">
    <w:abstractNumId w:val="29"/>
  </w:num>
  <w:num w:numId="13">
    <w:abstractNumId w:val="8"/>
  </w:num>
  <w:num w:numId="14">
    <w:abstractNumId w:val="26"/>
  </w:num>
  <w:num w:numId="15">
    <w:abstractNumId w:val="23"/>
  </w:num>
  <w:num w:numId="16">
    <w:abstractNumId w:val="4"/>
  </w:num>
  <w:num w:numId="17">
    <w:abstractNumId w:val="25"/>
  </w:num>
  <w:num w:numId="18">
    <w:abstractNumId w:val="10"/>
  </w:num>
  <w:num w:numId="19">
    <w:abstractNumId w:val="5"/>
  </w:num>
  <w:num w:numId="20">
    <w:abstractNumId w:val="13"/>
  </w:num>
  <w:num w:numId="21">
    <w:abstractNumId w:val="27"/>
  </w:num>
  <w:num w:numId="22">
    <w:abstractNumId w:val="38"/>
  </w:num>
  <w:num w:numId="23">
    <w:abstractNumId w:val="7"/>
  </w:num>
  <w:num w:numId="24">
    <w:abstractNumId w:val="18"/>
  </w:num>
  <w:num w:numId="25">
    <w:abstractNumId w:val="40"/>
  </w:num>
  <w:num w:numId="26">
    <w:abstractNumId w:val="28"/>
  </w:num>
  <w:num w:numId="27">
    <w:abstractNumId w:val="9"/>
  </w:num>
  <w:num w:numId="28">
    <w:abstractNumId w:val="12"/>
  </w:num>
  <w:num w:numId="29">
    <w:abstractNumId w:val="17"/>
  </w:num>
  <w:num w:numId="30">
    <w:abstractNumId w:val="36"/>
  </w:num>
  <w:num w:numId="31">
    <w:abstractNumId w:val="39"/>
  </w:num>
  <w:num w:numId="32">
    <w:abstractNumId w:val="33"/>
  </w:num>
  <w:num w:numId="33">
    <w:abstractNumId w:val="32"/>
  </w:num>
  <w:num w:numId="34">
    <w:abstractNumId w:val="14"/>
  </w:num>
  <w:num w:numId="35">
    <w:abstractNumId w:val="41"/>
  </w:num>
  <w:num w:numId="36">
    <w:abstractNumId w:val="2"/>
  </w:num>
  <w:num w:numId="37">
    <w:abstractNumId w:val="20"/>
  </w:num>
  <w:num w:numId="38">
    <w:abstractNumId w:val="24"/>
  </w:num>
  <w:num w:numId="39">
    <w:abstractNumId w:val="0"/>
  </w:num>
  <w:num w:numId="40">
    <w:abstractNumId w:val="35"/>
  </w:num>
  <w:num w:numId="41">
    <w:abstractNumId w:val="1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F6"/>
    <w:rsid w:val="000263B4"/>
    <w:rsid w:val="000348AB"/>
    <w:rsid w:val="00036CEA"/>
    <w:rsid w:val="000515A0"/>
    <w:rsid w:val="000824DA"/>
    <w:rsid w:val="000B22AC"/>
    <w:rsid w:val="000B784B"/>
    <w:rsid w:val="000C6403"/>
    <w:rsid w:val="000D5978"/>
    <w:rsid w:val="000F46D8"/>
    <w:rsid w:val="000F79AC"/>
    <w:rsid w:val="001140DC"/>
    <w:rsid w:val="001200F7"/>
    <w:rsid w:val="0014109E"/>
    <w:rsid w:val="00156277"/>
    <w:rsid w:val="0016113D"/>
    <w:rsid w:val="00175EA1"/>
    <w:rsid w:val="00177C56"/>
    <w:rsid w:val="0018390B"/>
    <w:rsid w:val="0018402A"/>
    <w:rsid w:val="001A3C8D"/>
    <w:rsid w:val="001B305F"/>
    <w:rsid w:val="001C172F"/>
    <w:rsid w:val="001E3467"/>
    <w:rsid w:val="00207FD0"/>
    <w:rsid w:val="00217BAD"/>
    <w:rsid w:val="00237934"/>
    <w:rsid w:val="00243386"/>
    <w:rsid w:val="00255FDB"/>
    <w:rsid w:val="00283B18"/>
    <w:rsid w:val="00291191"/>
    <w:rsid w:val="002B08F4"/>
    <w:rsid w:val="002B1C26"/>
    <w:rsid w:val="002B3D6F"/>
    <w:rsid w:val="002C3BF0"/>
    <w:rsid w:val="002D7C1C"/>
    <w:rsid w:val="002F72D9"/>
    <w:rsid w:val="0034362B"/>
    <w:rsid w:val="003809DC"/>
    <w:rsid w:val="0038243B"/>
    <w:rsid w:val="003825E5"/>
    <w:rsid w:val="0038736A"/>
    <w:rsid w:val="003C227F"/>
    <w:rsid w:val="003C34AB"/>
    <w:rsid w:val="003E367E"/>
    <w:rsid w:val="00403A84"/>
    <w:rsid w:val="004275EC"/>
    <w:rsid w:val="00431C80"/>
    <w:rsid w:val="0044701A"/>
    <w:rsid w:val="0048576D"/>
    <w:rsid w:val="004A7771"/>
    <w:rsid w:val="004B121F"/>
    <w:rsid w:val="004C5D75"/>
    <w:rsid w:val="005047E4"/>
    <w:rsid w:val="00510BEA"/>
    <w:rsid w:val="0051290D"/>
    <w:rsid w:val="005165D2"/>
    <w:rsid w:val="00522381"/>
    <w:rsid w:val="00524C60"/>
    <w:rsid w:val="00542158"/>
    <w:rsid w:val="00566380"/>
    <w:rsid w:val="005930AD"/>
    <w:rsid w:val="005978FA"/>
    <w:rsid w:val="005A767B"/>
    <w:rsid w:val="005B04DF"/>
    <w:rsid w:val="005C71C3"/>
    <w:rsid w:val="005D2E7F"/>
    <w:rsid w:val="005D3458"/>
    <w:rsid w:val="0060251B"/>
    <w:rsid w:val="006075A4"/>
    <w:rsid w:val="00624AFF"/>
    <w:rsid w:val="006415D5"/>
    <w:rsid w:val="0064319A"/>
    <w:rsid w:val="0067153F"/>
    <w:rsid w:val="006A041F"/>
    <w:rsid w:val="006C3CD5"/>
    <w:rsid w:val="006C51C1"/>
    <w:rsid w:val="00702D8C"/>
    <w:rsid w:val="00713FC5"/>
    <w:rsid w:val="00741E49"/>
    <w:rsid w:val="00757D6D"/>
    <w:rsid w:val="00786ABB"/>
    <w:rsid w:val="00792C11"/>
    <w:rsid w:val="007A3B4E"/>
    <w:rsid w:val="007F3499"/>
    <w:rsid w:val="007F589E"/>
    <w:rsid w:val="00814C6F"/>
    <w:rsid w:val="00820E6F"/>
    <w:rsid w:val="008301BB"/>
    <w:rsid w:val="00833B25"/>
    <w:rsid w:val="00837FF6"/>
    <w:rsid w:val="00841B12"/>
    <w:rsid w:val="00845CD1"/>
    <w:rsid w:val="00871587"/>
    <w:rsid w:val="008719D8"/>
    <w:rsid w:val="008A5500"/>
    <w:rsid w:val="008B1B4D"/>
    <w:rsid w:val="008D6C9B"/>
    <w:rsid w:val="008E25FA"/>
    <w:rsid w:val="008E4A46"/>
    <w:rsid w:val="009053F1"/>
    <w:rsid w:val="00922F1E"/>
    <w:rsid w:val="009330E1"/>
    <w:rsid w:val="00963322"/>
    <w:rsid w:val="00975348"/>
    <w:rsid w:val="0098311A"/>
    <w:rsid w:val="0098379A"/>
    <w:rsid w:val="009913B6"/>
    <w:rsid w:val="009B2BD0"/>
    <w:rsid w:val="009B4DBA"/>
    <w:rsid w:val="009C2CBE"/>
    <w:rsid w:val="009E2884"/>
    <w:rsid w:val="00A34EB9"/>
    <w:rsid w:val="00A605AB"/>
    <w:rsid w:val="00A73FA9"/>
    <w:rsid w:val="00A74E27"/>
    <w:rsid w:val="00A83053"/>
    <w:rsid w:val="00A86A2F"/>
    <w:rsid w:val="00A91933"/>
    <w:rsid w:val="00A924CE"/>
    <w:rsid w:val="00A965AC"/>
    <w:rsid w:val="00A975CF"/>
    <w:rsid w:val="00AB116C"/>
    <w:rsid w:val="00B07813"/>
    <w:rsid w:val="00B33A99"/>
    <w:rsid w:val="00B40C5A"/>
    <w:rsid w:val="00B81B74"/>
    <w:rsid w:val="00BB713D"/>
    <w:rsid w:val="00BC522B"/>
    <w:rsid w:val="00BD7FB3"/>
    <w:rsid w:val="00BE1F3C"/>
    <w:rsid w:val="00BE506C"/>
    <w:rsid w:val="00C117CA"/>
    <w:rsid w:val="00C539EC"/>
    <w:rsid w:val="00C836A4"/>
    <w:rsid w:val="00C842B1"/>
    <w:rsid w:val="00C91705"/>
    <w:rsid w:val="00C92B6C"/>
    <w:rsid w:val="00CB2E4E"/>
    <w:rsid w:val="00CE0B3A"/>
    <w:rsid w:val="00CE4847"/>
    <w:rsid w:val="00CE7B37"/>
    <w:rsid w:val="00CF1EF8"/>
    <w:rsid w:val="00CF7284"/>
    <w:rsid w:val="00D05673"/>
    <w:rsid w:val="00D1064D"/>
    <w:rsid w:val="00D54367"/>
    <w:rsid w:val="00D80088"/>
    <w:rsid w:val="00D80D0E"/>
    <w:rsid w:val="00DA1BD6"/>
    <w:rsid w:val="00DA6150"/>
    <w:rsid w:val="00DA7103"/>
    <w:rsid w:val="00DF3600"/>
    <w:rsid w:val="00E014FB"/>
    <w:rsid w:val="00E14630"/>
    <w:rsid w:val="00E300D5"/>
    <w:rsid w:val="00E3246B"/>
    <w:rsid w:val="00E40FD2"/>
    <w:rsid w:val="00E56FBD"/>
    <w:rsid w:val="00E64486"/>
    <w:rsid w:val="00E91D96"/>
    <w:rsid w:val="00EA1275"/>
    <w:rsid w:val="00EB5265"/>
    <w:rsid w:val="00EF446F"/>
    <w:rsid w:val="00F01EC5"/>
    <w:rsid w:val="00F10F14"/>
    <w:rsid w:val="00F23218"/>
    <w:rsid w:val="00F31126"/>
    <w:rsid w:val="00F66D27"/>
    <w:rsid w:val="00F92C30"/>
    <w:rsid w:val="00F93FE2"/>
    <w:rsid w:val="00FA6B5D"/>
    <w:rsid w:val="00FB5353"/>
    <w:rsid w:val="00FD04B4"/>
    <w:rsid w:val="00FE6920"/>
    <w:rsid w:val="00FE7DB2"/>
    <w:rsid w:val="00FF443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42898E6A"/>
  <w15:docId w15:val="{7A1B0BC3-6F07-4E80-A6F6-15C59511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446F"/>
  </w:style>
  <w:style w:type="paragraph" w:styleId="Titre1">
    <w:name w:val="heading 1"/>
    <w:basedOn w:val="Normal"/>
    <w:next w:val="Normal"/>
    <w:link w:val="Titre1Car"/>
    <w:uiPriority w:val="9"/>
    <w:qFormat/>
    <w:rsid w:val="00A73FA9"/>
    <w:pPr>
      <w:keepNext/>
      <w:keepLines/>
      <w:spacing w:before="240" w:after="0"/>
      <w:jc w:val="center"/>
      <w:outlineLvl w:val="0"/>
    </w:pPr>
    <w:rPr>
      <w:rFonts w:ascii="Tahoma" w:eastAsiaTheme="majorEastAsia" w:hAnsi="Tahoma" w:cstheme="majorBidi"/>
      <w:b/>
      <w:color w:val="2E74B5" w:themeColor="accent1" w:themeShade="BF"/>
      <w:sz w:val="32"/>
      <w:szCs w:val="32"/>
    </w:rPr>
  </w:style>
  <w:style w:type="paragraph" w:styleId="Titre2">
    <w:name w:val="heading 2"/>
    <w:basedOn w:val="Normal"/>
    <w:next w:val="Normal"/>
    <w:link w:val="Titre2Car"/>
    <w:uiPriority w:val="9"/>
    <w:unhideWhenUsed/>
    <w:qFormat/>
    <w:rsid w:val="0038243B"/>
    <w:pPr>
      <w:keepNext/>
      <w:keepLines/>
      <w:spacing w:before="40" w:after="0"/>
      <w:outlineLvl w:val="1"/>
    </w:pPr>
    <w:rPr>
      <w:rFonts w:asciiTheme="majorHAnsi" w:eastAsiaTheme="majorEastAsia" w:hAnsiTheme="majorHAnsi" w:cstheme="majorBidi"/>
      <w:b/>
      <w:color w:val="C45911" w:themeColor="accent2" w:themeShade="BF"/>
      <w:sz w:val="26"/>
      <w:szCs w:val="26"/>
    </w:rPr>
  </w:style>
  <w:style w:type="paragraph" w:styleId="Titre3">
    <w:name w:val="heading 3"/>
    <w:basedOn w:val="Normal"/>
    <w:next w:val="Normal"/>
    <w:link w:val="Titre3Car"/>
    <w:uiPriority w:val="9"/>
    <w:semiHidden/>
    <w:unhideWhenUsed/>
    <w:qFormat/>
    <w:rsid w:val="002433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3FA9"/>
    <w:rPr>
      <w:rFonts w:ascii="Tahoma" w:eastAsiaTheme="majorEastAsia" w:hAnsi="Tahoma" w:cstheme="majorBidi"/>
      <w:b/>
      <w:color w:val="2E74B5" w:themeColor="accent1" w:themeShade="BF"/>
      <w:sz w:val="32"/>
      <w:szCs w:val="32"/>
    </w:rPr>
  </w:style>
  <w:style w:type="paragraph" w:styleId="En-ttedetabledesmatires">
    <w:name w:val="TOC Heading"/>
    <w:basedOn w:val="Titre1"/>
    <w:next w:val="Normal"/>
    <w:uiPriority w:val="39"/>
    <w:unhideWhenUsed/>
    <w:qFormat/>
    <w:rsid w:val="00BE506C"/>
    <w:pPr>
      <w:outlineLvl w:val="9"/>
    </w:pPr>
    <w:rPr>
      <w:lang w:val="en-US"/>
    </w:rPr>
  </w:style>
  <w:style w:type="paragraph" w:styleId="TM1">
    <w:name w:val="toc 1"/>
    <w:basedOn w:val="Normal"/>
    <w:next w:val="Normal"/>
    <w:autoRedefine/>
    <w:uiPriority w:val="39"/>
    <w:unhideWhenUsed/>
    <w:rsid w:val="00F66D27"/>
    <w:pPr>
      <w:tabs>
        <w:tab w:val="right" w:leader="dot" w:pos="9736"/>
      </w:tabs>
      <w:spacing w:after="100"/>
    </w:pPr>
    <w:rPr>
      <w:b/>
      <w:noProof/>
      <w:sz w:val="28"/>
      <w:lang w:val="en-US"/>
    </w:rPr>
  </w:style>
  <w:style w:type="character" w:styleId="Lienhypertexte">
    <w:name w:val="Hyperlink"/>
    <w:basedOn w:val="Policepardfaut"/>
    <w:uiPriority w:val="99"/>
    <w:unhideWhenUsed/>
    <w:rsid w:val="00922F1E"/>
    <w:rPr>
      <w:color w:val="0563C1" w:themeColor="hyperlink"/>
      <w:u w:val="single"/>
    </w:rPr>
  </w:style>
  <w:style w:type="paragraph" w:styleId="En-tte">
    <w:name w:val="header"/>
    <w:basedOn w:val="Normal"/>
    <w:link w:val="En-tteCar"/>
    <w:uiPriority w:val="99"/>
    <w:unhideWhenUsed/>
    <w:rsid w:val="001140DC"/>
    <w:pPr>
      <w:tabs>
        <w:tab w:val="center" w:pos="4536"/>
        <w:tab w:val="right" w:pos="9072"/>
      </w:tabs>
      <w:spacing w:after="0" w:line="240" w:lineRule="auto"/>
    </w:pPr>
  </w:style>
  <w:style w:type="character" w:customStyle="1" w:styleId="En-tteCar">
    <w:name w:val="En-tête Car"/>
    <w:basedOn w:val="Policepardfaut"/>
    <w:link w:val="En-tte"/>
    <w:uiPriority w:val="99"/>
    <w:rsid w:val="001140DC"/>
  </w:style>
  <w:style w:type="paragraph" w:styleId="Pieddepage">
    <w:name w:val="footer"/>
    <w:basedOn w:val="Normal"/>
    <w:link w:val="PieddepageCar"/>
    <w:uiPriority w:val="99"/>
    <w:unhideWhenUsed/>
    <w:rsid w:val="001140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40DC"/>
  </w:style>
  <w:style w:type="character" w:customStyle="1" w:styleId="Titre2Car">
    <w:name w:val="Titre 2 Car"/>
    <w:basedOn w:val="Policepardfaut"/>
    <w:link w:val="Titre2"/>
    <w:uiPriority w:val="9"/>
    <w:rsid w:val="0038243B"/>
    <w:rPr>
      <w:rFonts w:asciiTheme="majorHAnsi" w:eastAsiaTheme="majorEastAsia" w:hAnsiTheme="majorHAnsi" w:cstheme="majorBidi"/>
      <w:b/>
      <w:color w:val="C45911" w:themeColor="accent2" w:themeShade="BF"/>
      <w:sz w:val="26"/>
      <w:szCs w:val="26"/>
    </w:rPr>
  </w:style>
  <w:style w:type="paragraph" w:styleId="TM2">
    <w:name w:val="toc 2"/>
    <w:basedOn w:val="Normal"/>
    <w:next w:val="Normal"/>
    <w:autoRedefine/>
    <w:uiPriority w:val="39"/>
    <w:unhideWhenUsed/>
    <w:rsid w:val="001140DC"/>
    <w:pPr>
      <w:spacing w:after="100"/>
      <w:ind w:left="220"/>
    </w:pPr>
  </w:style>
  <w:style w:type="table" w:styleId="Grilledutableau">
    <w:name w:val="Table Grid"/>
    <w:basedOn w:val="TableauNormal"/>
    <w:uiPriority w:val="39"/>
    <w:rsid w:val="0064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BE1F3C"/>
    <w:rPr>
      <w:color w:val="954F72" w:themeColor="followedHyperlink"/>
      <w:u w:val="single"/>
    </w:rPr>
  </w:style>
  <w:style w:type="paragraph" w:styleId="Paragraphedeliste">
    <w:name w:val="List Paragraph"/>
    <w:basedOn w:val="Normal"/>
    <w:uiPriority w:val="34"/>
    <w:qFormat/>
    <w:rsid w:val="00A73FA9"/>
    <w:pPr>
      <w:ind w:left="720"/>
      <w:contextualSpacing/>
    </w:pPr>
  </w:style>
  <w:style w:type="character" w:styleId="Marquedecommentaire">
    <w:name w:val="annotation reference"/>
    <w:basedOn w:val="Policepardfaut"/>
    <w:uiPriority w:val="99"/>
    <w:semiHidden/>
    <w:unhideWhenUsed/>
    <w:rsid w:val="00EA1275"/>
    <w:rPr>
      <w:sz w:val="16"/>
      <w:szCs w:val="16"/>
    </w:rPr>
  </w:style>
  <w:style w:type="paragraph" w:styleId="Commentaire">
    <w:name w:val="annotation text"/>
    <w:basedOn w:val="Normal"/>
    <w:link w:val="CommentaireCar"/>
    <w:uiPriority w:val="99"/>
    <w:semiHidden/>
    <w:unhideWhenUsed/>
    <w:rsid w:val="00EA1275"/>
    <w:pPr>
      <w:spacing w:line="240" w:lineRule="auto"/>
    </w:pPr>
    <w:rPr>
      <w:sz w:val="20"/>
      <w:szCs w:val="20"/>
    </w:rPr>
  </w:style>
  <w:style w:type="character" w:customStyle="1" w:styleId="CommentaireCar">
    <w:name w:val="Commentaire Car"/>
    <w:basedOn w:val="Policepardfaut"/>
    <w:link w:val="Commentaire"/>
    <w:uiPriority w:val="99"/>
    <w:semiHidden/>
    <w:rsid w:val="00EA1275"/>
    <w:rPr>
      <w:sz w:val="20"/>
      <w:szCs w:val="20"/>
    </w:rPr>
  </w:style>
  <w:style w:type="paragraph" w:styleId="Objetducommentaire">
    <w:name w:val="annotation subject"/>
    <w:basedOn w:val="Commentaire"/>
    <w:next w:val="Commentaire"/>
    <w:link w:val="ObjetducommentaireCar"/>
    <w:uiPriority w:val="99"/>
    <w:semiHidden/>
    <w:unhideWhenUsed/>
    <w:rsid w:val="00EA1275"/>
    <w:rPr>
      <w:b/>
      <w:bCs/>
    </w:rPr>
  </w:style>
  <w:style w:type="character" w:customStyle="1" w:styleId="ObjetducommentaireCar">
    <w:name w:val="Objet du commentaire Car"/>
    <w:basedOn w:val="CommentaireCar"/>
    <w:link w:val="Objetducommentaire"/>
    <w:uiPriority w:val="99"/>
    <w:semiHidden/>
    <w:rsid w:val="00EA1275"/>
    <w:rPr>
      <w:b/>
      <w:bCs/>
      <w:sz w:val="20"/>
      <w:szCs w:val="20"/>
    </w:rPr>
  </w:style>
  <w:style w:type="paragraph" w:styleId="Textedebulles">
    <w:name w:val="Balloon Text"/>
    <w:basedOn w:val="Normal"/>
    <w:link w:val="TextedebullesCar"/>
    <w:uiPriority w:val="99"/>
    <w:semiHidden/>
    <w:unhideWhenUsed/>
    <w:rsid w:val="00EA12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1275"/>
    <w:rPr>
      <w:rFonts w:ascii="Segoe UI" w:hAnsi="Segoe UI" w:cs="Segoe UI"/>
      <w:sz w:val="18"/>
      <w:szCs w:val="18"/>
    </w:rPr>
  </w:style>
  <w:style w:type="character" w:customStyle="1" w:styleId="apple-converted-space">
    <w:name w:val="apple-converted-space"/>
    <w:basedOn w:val="Policepardfaut"/>
    <w:rsid w:val="006A041F"/>
  </w:style>
  <w:style w:type="character" w:customStyle="1" w:styleId="Titre3Car">
    <w:name w:val="Titre 3 Car"/>
    <w:basedOn w:val="Policepardfaut"/>
    <w:link w:val="Titre3"/>
    <w:uiPriority w:val="9"/>
    <w:semiHidden/>
    <w:rsid w:val="00243386"/>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8D6C9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ev">
    <w:name w:val="Strong"/>
    <w:basedOn w:val="Policepardfaut"/>
    <w:uiPriority w:val="22"/>
    <w:qFormat/>
    <w:rsid w:val="005930AD"/>
    <w:rPr>
      <w:b/>
      <w:bCs/>
    </w:rPr>
  </w:style>
  <w:style w:type="paragraph" w:customStyle="1" w:styleId="c02alineaalta">
    <w:name w:val="c02alineaalta"/>
    <w:basedOn w:val="Normal"/>
    <w:rsid w:val="00FB5353"/>
    <w:pPr>
      <w:spacing w:before="100" w:beforeAutospacing="1" w:after="100" w:afterAutospacing="1" w:line="240" w:lineRule="auto"/>
    </w:pPr>
    <w:rPr>
      <w:rFonts w:ascii="Times New Roman" w:hAnsi="Times New Roman" w:cs="Times New Roman"/>
      <w:sz w:val="24"/>
      <w:szCs w:val="24"/>
      <w:lang w:eastAsia="fr-BE"/>
    </w:rPr>
  </w:style>
  <w:style w:type="paragraph" w:styleId="Sansinterligne">
    <w:name w:val="No Spacing"/>
    <w:uiPriority w:val="1"/>
    <w:qFormat/>
    <w:rsid w:val="00C836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1343">
      <w:bodyDiv w:val="1"/>
      <w:marLeft w:val="0"/>
      <w:marRight w:val="0"/>
      <w:marTop w:val="0"/>
      <w:marBottom w:val="0"/>
      <w:divBdr>
        <w:top w:val="none" w:sz="0" w:space="0" w:color="auto"/>
        <w:left w:val="none" w:sz="0" w:space="0" w:color="auto"/>
        <w:bottom w:val="none" w:sz="0" w:space="0" w:color="auto"/>
        <w:right w:val="none" w:sz="0" w:space="0" w:color="auto"/>
      </w:divBdr>
    </w:div>
    <w:div w:id="175079299">
      <w:bodyDiv w:val="1"/>
      <w:marLeft w:val="0"/>
      <w:marRight w:val="0"/>
      <w:marTop w:val="0"/>
      <w:marBottom w:val="0"/>
      <w:divBdr>
        <w:top w:val="none" w:sz="0" w:space="0" w:color="auto"/>
        <w:left w:val="none" w:sz="0" w:space="0" w:color="auto"/>
        <w:bottom w:val="none" w:sz="0" w:space="0" w:color="auto"/>
        <w:right w:val="none" w:sz="0" w:space="0" w:color="auto"/>
      </w:divBdr>
    </w:div>
    <w:div w:id="418791666">
      <w:bodyDiv w:val="1"/>
      <w:marLeft w:val="0"/>
      <w:marRight w:val="0"/>
      <w:marTop w:val="0"/>
      <w:marBottom w:val="0"/>
      <w:divBdr>
        <w:top w:val="none" w:sz="0" w:space="0" w:color="auto"/>
        <w:left w:val="none" w:sz="0" w:space="0" w:color="auto"/>
        <w:bottom w:val="none" w:sz="0" w:space="0" w:color="auto"/>
        <w:right w:val="none" w:sz="0" w:space="0" w:color="auto"/>
      </w:divBdr>
    </w:div>
    <w:div w:id="629172669">
      <w:bodyDiv w:val="1"/>
      <w:marLeft w:val="0"/>
      <w:marRight w:val="0"/>
      <w:marTop w:val="0"/>
      <w:marBottom w:val="0"/>
      <w:divBdr>
        <w:top w:val="none" w:sz="0" w:space="0" w:color="auto"/>
        <w:left w:val="none" w:sz="0" w:space="0" w:color="auto"/>
        <w:bottom w:val="none" w:sz="0" w:space="0" w:color="auto"/>
        <w:right w:val="none" w:sz="0" w:space="0" w:color="auto"/>
      </w:divBdr>
    </w:div>
    <w:div w:id="697389359">
      <w:bodyDiv w:val="1"/>
      <w:marLeft w:val="0"/>
      <w:marRight w:val="0"/>
      <w:marTop w:val="0"/>
      <w:marBottom w:val="0"/>
      <w:divBdr>
        <w:top w:val="none" w:sz="0" w:space="0" w:color="auto"/>
        <w:left w:val="none" w:sz="0" w:space="0" w:color="auto"/>
        <w:bottom w:val="none" w:sz="0" w:space="0" w:color="auto"/>
        <w:right w:val="none" w:sz="0" w:space="0" w:color="auto"/>
      </w:divBdr>
    </w:div>
    <w:div w:id="805393295">
      <w:bodyDiv w:val="1"/>
      <w:marLeft w:val="0"/>
      <w:marRight w:val="0"/>
      <w:marTop w:val="0"/>
      <w:marBottom w:val="0"/>
      <w:divBdr>
        <w:top w:val="none" w:sz="0" w:space="0" w:color="auto"/>
        <w:left w:val="none" w:sz="0" w:space="0" w:color="auto"/>
        <w:bottom w:val="none" w:sz="0" w:space="0" w:color="auto"/>
        <w:right w:val="none" w:sz="0" w:space="0" w:color="auto"/>
      </w:divBdr>
    </w:div>
    <w:div w:id="875704371">
      <w:bodyDiv w:val="1"/>
      <w:marLeft w:val="0"/>
      <w:marRight w:val="0"/>
      <w:marTop w:val="0"/>
      <w:marBottom w:val="0"/>
      <w:divBdr>
        <w:top w:val="none" w:sz="0" w:space="0" w:color="auto"/>
        <w:left w:val="none" w:sz="0" w:space="0" w:color="auto"/>
        <w:bottom w:val="none" w:sz="0" w:space="0" w:color="auto"/>
        <w:right w:val="none" w:sz="0" w:space="0" w:color="auto"/>
      </w:divBdr>
    </w:div>
    <w:div w:id="1145464940">
      <w:bodyDiv w:val="1"/>
      <w:marLeft w:val="0"/>
      <w:marRight w:val="0"/>
      <w:marTop w:val="0"/>
      <w:marBottom w:val="0"/>
      <w:divBdr>
        <w:top w:val="none" w:sz="0" w:space="0" w:color="auto"/>
        <w:left w:val="none" w:sz="0" w:space="0" w:color="auto"/>
        <w:bottom w:val="none" w:sz="0" w:space="0" w:color="auto"/>
        <w:right w:val="none" w:sz="0" w:space="0" w:color="auto"/>
      </w:divBdr>
    </w:div>
    <w:div w:id="1300301312">
      <w:bodyDiv w:val="1"/>
      <w:marLeft w:val="0"/>
      <w:marRight w:val="0"/>
      <w:marTop w:val="0"/>
      <w:marBottom w:val="0"/>
      <w:divBdr>
        <w:top w:val="none" w:sz="0" w:space="0" w:color="auto"/>
        <w:left w:val="none" w:sz="0" w:space="0" w:color="auto"/>
        <w:bottom w:val="none" w:sz="0" w:space="0" w:color="auto"/>
        <w:right w:val="none" w:sz="0" w:space="0" w:color="auto"/>
      </w:divBdr>
    </w:div>
    <w:div w:id="1343387411">
      <w:bodyDiv w:val="1"/>
      <w:marLeft w:val="0"/>
      <w:marRight w:val="0"/>
      <w:marTop w:val="0"/>
      <w:marBottom w:val="0"/>
      <w:divBdr>
        <w:top w:val="none" w:sz="0" w:space="0" w:color="auto"/>
        <w:left w:val="none" w:sz="0" w:space="0" w:color="auto"/>
        <w:bottom w:val="none" w:sz="0" w:space="0" w:color="auto"/>
        <w:right w:val="none" w:sz="0" w:space="0" w:color="auto"/>
      </w:divBdr>
    </w:div>
    <w:div w:id="1489788705">
      <w:bodyDiv w:val="1"/>
      <w:marLeft w:val="0"/>
      <w:marRight w:val="0"/>
      <w:marTop w:val="0"/>
      <w:marBottom w:val="0"/>
      <w:divBdr>
        <w:top w:val="none" w:sz="0" w:space="0" w:color="auto"/>
        <w:left w:val="none" w:sz="0" w:space="0" w:color="auto"/>
        <w:bottom w:val="none" w:sz="0" w:space="0" w:color="auto"/>
        <w:right w:val="none" w:sz="0" w:space="0" w:color="auto"/>
      </w:divBdr>
    </w:div>
    <w:div w:id="1600408581">
      <w:bodyDiv w:val="1"/>
      <w:marLeft w:val="0"/>
      <w:marRight w:val="0"/>
      <w:marTop w:val="0"/>
      <w:marBottom w:val="0"/>
      <w:divBdr>
        <w:top w:val="none" w:sz="0" w:space="0" w:color="auto"/>
        <w:left w:val="none" w:sz="0" w:space="0" w:color="auto"/>
        <w:bottom w:val="none" w:sz="0" w:space="0" w:color="auto"/>
        <w:right w:val="none" w:sz="0" w:space="0" w:color="auto"/>
      </w:divBdr>
    </w:div>
    <w:div w:id="1639337630">
      <w:bodyDiv w:val="1"/>
      <w:marLeft w:val="0"/>
      <w:marRight w:val="0"/>
      <w:marTop w:val="0"/>
      <w:marBottom w:val="0"/>
      <w:divBdr>
        <w:top w:val="none" w:sz="0" w:space="0" w:color="auto"/>
        <w:left w:val="none" w:sz="0" w:space="0" w:color="auto"/>
        <w:bottom w:val="none" w:sz="0" w:space="0" w:color="auto"/>
        <w:right w:val="none" w:sz="0" w:space="0" w:color="auto"/>
      </w:divBdr>
    </w:div>
    <w:div w:id="1688630473">
      <w:bodyDiv w:val="1"/>
      <w:marLeft w:val="0"/>
      <w:marRight w:val="0"/>
      <w:marTop w:val="0"/>
      <w:marBottom w:val="0"/>
      <w:divBdr>
        <w:top w:val="none" w:sz="0" w:space="0" w:color="auto"/>
        <w:left w:val="none" w:sz="0" w:space="0" w:color="auto"/>
        <w:bottom w:val="none" w:sz="0" w:space="0" w:color="auto"/>
        <w:right w:val="none" w:sz="0" w:space="0" w:color="auto"/>
      </w:divBdr>
    </w:div>
    <w:div w:id="1758289845">
      <w:bodyDiv w:val="1"/>
      <w:marLeft w:val="0"/>
      <w:marRight w:val="0"/>
      <w:marTop w:val="0"/>
      <w:marBottom w:val="0"/>
      <w:divBdr>
        <w:top w:val="none" w:sz="0" w:space="0" w:color="auto"/>
        <w:left w:val="none" w:sz="0" w:space="0" w:color="auto"/>
        <w:bottom w:val="none" w:sz="0" w:space="0" w:color="auto"/>
        <w:right w:val="none" w:sz="0" w:space="0" w:color="auto"/>
      </w:divBdr>
    </w:div>
    <w:div w:id="1772816181">
      <w:bodyDiv w:val="1"/>
      <w:marLeft w:val="0"/>
      <w:marRight w:val="0"/>
      <w:marTop w:val="0"/>
      <w:marBottom w:val="0"/>
      <w:divBdr>
        <w:top w:val="none" w:sz="0" w:space="0" w:color="auto"/>
        <w:left w:val="none" w:sz="0" w:space="0" w:color="auto"/>
        <w:bottom w:val="none" w:sz="0" w:space="0" w:color="auto"/>
        <w:right w:val="none" w:sz="0" w:space="0" w:color="auto"/>
      </w:divBdr>
    </w:div>
    <w:div w:id="1914655890">
      <w:bodyDiv w:val="1"/>
      <w:marLeft w:val="0"/>
      <w:marRight w:val="0"/>
      <w:marTop w:val="0"/>
      <w:marBottom w:val="0"/>
      <w:divBdr>
        <w:top w:val="none" w:sz="0" w:space="0" w:color="auto"/>
        <w:left w:val="none" w:sz="0" w:space="0" w:color="auto"/>
        <w:bottom w:val="none" w:sz="0" w:space="0" w:color="auto"/>
        <w:right w:val="none" w:sz="0" w:space="0" w:color="auto"/>
      </w:divBdr>
    </w:div>
    <w:div w:id="210097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ilium.europa.eu/en/press/press-releases/2016/06/16-epsco-conclusions-lgbti-equality/" TargetMode="External"/><Relationship Id="rId18" Type="http://schemas.openxmlformats.org/officeDocument/2006/relationships/image" Target="media/image3.png"/><Relationship Id="rId26" Type="http://schemas.openxmlformats.org/officeDocument/2006/relationships/hyperlink" Target="http://ec.europa.eu/justice/newsroom/discrimination/events/160712_en.htm" TargetMode="External"/><Relationship Id="rId39" Type="http://schemas.openxmlformats.org/officeDocument/2006/relationships/hyperlink" Target="http://www.eesc.europa.eu/?i=portal.en.events-and-activities-romani-women-public-life" TargetMode="External"/><Relationship Id="rId21" Type="http://schemas.openxmlformats.org/officeDocument/2006/relationships/hyperlink" Target="http://www.equineteurope.org/Equinet-Training-Event-on-LGBTI" TargetMode="External"/><Relationship Id="rId34" Type="http://schemas.openxmlformats.org/officeDocument/2006/relationships/hyperlink" Target="http://engenderinghabitat3.genderste.eu/" TargetMode="External"/><Relationship Id="rId42" Type="http://schemas.openxmlformats.org/officeDocument/2006/relationships/hyperlink" Target="http://www.ilga-europe.org/resources/news/latest-news/statement-inclusion-lgbti-issues-new-cycle-eea-and-norway-grants" TargetMode="External"/><Relationship Id="rId47" Type="http://schemas.openxmlformats.org/officeDocument/2006/relationships/hyperlink" Target="http://www.europarl.europa.eu/sides/getDoc.do?pubRef=-//EP//TEXT+TA+P8-TA-2016-0318+0+DOC+XML+V0//EN" TargetMode="External"/><Relationship Id="rId50" Type="http://schemas.openxmlformats.org/officeDocument/2006/relationships/hyperlink" Target="http://www.edf-feph.org/Page_Generale.asp?DocID=13855&amp;thebloc=34470" TargetMode="External"/><Relationship Id="rId55" Type="http://schemas.openxmlformats.org/officeDocument/2006/relationships/hyperlink" Target="https://www.eurofound.europa.eu/publications/report/2016/working-conditions-labour-market/sustainable-work-throughout-the-life-course-national-policies-and-strategies" TargetMode="External"/><Relationship Id="rId63" Type="http://schemas.openxmlformats.org/officeDocument/2006/relationships/hyperlink" Target="https://www.eurofound.europa.eu/publications/report/2016/labour-market-social-policies/exploring-the-diversity-of-neets"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c.europa.eu/justice/discrimination/files/shareyourdream_toolkit_en.pdf" TargetMode="External"/><Relationship Id="rId29" Type="http://schemas.openxmlformats.org/officeDocument/2006/relationships/hyperlink" Target="https://eyf2014.wordpress.com/2016/09/13/yes-wlb-re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justice/discrimination/orientation/awareness-raising/index_en.htm" TargetMode="External"/><Relationship Id="rId24" Type="http://schemas.openxmlformats.org/officeDocument/2006/relationships/hyperlink" Target="http://ec.europa.eu/social/main.jsp?langId=en&amp;catId=699&amp;consultId=22&amp;visib=0&amp;furtherConsult=yes" TargetMode="External"/><Relationship Id="rId32" Type="http://schemas.openxmlformats.org/officeDocument/2006/relationships/hyperlink" Target="http://ec.europa.eu/justice/newsroom/contracts/2016_224622_en.htm" TargetMode="External"/><Relationship Id="rId37" Type="http://schemas.openxmlformats.org/officeDocument/2006/relationships/hyperlink" Target="http://ec.europa.eu/dgs/home-affairs/what-is-new/news/news/2016/20160802_2_en.htm" TargetMode="External"/><Relationship Id="rId40" Type="http://schemas.openxmlformats.org/officeDocument/2006/relationships/hyperlink" Target="http://www.ilga-europe.org/" TargetMode="External"/><Relationship Id="rId45" Type="http://schemas.openxmlformats.org/officeDocument/2006/relationships/hyperlink" Target="https://documents-dds-ny.un.org/doc/UNDOC/GEN/G15/226/55/PDF/G1522655.pdf?OpenElement" TargetMode="External"/><Relationship Id="rId53" Type="http://schemas.openxmlformats.org/officeDocument/2006/relationships/hyperlink" Target="http://www.unworldyouthreport.org/images/docs/un_world_youth_report_youth_civic_engagement.pdf" TargetMode="External"/><Relationship Id="rId58" Type="http://schemas.openxmlformats.org/officeDocument/2006/relationships/hyperlink" Target="https://www.iom.int/" TargetMode="External"/><Relationship Id="rId66" Type="http://schemas.openxmlformats.org/officeDocument/2006/relationships/hyperlink" Target="http://curia.europa.eu/juris/document/document.jsf?text=2000%252F78&amp;docid=182298&amp;pageIndex=0&amp;doclang=EN&amp;mode=req&amp;dir=&amp;occ=first&amp;part=1&amp;cid=543102" TargetMode="External"/><Relationship Id="rId5" Type="http://schemas.openxmlformats.org/officeDocument/2006/relationships/webSettings" Target="webSettings.xml"/><Relationship Id="rId15" Type="http://schemas.openxmlformats.org/officeDocument/2006/relationships/hyperlink" Target="http://ec.europa.eu/justice/discrimination/files/shareyourdream_factsheet_en.pdf" TargetMode="External"/><Relationship Id="rId23" Type="http://schemas.openxmlformats.org/officeDocument/2006/relationships/hyperlink" Target="http://ec.europa.eu/justice/fundamental-rights/files/fra_ma_fw_en.pdf" TargetMode="External"/><Relationship Id="rId28" Type="http://schemas.openxmlformats.org/officeDocument/2006/relationships/hyperlink" Target="http://ec.europa.eu/justice/newsroom/gender-equality/news/160714_en.htm" TargetMode="External"/><Relationship Id="rId36" Type="http://schemas.openxmlformats.org/officeDocument/2006/relationships/hyperlink" Target="http://ec.europa.eu/social/main.jsp?catId=738&amp;langId=en&amp;pubId=7904&amp;type=2&amp;furtherPubs=yes" TargetMode="External"/><Relationship Id="rId49" Type="http://schemas.openxmlformats.org/officeDocument/2006/relationships/hyperlink" Target="https://www.dropbox.com/s/88lg96uknfgy8ps/2015%2003%2004%20EDF%20Alternative%20report%20final%20ACCESSIBLE.pdf?dl=0" TargetMode="External"/><Relationship Id="rId57" Type="http://schemas.openxmlformats.org/officeDocument/2006/relationships/hyperlink" Target="http://www.age-platform.eu/age-news/age-invites-you-its-4th-annual-conference-18-november-2016" TargetMode="External"/><Relationship Id="rId61" Type="http://schemas.openxmlformats.org/officeDocument/2006/relationships/hyperlink" Target="http://frontex.europa.eu/assets/Publications/Risk_Analysis/FRAN_Q1_2016.pdf" TargetMode="External"/><Relationship Id="rId10" Type="http://schemas.openxmlformats.org/officeDocument/2006/relationships/image" Target="media/image2.png"/><Relationship Id="rId19" Type="http://schemas.openxmlformats.org/officeDocument/2006/relationships/hyperlink" Target="mailto:sarah.cookeodowd@equineteurope.org" TargetMode="External"/><Relationship Id="rId31" Type="http://schemas.openxmlformats.org/officeDocument/2006/relationships/hyperlink" Target="http://www.equineteurope.org/Equinet-EHRC-Roundtable-on-The-Parenthood-Penalty" TargetMode="External"/><Relationship Id="rId44" Type="http://schemas.openxmlformats.org/officeDocument/2006/relationships/hyperlink" Target="http://tgeu.org/recommendations-from-ecri/" TargetMode="External"/><Relationship Id="rId52" Type="http://schemas.openxmlformats.org/officeDocument/2006/relationships/image" Target="media/image4.png"/><Relationship Id="rId60" Type="http://schemas.openxmlformats.org/officeDocument/2006/relationships/hyperlink" Target="https://www.eurofound.europa.eu/events/working-conditions-labour-market-quality-of-life-social-policies/eu-labour-market-integration-of-asylum-seekers-and-refugees-eurofound-national-cluster-seminar" TargetMode="External"/><Relationship Id="rId65" Type="http://schemas.openxmlformats.org/officeDocument/2006/relationships/hyperlink" Target="http://www.ejiltalk.org/headscarves-and-the-court-of-justice-of-the-european-union-two-opposing-opinions/" TargetMode="External"/><Relationship Id="rId4" Type="http://schemas.openxmlformats.org/officeDocument/2006/relationships/settings" Target="settings.xml"/><Relationship Id="rId9" Type="http://schemas.openxmlformats.org/officeDocument/2006/relationships/hyperlink" Target="mailto:Jessica.machacova@equineteurope.org" TargetMode="External"/><Relationship Id="rId14" Type="http://schemas.openxmlformats.org/officeDocument/2006/relationships/hyperlink" Target="https://www.europride.com/en/amsterdam-2016/" TargetMode="External"/><Relationship Id="rId22" Type="http://schemas.openxmlformats.org/officeDocument/2006/relationships/hyperlink" Target="http://www.eesc.europa.eu/resources/docs/eesc_contribution-to-ec--2017-workprogramme_en.pdf" TargetMode="External"/><Relationship Id="rId27" Type="http://schemas.openxmlformats.org/officeDocument/2006/relationships/hyperlink" Target="https://www.eurofound.europa.eu/publications/report/2016/industrial-relations/new-topics-new-tools-and-innovative-practices-adopted-by-the-social-partners" TargetMode="External"/><Relationship Id="rId30" Type="http://schemas.openxmlformats.org/officeDocument/2006/relationships/hyperlink" Target="http://www.equineteurope.org/Equality-Bodies-promoting-a-better" TargetMode="External"/><Relationship Id="rId35" Type="http://schemas.openxmlformats.org/officeDocument/2006/relationships/hyperlink" Target="http://www.womenlobby.org/Movements-Borders-Rights-Feminist-perspectives-on-global-issues-in-Europe" TargetMode="External"/><Relationship Id="rId43" Type="http://schemas.openxmlformats.org/officeDocument/2006/relationships/hyperlink" Target="http://www.ilga-europe.org/allies-action-small-fund-open-proposals-September-2016" TargetMode="External"/><Relationship Id="rId48" Type="http://schemas.openxmlformats.org/officeDocument/2006/relationships/hyperlink" Target="http://cms.horus.be/files/99909/MediaArchive/EDF's%20initial%20response%20of%20the%20European%20Pillar%20of%20Social%20Rights%20-%20final.pdf" TargetMode="External"/><Relationship Id="rId56" Type="http://schemas.openxmlformats.org/officeDocument/2006/relationships/hyperlink" Target="https://www.eurofound.europa.eu/sites/default/files/ef_event/field_ef_documents/workplace_innovation_-_sustainable_work_draft_porgramme_joint_event_eesc_eurofound_nottingham_univ_and_workplace_innovation_29_september_2016_brussels_2.pdf/" TargetMode="External"/><Relationship Id="rId64" Type="http://schemas.openxmlformats.org/officeDocument/2006/relationships/hyperlink" Target="http://curia.europa.eu/juris/document/document.jsf?text=&amp;docid=181584&amp;pageIndex=0&amp;doclang=EN&amp;mode=lst&amp;dir"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youthforum.org/assets/2016/07/Statement_Youth_Guarantee.pdf" TargetMode="External"/><Relationship Id="rId3" Type="http://schemas.openxmlformats.org/officeDocument/2006/relationships/styles" Target="styles.xml"/><Relationship Id="rId12" Type="http://schemas.openxmlformats.org/officeDocument/2006/relationships/hyperlink" Target="http://ec.europa.eu/justice/discrimination/files/lgbti_actionlist_en.pdf" TargetMode="External"/><Relationship Id="rId17" Type="http://schemas.openxmlformats.org/officeDocument/2006/relationships/hyperlink" Target="http://ec.europa.eu/justice/discrimination/orientation/awareness-raising/index_en.htm" TargetMode="External"/><Relationship Id="rId25" Type="http://schemas.openxmlformats.org/officeDocument/2006/relationships/hyperlink" Target="http://ec.europa.eu/justice/newsroom/fundamental-rights/events/161117_en.htm" TargetMode="External"/><Relationship Id="rId33" Type="http://schemas.openxmlformats.org/officeDocument/2006/relationships/hyperlink" Target="http://ec.europa.eu/justice/grants1/open-calls/index-pp_en.htm" TargetMode="External"/><Relationship Id="rId38" Type="http://schemas.openxmlformats.org/officeDocument/2006/relationships/hyperlink" Target="http://www.eesc.europa.eu/?i=portal.en.events-and-activities-romani-women-public-life" TargetMode="External"/><Relationship Id="rId46" Type="http://schemas.openxmlformats.org/officeDocument/2006/relationships/hyperlink" Target="http://www.europarl.europa.eu/sides/getDoc.do?pubRef=-//EP//TEXT+REPORT+A8-2016-0203+0+DOC+XML+V0//EN" TargetMode="External"/><Relationship Id="rId59" Type="http://schemas.openxmlformats.org/officeDocument/2006/relationships/hyperlink" Target="http://eea.iom.int/images/Download/Slovakia_Presidency_Recommendations.pdf" TargetMode="External"/><Relationship Id="rId67" Type="http://schemas.openxmlformats.org/officeDocument/2006/relationships/footer" Target="footer1.xml"/><Relationship Id="rId20" Type="http://schemas.openxmlformats.org/officeDocument/2006/relationships/hyperlink" Target="http://www.equineteurope.org/IMG/pdf/lgbti_perspective_english_.pdf" TargetMode="External"/><Relationship Id="rId41" Type="http://schemas.openxmlformats.org/officeDocument/2006/relationships/hyperlink" Target="http://nhc.no/en/" TargetMode="External"/><Relationship Id="rId54" Type="http://schemas.openxmlformats.org/officeDocument/2006/relationships/hyperlink" Target="https://www.eurofound.europa.eu/publications/report/2016/labour-market-social-policies/exploring-the-diversity-of-neets" TargetMode="External"/><Relationship Id="rId62" Type="http://schemas.openxmlformats.org/officeDocument/2006/relationships/hyperlink" Target="http://ec.europa.eu/social/main.jsp?catId=738&amp;langId=en&amp;pubId=7905&amp;type=2&amp;furtherPubs=y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9EC7F-9235-44D0-9D68-FDAB43573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9</Pages>
  <Words>3432</Words>
  <Characters>18880</Characters>
  <Application>Microsoft Office Word</Application>
  <DocSecurity>0</DocSecurity>
  <Lines>157</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56</cp:revision>
  <cp:lastPrinted>2016-09-15T08:37:00Z</cp:lastPrinted>
  <dcterms:created xsi:type="dcterms:W3CDTF">2015-06-12T12:43:00Z</dcterms:created>
  <dcterms:modified xsi:type="dcterms:W3CDTF">2016-09-15T08:38:00Z</dcterms:modified>
</cp:coreProperties>
</file>