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20796" w14:textId="65FF5949" w:rsidR="001407CF" w:rsidRDefault="001407CF" w:rsidP="00CE7D4C">
      <w:pPr>
        <w:spacing w:line="240" w:lineRule="auto"/>
        <w:jc w:val="both"/>
        <w:rPr>
          <w:b/>
          <w:lang w:val="en-GB"/>
        </w:rPr>
      </w:pPr>
      <w:r>
        <w:rPr>
          <w:b/>
          <w:noProof/>
          <w:lang w:eastAsia="fr-BE"/>
        </w:rPr>
        <w:drawing>
          <wp:anchor distT="0" distB="0" distL="114300" distR="114300" simplePos="0" relativeHeight="251659264" behindDoc="0" locked="0" layoutInCell="1" allowOverlap="1" wp14:anchorId="02094B95" wp14:editId="4F97E1D0">
            <wp:simplePos x="0" y="0"/>
            <wp:positionH relativeFrom="margin">
              <wp:posOffset>-695325</wp:posOffset>
            </wp:positionH>
            <wp:positionV relativeFrom="margin">
              <wp:posOffset>-914400</wp:posOffset>
            </wp:positionV>
            <wp:extent cx="7562850" cy="21202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212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26731" w14:textId="63F5B808" w:rsidR="00CF7284" w:rsidRPr="001407CF" w:rsidRDefault="00F31126" w:rsidP="00CE7D4C">
      <w:pPr>
        <w:spacing w:line="240" w:lineRule="auto"/>
        <w:jc w:val="both"/>
        <w:rPr>
          <w:b/>
          <w:lang w:val="en-GB"/>
        </w:rPr>
      </w:pPr>
      <w:r w:rsidRPr="001A3BA9">
        <w:rPr>
          <w:b/>
          <w:lang w:val="en-GB"/>
        </w:rPr>
        <w:t xml:space="preserve">Dear Equinet Members, </w:t>
      </w:r>
      <w:r w:rsidRPr="001A3BA9">
        <w:rPr>
          <w:b/>
          <w:lang w:val="en-GB"/>
        </w:rPr>
        <w:tab/>
      </w:r>
      <w:r w:rsidR="001407CF">
        <w:rPr>
          <w:b/>
          <w:lang w:val="en-GB"/>
        </w:rPr>
        <w:br/>
      </w:r>
      <w:r w:rsidRPr="001A3BA9">
        <w:rPr>
          <w:b/>
          <w:lang w:val="en-GB"/>
        </w:rPr>
        <w:br/>
      </w:r>
      <w:r w:rsidRPr="001A3BA9">
        <w:rPr>
          <w:lang w:val="en-GB"/>
        </w:rPr>
        <w:t xml:space="preserve">This Members’ Bulletin gathers </w:t>
      </w:r>
      <w:r w:rsidRPr="001A3BA9">
        <w:rPr>
          <w:b/>
          <w:lang w:val="en-GB"/>
        </w:rPr>
        <w:t>the latest European Union (EU) and international developments</w:t>
      </w:r>
      <w:r w:rsidRPr="001A3BA9">
        <w:rPr>
          <w:lang w:val="en-GB"/>
        </w:rPr>
        <w:t xml:space="preserve">. It aims to give you an </w:t>
      </w:r>
      <w:r w:rsidRPr="001A3BA9">
        <w:rPr>
          <w:b/>
          <w:lang w:val="en-GB"/>
        </w:rPr>
        <w:t>overview of relevant policy and legal developments</w:t>
      </w:r>
      <w:r w:rsidRPr="001A3BA9">
        <w:rPr>
          <w:lang w:val="en-GB"/>
        </w:rPr>
        <w:t xml:space="preserve">, as well as latest calls for interest, funding opportunities and upcoming events. We very much hope this members’ bulletin will be useful in your day-to-day work and we would be grateful if you could </w:t>
      </w:r>
      <w:r w:rsidRPr="001A3BA9">
        <w:rPr>
          <w:b/>
          <w:lang w:val="en-GB"/>
        </w:rPr>
        <w:t>disseminate it among your colleagues</w:t>
      </w:r>
      <w:r w:rsidRPr="001A3BA9">
        <w:rPr>
          <w:lang w:val="en-GB"/>
        </w:rPr>
        <w:t xml:space="preserve">. Your feedback is also greatly appreciated. Should you have any comments or further questions, </w:t>
      </w:r>
      <w:r w:rsidRPr="001A3BA9">
        <w:rPr>
          <w:b/>
          <w:lang w:val="en-GB"/>
        </w:rPr>
        <w:t>please do not hesitate to contact Jessica Machacova, Equinet Project Officer</w:t>
      </w:r>
      <w:r w:rsidRPr="001A3BA9">
        <w:rPr>
          <w:lang w:val="en-GB"/>
        </w:rPr>
        <w:t xml:space="preserve"> (</w:t>
      </w:r>
      <w:hyperlink r:id="rId9" w:history="1">
        <w:r w:rsidRPr="001A3BA9">
          <w:rPr>
            <w:rStyle w:val="Hyperlink"/>
            <w:lang w:val="en-GB"/>
          </w:rPr>
          <w:t>Jessica.machacova@equineteurope.org</w:t>
        </w:r>
      </w:hyperlink>
      <w:r w:rsidRPr="001A3BA9">
        <w:rPr>
          <w:lang w:val="en-GB"/>
        </w:rPr>
        <w:t xml:space="preserve"> / 0032 2 212 31 80). </w:t>
      </w:r>
    </w:p>
    <w:p w14:paraId="4E1D63FE" w14:textId="2A3333B6" w:rsidR="002C3BF0" w:rsidRPr="001A3BA9" w:rsidRDefault="002C3BF0" w:rsidP="00CE7D4C">
      <w:pPr>
        <w:shd w:val="clear" w:color="auto" w:fill="D9D9D9" w:themeFill="background1" w:themeFillShade="D9"/>
        <w:spacing w:line="240" w:lineRule="auto"/>
        <w:jc w:val="center"/>
        <w:rPr>
          <w:b/>
          <w:sz w:val="28"/>
          <w:lang w:val="en-GB"/>
        </w:rPr>
      </w:pPr>
      <w:r w:rsidRPr="001A3BA9">
        <w:rPr>
          <w:b/>
          <w:sz w:val="28"/>
          <w:lang w:val="en-GB"/>
        </w:rPr>
        <w:t>Equinet Members’ Bulletin on latest EU and i</w:t>
      </w:r>
      <w:r w:rsidR="004F608B">
        <w:rPr>
          <w:b/>
          <w:sz w:val="28"/>
          <w:lang w:val="en-GB"/>
        </w:rPr>
        <w:t xml:space="preserve">nternal developments – Table of </w:t>
      </w:r>
      <w:r w:rsidRPr="001A3BA9">
        <w:rPr>
          <w:b/>
          <w:sz w:val="28"/>
          <w:lang w:val="en-GB"/>
        </w:rPr>
        <w:t>contents</w:t>
      </w:r>
    </w:p>
    <w:p w14:paraId="5891F305" w14:textId="77777777" w:rsidR="002C3BF0" w:rsidRPr="001A3BA9" w:rsidRDefault="002C3BF0" w:rsidP="00CE7D4C">
      <w:pPr>
        <w:spacing w:line="240" w:lineRule="auto"/>
        <w:jc w:val="both"/>
        <w:rPr>
          <w:b/>
          <w:i/>
          <w:color w:val="FF0000"/>
          <w:lang w:val="en-GB"/>
        </w:rPr>
      </w:pPr>
      <w:r w:rsidRPr="001A3BA9">
        <w:rPr>
          <w:b/>
          <w:i/>
          <w:color w:val="FF0000"/>
          <w:lang w:val="en-GB"/>
        </w:rPr>
        <w:t>(Ctrl + Click to follow the link)</w:t>
      </w:r>
    </w:p>
    <w:bookmarkStart w:id="0" w:name="_Toc418770742"/>
    <w:bookmarkStart w:id="1" w:name="_Ref418783893"/>
    <w:bookmarkStart w:id="2" w:name="_Ref418783894"/>
    <w:bookmarkStart w:id="3" w:name="_Ref421267367"/>
    <w:p w14:paraId="77B3E3E9" w14:textId="79B28B05" w:rsidR="00A3740D" w:rsidRPr="00EE5BC9" w:rsidRDefault="00EE5BC9" w:rsidP="00CE7D4C">
      <w:pPr>
        <w:spacing w:line="240" w:lineRule="auto"/>
        <w:jc w:val="both"/>
        <w:rPr>
          <w:b/>
          <w:u w:val="single"/>
          <w:lang w:val="en-GB"/>
        </w:rPr>
      </w:pPr>
      <w:r w:rsidRPr="00EE5BC9">
        <w:rPr>
          <w:b/>
          <w:u w:val="single"/>
          <w:lang w:val="en-GB"/>
        </w:rPr>
        <w:fldChar w:fldCharType="begin"/>
      </w:r>
      <w:r w:rsidRPr="00EE5BC9">
        <w:rPr>
          <w:b/>
          <w:u w:val="single"/>
          <w:lang w:val="en-GB"/>
        </w:rPr>
        <w:instrText xml:space="preserve"> REF _Ref450122395 \h  \* MERGEFORMAT </w:instrText>
      </w:r>
      <w:r w:rsidRPr="00EE5BC9">
        <w:rPr>
          <w:b/>
          <w:u w:val="single"/>
          <w:lang w:val="en-GB"/>
        </w:rPr>
      </w:r>
      <w:r w:rsidRPr="00EE5BC9">
        <w:rPr>
          <w:b/>
          <w:u w:val="single"/>
          <w:lang w:val="en-GB"/>
        </w:rPr>
        <w:fldChar w:fldCharType="separate"/>
      </w:r>
      <w:r w:rsidRPr="00EE5BC9">
        <w:rPr>
          <w:b/>
          <w:lang w:val="en-GB"/>
        </w:rPr>
        <w:t>Highlight:</w:t>
      </w:r>
      <w:r w:rsidRPr="00EE5BC9">
        <w:rPr>
          <w:b/>
          <w:color w:val="0070C0"/>
          <w:lang w:val="en-GB"/>
        </w:rPr>
        <w:t xml:space="preserve"> </w:t>
      </w:r>
      <w:r w:rsidRPr="00EE5BC9">
        <w:rPr>
          <w:b/>
          <w:color w:val="0070C0"/>
          <w:u w:val="single"/>
          <w:lang w:val="en-GB"/>
        </w:rPr>
        <w:t>Europe celebrates the Day of Solidarity between Generations</w:t>
      </w:r>
      <w:r w:rsidRPr="00EE5BC9">
        <w:rPr>
          <w:b/>
          <w:u w:val="single"/>
          <w:lang w:val="en-GB"/>
        </w:rPr>
        <w:fldChar w:fldCharType="end"/>
      </w:r>
    </w:p>
    <w:p w14:paraId="4B3B67FE" w14:textId="5C1AD52D" w:rsidR="00A3740D" w:rsidRPr="001A3BA9" w:rsidRDefault="00854589" w:rsidP="00CE7D4C">
      <w:pPr>
        <w:pStyle w:val="NoSpacing"/>
        <w:jc w:val="both"/>
        <w:rPr>
          <w:b/>
          <w:lang w:val="en-GB"/>
        </w:rPr>
      </w:pPr>
      <w:hyperlink w:anchor="_General_information" w:history="1">
        <w:r w:rsidR="00A3740D" w:rsidRPr="001A3BA9">
          <w:rPr>
            <w:rStyle w:val="Hyperlink"/>
            <w:b/>
            <w:lang w:val="en-GB"/>
          </w:rPr>
          <w:t>General Information</w:t>
        </w:r>
      </w:hyperlink>
    </w:p>
    <w:p w14:paraId="559FC724" w14:textId="633D0FE4" w:rsidR="00A3740D" w:rsidRDefault="00A3740D" w:rsidP="00CE7D4C">
      <w:pPr>
        <w:pStyle w:val="NoSpacing"/>
        <w:numPr>
          <w:ilvl w:val="0"/>
          <w:numId w:val="13"/>
        </w:numPr>
        <w:jc w:val="both"/>
        <w:rPr>
          <w:lang w:val="en-GB"/>
        </w:rPr>
      </w:pPr>
      <w:r w:rsidRPr="001A3BA9">
        <w:rPr>
          <w:lang w:val="en-GB"/>
        </w:rPr>
        <w:t>Publications, funding opportunities and events</w:t>
      </w:r>
    </w:p>
    <w:p w14:paraId="36B453B5" w14:textId="77777777" w:rsidR="004F608B" w:rsidRDefault="004F608B" w:rsidP="00CE7D4C">
      <w:pPr>
        <w:pStyle w:val="NoSpacing"/>
        <w:ind w:left="720"/>
        <w:jc w:val="both"/>
        <w:rPr>
          <w:lang w:val="en-GB"/>
        </w:rPr>
      </w:pPr>
    </w:p>
    <w:p w14:paraId="4F037B7F" w14:textId="49168C90" w:rsidR="004D52AF" w:rsidRDefault="00854589" w:rsidP="00CE7D4C">
      <w:pPr>
        <w:pStyle w:val="NoSpacing"/>
        <w:jc w:val="both"/>
        <w:rPr>
          <w:b/>
          <w:lang w:val="en-GB"/>
        </w:rPr>
      </w:pPr>
      <w:hyperlink w:anchor="_Gender_Equality" w:history="1">
        <w:r w:rsidR="004D52AF" w:rsidRPr="004D52AF">
          <w:rPr>
            <w:rStyle w:val="Hyperlink"/>
            <w:b/>
            <w:lang w:val="en-GB"/>
          </w:rPr>
          <w:t>Gender Equality</w:t>
        </w:r>
      </w:hyperlink>
    </w:p>
    <w:p w14:paraId="5895BF0D" w14:textId="7018BB75" w:rsidR="004D52AF" w:rsidRDefault="004D52AF" w:rsidP="00CE7D4C">
      <w:pPr>
        <w:pStyle w:val="NoSpacing"/>
        <w:numPr>
          <w:ilvl w:val="0"/>
          <w:numId w:val="14"/>
        </w:numPr>
        <w:jc w:val="both"/>
        <w:rPr>
          <w:lang w:val="en-GB"/>
        </w:rPr>
      </w:pPr>
      <w:r w:rsidRPr="001A3BA9">
        <w:rPr>
          <w:lang w:val="en-GB"/>
        </w:rPr>
        <w:t>Publications, funding opportunities and events</w:t>
      </w:r>
    </w:p>
    <w:p w14:paraId="4B47E8EC" w14:textId="77777777" w:rsidR="004F608B" w:rsidRPr="004D52AF" w:rsidRDefault="004F608B" w:rsidP="00CE7D4C">
      <w:pPr>
        <w:pStyle w:val="NoSpacing"/>
        <w:ind w:left="720"/>
        <w:jc w:val="both"/>
        <w:rPr>
          <w:lang w:val="en-GB"/>
        </w:rPr>
      </w:pPr>
    </w:p>
    <w:p w14:paraId="0CB80D8D" w14:textId="361A3748" w:rsidR="00A3740D" w:rsidRPr="00901387" w:rsidRDefault="00901387" w:rsidP="00CE7D4C">
      <w:pPr>
        <w:pStyle w:val="NoSpacing"/>
        <w:jc w:val="both"/>
        <w:rPr>
          <w:rStyle w:val="Hyperlink"/>
          <w:b/>
          <w:lang w:val="en-GB"/>
        </w:rPr>
      </w:pPr>
      <w:r>
        <w:rPr>
          <w:lang w:val="en-GB"/>
        </w:rPr>
        <w:fldChar w:fldCharType="begin"/>
      </w:r>
      <w:r>
        <w:rPr>
          <w:lang w:val="en-GB"/>
        </w:rPr>
        <w:instrText xml:space="preserve"> HYPERLINK  \l "_Race/ethnic_origin" </w:instrText>
      </w:r>
      <w:r>
        <w:rPr>
          <w:lang w:val="en-GB"/>
        </w:rPr>
        <w:fldChar w:fldCharType="separate"/>
      </w:r>
      <w:r w:rsidR="00A3740D" w:rsidRPr="00901387">
        <w:rPr>
          <w:rStyle w:val="Hyperlink"/>
          <w:b/>
          <w:lang w:val="en-GB"/>
        </w:rPr>
        <w:t>Race/ethnic origin</w:t>
      </w:r>
    </w:p>
    <w:p w14:paraId="093C44F3" w14:textId="0C4011E5" w:rsidR="00D45B2F" w:rsidRPr="00E86A7A" w:rsidRDefault="00901387" w:rsidP="00CE7D4C">
      <w:pPr>
        <w:pStyle w:val="NoSpacing"/>
        <w:numPr>
          <w:ilvl w:val="0"/>
          <w:numId w:val="15"/>
        </w:numPr>
        <w:jc w:val="both"/>
        <w:rPr>
          <w:lang w:val="en-GB"/>
        </w:rPr>
      </w:pPr>
      <w:r>
        <w:rPr>
          <w:lang w:val="en-GB"/>
        </w:rPr>
        <w:fldChar w:fldCharType="end"/>
      </w:r>
      <w:r w:rsidR="00D45B2F" w:rsidRPr="001A3BA9">
        <w:rPr>
          <w:lang w:val="en-GB"/>
        </w:rPr>
        <w:t>Policy developments</w:t>
      </w:r>
    </w:p>
    <w:p w14:paraId="65EB3218" w14:textId="682DC9BC" w:rsidR="00A3740D" w:rsidRDefault="00A3740D" w:rsidP="00CE7D4C">
      <w:pPr>
        <w:pStyle w:val="NoSpacing"/>
        <w:numPr>
          <w:ilvl w:val="0"/>
          <w:numId w:val="15"/>
        </w:numPr>
        <w:jc w:val="both"/>
        <w:rPr>
          <w:lang w:val="en-GB"/>
        </w:rPr>
      </w:pPr>
      <w:r w:rsidRPr="001A3BA9">
        <w:rPr>
          <w:lang w:val="en-GB"/>
        </w:rPr>
        <w:t>Publications, funding opportunities and events</w:t>
      </w:r>
    </w:p>
    <w:p w14:paraId="2CA70C86" w14:textId="77777777" w:rsidR="004F608B" w:rsidRPr="001A3BA9" w:rsidRDefault="004F608B" w:rsidP="00CE7D4C">
      <w:pPr>
        <w:pStyle w:val="NoSpacing"/>
        <w:jc w:val="both"/>
        <w:rPr>
          <w:lang w:val="en-GB"/>
        </w:rPr>
      </w:pPr>
    </w:p>
    <w:p w14:paraId="58CCC96C" w14:textId="44F80E67" w:rsidR="00A3740D" w:rsidRPr="001A3BA9" w:rsidRDefault="00854589" w:rsidP="00CE7D4C">
      <w:pPr>
        <w:pStyle w:val="NoSpacing"/>
        <w:jc w:val="both"/>
        <w:rPr>
          <w:b/>
          <w:lang w:val="en-GB"/>
        </w:rPr>
      </w:pPr>
      <w:hyperlink w:anchor="_Sexual_Orientation_and" w:history="1">
        <w:r w:rsidR="00A3740D" w:rsidRPr="001A3BA9">
          <w:rPr>
            <w:rStyle w:val="Hyperlink"/>
            <w:b/>
            <w:lang w:val="en-GB"/>
          </w:rPr>
          <w:t>Sexual orientation and gender identity</w:t>
        </w:r>
      </w:hyperlink>
    </w:p>
    <w:p w14:paraId="10FB36FE" w14:textId="4CBADAD8" w:rsidR="00D45B2F" w:rsidRPr="00E86A7A" w:rsidRDefault="00D45B2F" w:rsidP="00CE7D4C">
      <w:pPr>
        <w:pStyle w:val="NoSpacing"/>
        <w:numPr>
          <w:ilvl w:val="0"/>
          <w:numId w:val="15"/>
        </w:numPr>
        <w:jc w:val="both"/>
        <w:rPr>
          <w:lang w:val="en-GB"/>
        </w:rPr>
      </w:pPr>
      <w:r w:rsidRPr="001A3BA9">
        <w:rPr>
          <w:lang w:val="en-GB"/>
        </w:rPr>
        <w:t>Policy developments</w:t>
      </w:r>
    </w:p>
    <w:p w14:paraId="4358144B" w14:textId="7C38E915" w:rsidR="00A3740D" w:rsidRDefault="00A3740D" w:rsidP="00CE7D4C">
      <w:pPr>
        <w:pStyle w:val="NoSpacing"/>
        <w:numPr>
          <w:ilvl w:val="0"/>
          <w:numId w:val="15"/>
        </w:numPr>
        <w:jc w:val="both"/>
        <w:rPr>
          <w:lang w:val="en-GB"/>
        </w:rPr>
      </w:pPr>
      <w:r w:rsidRPr="001A3BA9">
        <w:rPr>
          <w:lang w:val="en-GB"/>
        </w:rPr>
        <w:t>Publications, funding opportunities and events</w:t>
      </w:r>
    </w:p>
    <w:p w14:paraId="73B3E6CC" w14:textId="77777777" w:rsidR="004F608B" w:rsidRPr="001A3BA9" w:rsidRDefault="004F608B" w:rsidP="00CE7D4C">
      <w:pPr>
        <w:pStyle w:val="NoSpacing"/>
        <w:ind w:left="720"/>
        <w:jc w:val="both"/>
        <w:rPr>
          <w:lang w:val="en-GB"/>
        </w:rPr>
      </w:pPr>
    </w:p>
    <w:p w14:paraId="7B4D58A9" w14:textId="5573A9A0" w:rsidR="00A3740D" w:rsidRPr="001A3BA9" w:rsidRDefault="00854589" w:rsidP="00CE7D4C">
      <w:pPr>
        <w:pStyle w:val="NoSpacing"/>
        <w:jc w:val="both"/>
        <w:rPr>
          <w:b/>
          <w:lang w:val="en-GB"/>
        </w:rPr>
      </w:pPr>
      <w:hyperlink w:anchor="_Disability" w:history="1">
        <w:r w:rsidR="00A3740D" w:rsidRPr="001A3BA9">
          <w:rPr>
            <w:rStyle w:val="Hyperlink"/>
            <w:b/>
            <w:lang w:val="en-GB"/>
          </w:rPr>
          <w:t>Disability</w:t>
        </w:r>
      </w:hyperlink>
    </w:p>
    <w:p w14:paraId="376A6E81" w14:textId="766CDA65" w:rsidR="00D45B2F" w:rsidRPr="00E86A7A" w:rsidRDefault="00D45B2F" w:rsidP="00CE7D4C">
      <w:pPr>
        <w:pStyle w:val="NoSpacing"/>
        <w:numPr>
          <w:ilvl w:val="0"/>
          <w:numId w:val="15"/>
        </w:numPr>
        <w:jc w:val="both"/>
        <w:rPr>
          <w:lang w:val="en-GB"/>
        </w:rPr>
      </w:pPr>
      <w:r w:rsidRPr="001A3BA9">
        <w:rPr>
          <w:lang w:val="en-GB"/>
        </w:rPr>
        <w:t>Policy developments</w:t>
      </w:r>
    </w:p>
    <w:p w14:paraId="2E6C7CED" w14:textId="79F98723" w:rsidR="00DE3EC3" w:rsidRDefault="00DE3EC3" w:rsidP="00CE7D4C">
      <w:pPr>
        <w:pStyle w:val="NoSpacing"/>
        <w:numPr>
          <w:ilvl w:val="0"/>
          <w:numId w:val="15"/>
        </w:numPr>
        <w:jc w:val="both"/>
        <w:rPr>
          <w:lang w:val="en-GB"/>
        </w:rPr>
      </w:pPr>
      <w:r w:rsidRPr="001A3BA9">
        <w:rPr>
          <w:lang w:val="en-GB"/>
        </w:rPr>
        <w:t>Publications, funding opportunities and events</w:t>
      </w:r>
    </w:p>
    <w:p w14:paraId="44E71F15" w14:textId="77777777" w:rsidR="004F608B" w:rsidRPr="001A3BA9" w:rsidRDefault="004F608B" w:rsidP="00CE7D4C">
      <w:pPr>
        <w:pStyle w:val="NoSpacing"/>
        <w:ind w:left="720"/>
        <w:jc w:val="both"/>
        <w:rPr>
          <w:lang w:val="en-GB"/>
        </w:rPr>
      </w:pPr>
    </w:p>
    <w:p w14:paraId="673096D6" w14:textId="12B9097F" w:rsidR="00A3740D" w:rsidRPr="001A3BA9" w:rsidRDefault="00854589" w:rsidP="00CE7D4C">
      <w:pPr>
        <w:pStyle w:val="NoSpacing"/>
        <w:jc w:val="both"/>
        <w:rPr>
          <w:b/>
          <w:lang w:val="en-GB"/>
        </w:rPr>
      </w:pPr>
      <w:hyperlink w:anchor="_Age" w:history="1">
        <w:r w:rsidR="00A3740D" w:rsidRPr="001A3BA9">
          <w:rPr>
            <w:rStyle w:val="Hyperlink"/>
            <w:b/>
            <w:lang w:val="en-GB"/>
          </w:rPr>
          <w:t>Age</w:t>
        </w:r>
      </w:hyperlink>
    </w:p>
    <w:p w14:paraId="23DCBA2A" w14:textId="758E57F4" w:rsidR="00A3740D" w:rsidRDefault="00A3740D" w:rsidP="00CE7D4C">
      <w:pPr>
        <w:pStyle w:val="NoSpacing"/>
        <w:numPr>
          <w:ilvl w:val="0"/>
          <w:numId w:val="15"/>
        </w:numPr>
        <w:jc w:val="both"/>
        <w:rPr>
          <w:lang w:val="en-GB"/>
        </w:rPr>
      </w:pPr>
      <w:r w:rsidRPr="001A3BA9">
        <w:rPr>
          <w:lang w:val="en-GB"/>
        </w:rPr>
        <w:t>Publications, funding opportunities and events</w:t>
      </w:r>
    </w:p>
    <w:p w14:paraId="37CD2CD3" w14:textId="77777777" w:rsidR="004F608B" w:rsidRPr="001A3BA9" w:rsidRDefault="004F608B" w:rsidP="00CE7D4C">
      <w:pPr>
        <w:pStyle w:val="NoSpacing"/>
        <w:ind w:left="720"/>
        <w:jc w:val="both"/>
        <w:rPr>
          <w:lang w:val="en-GB"/>
        </w:rPr>
      </w:pPr>
    </w:p>
    <w:p w14:paraId="3D48A1D5" w14:textId="6D7FE883" w:rsidR="00A3740D" w:rsidRPr="001A3BA9" w:rsidRDefault="00854589" w:rsidP="00CE7D4C">
      <w:pPr>
        <w:pStyle w:val="NoSpacing"/>
        <w:jc w:val="both"/>
        <w:rPr>
          <w:b/>
          <w:lang w:val="en-GB"/>
        </w:rPr>
      </w:pPr>
      <w:hyperlink w:anchor="_Other" w:history="1">
        <w:r w:rsidR="00A3740D" w:rsidRPr="001A3BA9">
          <w:rPr>
            <w:rStyle w:val="Hyperlink"/>
            <w:b/>
            <w:lang w:val="en-GB"/>
          </w:rPr>
          <w:t>Other</w:t>
        </w:r>
      </w:hyperlink>
      <w:r w:rsidR="005F29CB">
        <w:rPr>
          <w:rStyle w:val="Hyperlink"/>
          <w:b/>
          <w:lang w:val="en-GB"/>
        </w:rPr>
        <w:t xml:space="preserve"> grounds of discrimination</w:t>
      </w:r>
    </w:p>
    <w:p w14:paraId="26753063" w14:textId="4FDD1D09" w:rsidR="00A3740D" w:rsidRDefault="00A3740D" w:rsidP="00CE7D4C">
      <w:pPr>
        <w:pStyle w:val="NoSpacing"/>
        <w:numPr>
          <w:ilvl w:val="0"/>
          <w:numId w:val="15"/>
        </w:numPr>
        <w:jc w:val="both"/>
        <w:rPr>
          <w:lang w:val="en-GB"/>
        </w:rPr>
      </w:pPr>
      <w:r w:rsidRPr="001A3BA9">
        <w:rPr>
          <w:lang w:val="en-GB"/>
        </w:rPr>
        <w:t>Publications, funding opportunities and events</w:t>
      </w:r>
    </w:p>
    <w:p w14:paraId="2735E75D" w14:textId="77777777" w:rsidR="004F608B" w:rsidRPr="001A3BA9" w:rsidRDefault="004F608B" w:rsidP="00CE7D4C">
      <w:pPr>
        <w:pStyle w:val="NoSpacing"/>
        <w:ind w:left="720"/>
        <w:jc w:val="both"/>
        <w:rPr>
          <w:lang w:val="en-GB"/>
        </w:rPr>
      </w:pPr>
    </w:p>
    <w:p w14:paraId="141A70DE" w14:textId="4B91F2BB" w:rsidR="00A3740D" w:rsidRPr="001A3BA9" w:rsidRDefault="00854589" w:rsidP="00CE7D4C">
      <w:pPr>
        <w:pStyle w:val="NoSpacing"/>
        <w:jc w:val="both"/>
        <w:rPr>
          <w:b/>
          <w:lang w:val="en-GB"/>
        </w:rPr>
      </w:pPr>
      <w:hyperlink w:anchor="_Recent_case-law" w:history="1">
        <w:r w:rsidR="00A3740D" w:rsidRPr="001A3BA9">
          <w:rPr>
            <w:rStyle w:val="Hyperlink"/>
            <w:b/>
            <w:lang w:val="en-GB"/>
          </w:rPr>
          <w:t>Recent case-law</w:t>
        </w:r>
      </w:hyperlink>
    </w:p>
    <w:p w14:paraId="129ECC52" w14:textId="01CB0B86" w:rsidR="00A3740D" w:rsidRPr="00F74759" w:rsidRDefault="00A3740D" w:rsidP="00CE7D4C">
      <w:pPr>
        <w:pStyle w:val="NoSpacing"/>
        <w:numPr>
          <w:ilvl w:val="0"/>
          <w:numId w:val="15"/>
        </w:numPr>
        <w:jc w:val="both"/>
        <w:rPr>
          <w:lang w:val="en-US"/>
        </w:rPr>
      </w:pPr>
      <w:r w:rsidRPr="00F74759">
        <w:rPr>
          <w:lang w:val="en-US"/>
        </w:rPr>
        <w:t>European Court of Justice (ECJ)</w:t>
      </w:r>
    </w:p>
    <w:p w14:paraId="57F52527" w14:textId="6E4D22DD" w:rsidR="00B2655F" w:rsidRPr="00543DFC" w:rsidRDefault="00A3740D" w:rsidP="00CE7D4C">
      <w:pPr>
        <w:pStyle w:val="NoSpacing"/>
        <w:numPr>
          <w:ilvl w:val="0"/>
          <w:numId w:val="15"/>
        </w:numPr>
        <w:jc w:val="both"/>
        <w:rPr>
          <w:lang w:val="en-US"/>
        </w:rPr>
      </w:pPr>
      <w:r w:rsidRPr="00F74759">
        <w:rPr>
          <w:lang w:val="en-US"/>
        </w:rPr>
        <w:t>European Court of Human Rights (ECtHR)</w:t>
      </w:r>
      <w:bookmarkStart w:id="4" w:name="_Highlight:_International_Women’s"/>
      <w:bookmarkStart w:id="5" w:name="_Ref445397616"/>
      <w:bookmarkEnd w:id="4"/>
    </w:p>
    <w:p w14:paraId="3B48D390" w14:textId="1F3DF0D7" w:rsidR="001140DC" w:rsidRPr="00EE5BC9" w:rsidRDefault="00922F1E" w:rsidP="00CE7D4C">
      <w:pPr>
        <w:pStyle w:val="Heading1"/>
        <w:pBdr>
          <w:top w:val="dotted" w:sz="4" w:space="1" w:color="auto"/>
          <w:bottom w:val="dotted" w:sz="4" w:space="1" w:color="auto"/>
        </w:pBdr>
        <w:spacing w:line="240" w:lineRule="auto"/>
        <w:rPr>
          <w:lang w:val="en-GB"/>
        </w:rPr>
      </w:pPr>
      <w:bookmarkStart w:id="6" w:name="_Ref450122395"/>
      <w:r w:rsidRPr="00EE5BC9">
        <w:rPr>
          <w:lang w:val="en-GB"/>
        </w:rPr>
        <w:lastRenderedPageBreak/>
        <w:t>Highlight</w:t>
      </w:r>
      <w:bookmarkEnd w:id="0"/>
      <w:bookmarkEnd w:id="1"/>
      <w:bookmarkEnd w:id="2"/>
      <w:bookmarkEnd w:id="3"/>
      <w:r w:rsidR="00F93FE2" w:rsidRPr="00EE5BC9">
        <w:rPr>
          <w:lang w:val="en-GB"/>
        </w:rPr>
        <w:t>:</w:t>
      </w:r>
      <w:r w:rsidR="0095164B" w:rsidRPr="00EE5BC9">
        <w:rPr>
          <w:lang w:val="en-GB"/>
        </w:rPr>
        <w:t xml:space="preserve"> </w:t>
      </w:r>
      <w:bookmarkEnd w:id="5"/>
      <w:r w:rsidR="00EE5BC9" w:rsidRPr="00EE5BC9">
        <w:rPr>
          <w:lang w:val="en-GB"/>
        </w:rPr>
        <w:t>Europe celebrates the</w:t>
      </w:r>
      <w:r w:rsidR="00F43E45" w:rsidRPr="00EE5BC9">
        <w:rPr>
          <w:lang w:val="en-GB"/>
        </w:rPr>
        <w:t xml:space="preserve"> Day of Solidarity between Generations</w:t>
      </w:r>
      <w:bookmarkEnd w:id="6"/>
    </w:p>
    <w:p w14:paraId="42C9AE41" w14:textId="50B93586" w:rsidR="00F43E45" w:rsidRDefault="00F43E45" w:rsidP="00CE7D4C">
      <w:pPr>
        <w:spacing w:line="240" w:lineRule="auto"/>
        <w:rPr>
          <w:noProof/>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EE5BC9" w:rsidRPr="00854589" w14:paraId="4937D8A9" w14:textId="77777777" w:rsidTr="00EE5BC9">
        <w:tc>
          <w:tcPr>
            <w:tcW w:w="4943" w:type="dxa"/>
          </w:tcPr>
          <w:p w14:paraId="372773D2" w14:textId="6299E3C2" w:rsidR="00EE5BC9" w:rsidRDefault="00EE5BC9" w:rsidP="00CE7D4C">
            <w:pPr>
              <w:jc w:val="both"/>
              <w:rPr>
                <w:lang w:val="en-GB"/>
              </w:rPr>
            </w:pPr>
            <w:r w:rsidRPr="007B3F43">
              <w:rPr>
                <w:b/>
                <w:lang w:val="en-GB"/>
              </w:rPr>
              <w:t>29</w:t>
            </w:r>
            <w:r w:rsidR="007B3F43" w:rsidRPr="007B3F43">
              <w:rPr>
                <w:b/>
                <w:vertAlign w:val="superscript"/>
                <w:lang w:val="en-GB"/>
              </w:rPr>
              <w:t>th</w:t>
            </w:r>
            <w:r w:rsidR="007B3F43">
              <w:rPr>
                <w:b/>
                <w:lang w:val="en-GB"/>
              </w:rPr>
              <w:t xml:space="preserve"> </w:t>
            </w:r>
            <w:r w:rsidRPr="007B3F43">
              <w:rPr>
                <w:b/>
                <w:lang w:val="en-GB"/>
              </w:rPr>
              <w:t>April</w:t>
            </w:r>
            <w:r>
              <w:rPr>
                <w:lang w:val="en-GB"/>
              </w:rPr>
              <w:t xml:space="preserve"> is the </w:t>
            </w:r>
            <w:r w:rsidRPr="00EE5BC9">
              <w:rPr>
                <w:b/>
                <w:lang w:val="en-GB"/>
              </w:rPr>
              <w:t>European Day of Solidarity between Generations</w:t>
            </w:r>
            <w:r>
              <w:rPr>
                <w:lang w:val="en-GB"/>
              </w:rPr>
              <w:t>. Equinet has compiled a list of the latest updates and material on the topic at the European level:</w:t>
            </w:r>
          </w:p>
        </w:tc>
        <w:tc>
          <w:tcPr>
            <w:tcW w:w="4943" w:type="dxa"/>
          </w:tcPr>
          <w:p w14:paraId="7F931920" w14:textId="474014C5" w:rsidR="00EE5BC9" w:rsidRDefault="00EE5BC9" w:rsidP="00CE7D4C">
            <w:pPr>
              <w:rPr>
                <w:lang w:val="en-GB"/>
              </w:rPr>
            </w:pPr>
            <w:r>
              <w:rPr>
                <w:noProof/>
                <w:lang w:eastAsia="fr-BE"/>
              </w:rPr>
              <w:drawing>
                <wp:anchor distT="0" distB="0" distL="114300" distR="114300" simplePos="0" relativeHeight="251649024" behindDoc="0" locked="0" layoutInCell="1" allowOverlap="1" wp14:anchorId="1A15CC70" wp14:editId="10BEB824">
                  <wp:simplePos x="0" y="0"/>
                  <wp:positionH relativeFrom="margin">
                    <wp:posOffset>442595</wp:posOffset>
                  </wp:positionH>
                  <wp:positionV relativeFrom="margin">
                    <wp:posOffset>-114300</wp:posOffset>
                  </wp:positionV>
                  <wp:extent cx="2409825" cy="7569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Day_29_April_web-small.jpg"/>
                          <pic:cNvPicPr/>
                        </pic:nvPicPr>
                        <pic:blipFill>
                          <a:blip r:embed="rId10">
                            <a:extLst>
                              <a:ext uri="{28A0092B-C50C-407E-A947-70E740481C1C}">
                                <a14:useLocalDpi xmlns:a14="http://schemas.microsoft.com/office/drawing/2010/main" val="0"/>
                              </a:ext>
                            </a:extLst>
                          </a:blip>
                          <a:stretch>
                            <a:fillRect/>
                          </a:stretch>
                        </pic:blipFill>
                        <pic:spPr>
                          <a:xfrm>
                            <a:off x="0" y="0"/>
                            <a:ext cx="2409825" cy="756920"/>
                          </a:xfrm>
                          <a:prstGeom prst="rect">
                            <a:avLst/>
                          </a:prstGeom>
                        </pic:spPr>
                      </pic:pic>
                    </a:graphicData>
                  </a:graphic>
                  <wp14:sizeRelH relativeFrom="margin">
                    <wp14:pctWidth>0</wp14:pctWidth>
                  </wp14:sizeRelH>
                  <wp14:sizeRelV relativeFrom="margin">
                    <wp14:pctHeight>0</wp14:pctHeight>
                  </wp14:sizeRelV>
                </wp:anchor>
              </w:drawing>
            </w:r>
          </w:p>
        </w:tc>
      </w:tr>
    </w:tbl>
    <w:p w14:paraId="323F1D76" w14:textId="77777777" w:rsidR="00EE5BC9" w:rsidRDefault="00EE5BC9" w:rsidP="00CE7D4C">
      <w:pPr>
        <w:pStyle w:val="ListParagraph"/>
        <w:spacing w:line="240" w:lineRule="auto"/>
        <w:rPr>
          <w:b/>
          <w:color w:val="1F3864" w:themeColor="accent5" w:themeShade="80"/>
          <w:lang w:val="en-GB"/>
        </w:rPr>
      </w:pPr>
    </w:p>
    <w:p w14:paraId="6B97DB06" w14:textId="375F189A" w:rsidR="002606F8" w:rsidRPr="00CE7D4C" w:rsidRDefault="002606F8" w:rsidP="00CE7D4C">
      <w:pPr>
        <w:pStyle w:val="ListParagraph"/>
        <w:numPr>
          <w:ilvl w:val="0"/>
          <w:numId w:val="19"/>
        </w:numPr>
        <w:spacing w:line="240" w:lineRule="auto"/>
        <w:rPr>
          <w:b/>
          <w:color w:val="C00000"/>
          <w:lang w:val="en-GB"/>
        </w:rPr>
      </w:pPr>
      <w:r w:rsidRPr="00CE7D4C">
        <w:rPr>
          <w:b/>
          <w:color w:val="C00000"/>
          <w:lang w:val="en-GB"/>
        </w:rPr>
        <w:t>Joint E</w:t>
      </w:r>
      <w:r w:rsidR="007B3F43" w:rsidRPr="00CE7D4C">
        <w:rPr>
          <w:b/>
          <w:color w:val="C00000"/>
          <w:lang w:val="en-GB"/>
        </w:rPr>
        <w:t>uropean Parliament (EP)</w:t>
      </w:r>
      <w:r w:rsidRPr="00CE7D4C">
        <w:rPr>
          <w:b/>
          <w:color w:val="C00000"/>
          <w:lang w:val="en-GB"/>
        </w:rPr>
        <w:t xml:space="preserve"> event to mark the EU Day of Solidarity between Generations</w:t>
      </w:r>
    </w:p>
    <w:p w14:paraId="746662CF" w14:textId="2585855C" w:rsidR="002606F8" w:rsidRPr="002606F8" w:rsidRDefault="002606F8" w:rsidP="00CE7D4C">
      <w:pPr>
        <w:spacing w:line="240" w:lineRule="auto"/>
        <w:jc w:val="both"/>
        <w:rPr>
          <w:lang w:val="en-GB"/>
        </w:rPr>
      </w:pPr>
      <w:r w:rsidRPr="002606F8">
        <w:rPr>
          <w:lang w:val="en-GB"/>
        </w:rPr>
        <w:t xml:space="preserve">The </w:t>
      </w:r>
      <w:hyperlink r:id="rId11" w:history="1">
        <w:r w:rsidRPr="00D65405">
          <w:rPr>
            <w:rStyle w:val="Hyperlink"/>
            <w:b/>
            <w:lang w:val="en-GB"/>
          </w:rPr>
          <w:t>Intergroup's sub-group on Active Ageing</w:t>
        </w:r>
      </w:hyperlink>
      <w:r w:rsidRPr="002606F8">
        <w:rPr>
          <w:b/>
          <w:lang w:val="en-GB"/>
        </w:rPr>
        <w:t xml:space="preserve"> </w:t>
      </w:r>
      <w:r w:rsidRPr="00156C8C">
        <w:rPr>
          <w:lang w:val="en-GB"/>
        </w:rPr>
        <w:t>organised,</w:t>
      </w:r>
      <w:r w:rsidRPr="002606F8">
        <w:rPr>
          <w:lang w:val="en-GB"/>
        </w:rPr>
        <w:t xml:space="preserve"> </w:t>
      </w:r>
      <w:r w:rsidR="00156C8C">
        <w:rPr>
          <w:lang w:val="en-GB"/>
        </w:rPr>
        <w:t>in</w:t>
      </w:r>
      <w:r w:rsidRPr="002606F8">
        <w:rPr>
          <w:lang w:val="en-GB"/>
        </w:rPr>
        <w:t xml:space="preserve"> cooperation </w:t>
      </w:r>
      <w:r w:rsidR="00156C8C">
        <w:rPr>
          <w:lang w:val="en-GB"/>
        </w:rPr>
        <w:t>with</w:t>
      </w:r>
      <w:r w:rsidRPr="002606F8">
        <w:rPr>
          <w:lang w:val="en-GB"/>
        </w:rPr>
        <w:t xml:space="preserve"> </w:t>
      </w:r>
      <w:hyperlink r:id="rId12" w:history="1">
        <w:r w:rsidRPr="00D65405">
          <w:rPr>
            <w:rStyle w:val="Hyperlink"/>
            <w:b/>
            <w:lang w:val="en-GB"/>
          </w:rPr>
          <w:t>AGE Platform Europe</w:t>
        </w:r>
      </w:hyperlink>
      <w:r>
        <w:rPr>
          <w:lang w:val="en-GB"/>
        </w:rPr>
        <w:t xml:space="preserve"> and the </w:t>
      </w:r>
      <w:hyperlink r:id="rId13" w:history="1">
        <w:r w:rsidRPr="00D65405">
          <w:rPr>
            <w:rStyle w:val="Hyperlink"/>
            <w:b/>
            <w:lang w:val="en-GB"/>
          </w:rPr>
          <w:t>European Youth Forum</w:t>
        </w:r>
      </w:hyperlink>
      <w:r w:rsidR="00156C8C">
        <w:rPr>
          <w:lang w:val="en-GB"/>
        </w:rPr>
        <w:t xml:space="preserve">, a joint </w:t>
      </w:r>
      <w:r w:rsidRPr="002606F8">
        <w:rPr>
          <w:lang w:val="en-GB"/>
        </w:rPr>
        <w:t xml:space="preserve">event at the European Parliament in Brussels. </w:t>
      </w:r>
      <w:r>
        <w:rPr>
          <w:lang w:val="en-GB"/>
        </w:rPr>
        <w:t xml:space="preserve">More information and additional material can be found </w:t>
      </w:r>
      <w:hyperlink r:id="rId14" w:history="1">
        <w:r w:rsidRPr="002606F8">
          <w:rPr>
            <w:rStyle w:val="Hyperlink"/>
            <w:lang w:val="en-GB"/>
          </w:rPr>
          <w:t>here</w:t>
        </w:r>
      </w:hyperlink>
      <w:r>
        <w:rPr>
          <w:lang w:val="en-GB"/>
        </w:rPr>
        <w:t>.</w:t>
      </w:r>
    </w:p>
    <w:p w14:paraId="5EBF6D85" w14:textId="77777777" w:rsidR="003C75BF" w:rsidRPr="00683578" w:rsidRDefault="003C75BF" w:rsidP="003C75BF">
      <w:pPr>
        <w:pStyle w:val="ListParagraph"/>
        <w:numPr>
          <w:ilvl w:val="0"/>
          <w:numId w:val="17"/>
        </w:numPr>
        <w:spacing w:line="240" w:lineRule="auto"/>
        <w:jc w:val="both"/>
        <w:rPr>
          <w:b/>
          <w:color w:val="C00000"/>
          <w:lang w:val="en-GB"/>
        </w:rPr>
      </w:pPr>
      <w:r w:rsidRPr="00683578">
        <w:rPr>
          <w:b/>
          <w:color w:val="C00000"/>
          <w:lang w:val="en-GB"/>
        </w:rPr>
        <w:t>EU Agency for Safety and Health at Work</w:t>
      </w:r>
      <w:r>
        <w:rPr>
          <w:b/>
          <w:color w:val="C00000"/>
          <w:lang w:val="en-GB"/>
        </w:rPr>
        <w:t xml:space="preserve"> (EU-OSHA)</w:t>
      </w:r>
      <w:r w:rsidRPr="00683578">
        <w:rPr>
          <w:b/>
          <w:color w:val="C00000"/>
          <w:lang w:val="en-GB"/>
        </w:rPr>
        <w:t xml:space="preserve"> launches campaign “Healthy Workplaces for All Ages” and E-Guide</w:t>
      </w:r>
    </w:p>
    <w:p w14:paraId="70D9747C" w14:textId="77777777" w:rsidR="003C75BF" w:rsidRDefault="003C75BF" w:rsidP="003C75BF">
      <w:pPr>
        <w:spacing w:line="240" w:lineRule="auto"/>
        <w:jc w:val="both"/>
        <w:rPr>
          <w:lang w:val="en-GB"/>
        </w:rPr>
      </w:pPr>
      <w:r w:rsidRPr="00B2655F">
        <w:rPr>
          <w:lang w:val="en-GB"/>
        </w:rPr>
        <w:t>With the length of Europeans’ working lives set to increase, it</w:t>
      </w:r>
      <w:r>
        <w:rPr>
          <w:lang w:val="en-GB"/>
        </w:rPr>
        <w:t xml:space="preserve"> is</w:t>
      </w:r>
      <w:r w:rsidRPr="00B2655F">
        <w:rPr>
          <w:lang w:val="en-GB"/>
        </w:rPr>
        <w:t xml:space="preserve"> important that both employers and workers have easy access to the tools and information they need to assess and deal with associated risks. </w:t>
      </w:r>
      <w:r>
        <w:rPr>
          <w:lang w:val="en-GB"/>
        </w:rPr>
        <w:t>The</w:t>
      </w:r>
      <w:r w:rsidRPr="00B2655F">
        <w:rPr>
          <w:lang w:val="en-GB"/>
        </w:rPr>
        <w:t xml:space="preserve"> </w:t>
      </w:r>
      <w:hyperlink r:id="rId15" w:history="1">
        <w:r w:rsidRPr="00B2655F">
          <w:rPr>
            <w:rStyle w:val="Hyperlink"/>
            <w:lang w:val="en-GB"/>
          </w:rPr>
          <w:t>EU-OSHA</w:t>
        </w:r>
      </w:hyperlink>
      <w:r w:rsidRPr="00B2655F">
        <w:rPr>
          <w:lang w:val="en-GB"/>
        </w:rPr>
        <w:t xml:space="preserve"> has put together the new </w:t>
      </w:r>
      <w:hyperlink r:id="rId16" w:history="1">
        <w:r w:rsidRPr="00B2655F">
          <w:rPr>
            <w:rStyle w:val="Hyperlink"/>
            <w:lang w:val="en-GB"/>
          </w:rPr>
          <w:t>Healthy Workplaces for All Ages E-guide</w:t>
        </w:r>
      </w:hyperlink>
      <w:r>
        <w:rPr>
          <w:lang w:val="en-GB"/>
        </w:rPr>
        <w:t xml:space="preserve"> as a part of the campaign “</w:t>
      </w:r>
      <w:hyperlink r:id="rId17" w:history="1">
        <w:r w:rsidRPr="00B2655F">
          <w:rPr>
            <w:rStyle w:val="Hyperlink"/>
            <w:lang w:val="en-GB"/>
          </w:rPr>
          <w:t>Healthy Workplaces for All Ages</w:t>
        </w:r>
      </w:hyperlink>
      <w:r>
        <w:rPr>
          <w:lang w:val="en-GB"/>
        </w:rPr>
        <w:t>”</w:t>
      </w:r>
      <w:r w:rsidRPr="00B2655F">
        <w:rPr>
          <w:lang w:val="en-GB"/>
        </w:rPr>
        <w:t>.</w:t>
      </w:r>
      <w:r>
        <w:rPr>
          <w:lang w:val="en-GB"/>
        </w:rPr>
        <w:t xml:space="preserve"> </w:t>
      </w:r>
      <w:r w:rsidRPr="00B2655F">
        <w:rPr>
          <w:lang w:val="en-GB"/>
        </w:rPr>
        <w:t xml:space="preserve">Designed as a </w:t>
      </w:r>
      <w:r w:rsidRPr="007253DA">
        <w:rPr>
          <w:b/>
          <w:lang w:val="en-GB"/>
        </w:rPr>
        <w:t>practical guide on dealing with the risks and challenges related to ageing workers</w:t>
      </w:r>
      <w:r w:rsidRPr="00B2655F">
        <w:rPr>
          <w:lang w:val="en-GB"/>
        </w:rPr>
        <w:t xml:space="preserve">, </w:t>
      </w:r>
      <w:r>
        <w:rPr>
          <w:lang w:val="en-GB"/>
        </w:rPr>
        <w:t>it aims</w:t>
      </w:r>
      <w:r w:rsidRPr="00B2655F">
        <w:rPr>
          <w:lang w:val="en-GB"/>
        </w:rPr>
        <w:t xml:space="preserve"> to increase awareness and knowledge concerning an ageing workforce and the implications this has on work and workplaces</w:t>
      </w:r>
      <w:r>
        <w:rPr>
          <w:lang w:val="en-GB"/>
        </w:rPr>
        <w:t>.</w:t>
      </w:r>
    </w:p>
    <w:p w14:paraId="0DEB21DA" w14:textId="77777777" w:rsidR="00683578" w:rsidRPr="00683578" w:rsidRDefault="00683578" w:rsidP="00683578">
      <w:pPr>
        <w:pStyle w:val="ListParagraph"/>
        <w:numPr>
          <w:ilvl w:val="0"/>
          <w:numId w:val="17"/>
        </w:numPr>
        <w:spacing w:line="240" w:lineRule="auto"/>
        <w:jc w:val="both"/>
        <w:rPr>
          <w:b/>
          <w:color w:val="C00000"/>
          <w:lang w:val="en-GB"/>
        </w:rPr>
      </w:pPr>
      <w:r w:rsidRPr="00683578">
        <w:rPr>
          <w:b/>
          <w:color w:val="C00000"/>
          <w:lang w:val="en-GB"/>
        </w:rPr>
        <w:t>Organisation for Economic Co-Operation and Development (OECD) publishes paper on “Age, Ageism and Skills”</w:t>
      </w:r>
    </w:p>
    <w:p w14:paraId="107E5D9F" w14:textId="77777777" w:rsidR="00683578" w:rsidRPr="00895E09" w:rsidRDefault="00854589" w:rsidP="00683578">
      <w:pPr>
        <w:spacing w:line="240" w:lineRule="auto"/>
        <w:jc w:val="both"/>
        <w:rPr>
          <w:lang w:val="en-GB"/>
        </w:rPr>
      </w:pPr>
      <w:hyperlink r:id="rId18" w:anchor="page1" w:history="1">
        <w:r w:rsidR="00683578" w:rsidRPr="000E568F">
          <w:rPr>
            <w:rStyle w:val="Hyperlink"/>
            <w:lang w:val="en-GB"/>
          </w:rPr>
          <w:t>This paper</w:t>
        </w:r>
      </w:hyperlink>
      <w:r w:rsidR="00683578" w:rsidRPr="000E568F">
        <w:rPr>
          <w:lang w:val="en-GB"/>
        </w:rPr>
        <w:t xml:space="preserve"> presents a comprehensive analysis of the </w:t>
      </w:r>
      <w:r w:rsidR="00683578" w:rsidRPr="00B2655F">
        <w:rPr>
          <w:b/>
          <w:lang w:val="en-GB"/>
        </w:rPr>
        <w:t>link between age and proficiency in information-processing skills</w:t>
      </w:r>
      <w:r w:rsidR="00683578" w:rsidRPr="000E568F">
        <w:rPr>
          <w:lang w:val="en-GB"/>
        </w:rPr>
        <w:t xml:space="preserve">, based on information drawn from the </w:t>
      </w:r>
      <w:hyperlink r:id="rId19" w:history="1">
        <w:r w:rsidR="00683578" w:rsidRPr="000E568F">
          <w:rPr>
            <w:rStyle w:val="Hyperlink"/>
            <w:lang w:val="en-GB"/>
          </w:rPr>
          <w:t>Survey of Adult Skills (PIAAC)</w:t>
        </w:r>
      </w:hyperlink>
      <w:r w:rsidR="00683578" w:rsidRPr="000E568F">
        <w:rPr>
          <w:lang w:val="en-GB"/>
        </w:rPr>
        <w:t>. The data reveal significant age-related differences in proficiencies, strongly suggesting that proficiency</w:t>
      </w:r>
      <w:r w:rsidR="00683578">
        <w:rPr>
          <w:lang w:val="en-GB"/>
        </w:rPr>
        <w:t xml:space="preserve"> tends to “naturally” decline with age.</w:t>
      </w:r>
    </w:p>
    <w:p w14:paraId="5E4BF4C5" w14:textId="2C2801CD" w:rsidR="007253DA" w:rsidRPr="00CE7D4C" w:rsidRDefault="007253DA" w:rsidP="00CE7D4C">
      <w:pPr>
        <w:pStyle w:val="ListParagraph"/>
        <w:numPr>
          <w:ilvl w:val="0"/>
          <w:numId w:val="17"/>
        </w:numPr>
        <w:spacing w:line="240" w:lineRule="auto"/>
        <w:rPr>
          <w:b/>
          <w:color w:val="C00000"/>
          <w:lang w:val="en-GB"/>
        </w:rPr>
      </w:pPr>
      <w:r w:rsidRPr="00CE7D4C">
        <w:rPr>
          <w:b/>
          <w:color w:val="C00000"/>
          <w:lang w:val="en-GB"/>
        </w:rPr>
        <w:t xml:space="preserve">AGE Platform Europe </w:t>
      </w:r>
      <w:r w:rsidR="00CE7D4C">
        <w:rPr>
          <w:b/>
          <w:color w:val="C00000"/>
          <w:lang w:val="en-GB"/>
        </w:rPr>
        <w:t>publishes</w:t>
      </w:r>
      <w:r w:rsidRPr="00CE7D4C">
        <w:rPr>
          <w:b/>
          <w:color w:val="C00000"/>
          <w:lang w:val="en-GB"/>
        </w:rPr>
        <w:t xml:space="preserve"> </w:t>
      </w:r>
      <w:r w:rsidR="00CE7D4C">
        <w:rPr>
          <w:b/>
          <w:color w:val="C00000"/>
          <w:lang w:val="en-GB"/>
        </w:rPr>
        <w:t xml:space="preserve">Position Paper </w:t>
      </w:r>
      <w:r w:rsidRPr="00CE7D4C">
        <w:rPr>
          <w:b/>
          <w:color w:val="C00000"/>
          <w:lang w:val="en-GB"/>
        </w:rPr>
        <w:t>on Structural Ageism</w:t>
      </w:r>
    </w:p>
    <w:p w14:paraId="0526CE8F" w14:textId="0E112C8B" w:rsidR="002606F8" w:rsidRPr="007253DA" w:rsidRDefault="007253DA" w:rsidP="00CE7D4C">
      <w:pPr>
        <w:spacing w:line="240" w:lineRule="auto"/>
        <w:jc w:val="both"/>
        <w:rPr>
          <w:lang w:val="en-GB"/>
        </w:rPr>
      </w:pPr>
      <w:r w:rsidRPr="007253DA">
        <w:rPr>
          <w:lang w:val="en-GB"/>
        </w:rPr>
        <w:t xml:space="preserve">Based on a survey gathering the views of some of </w:t>
      </w:r>
      <w:r w:rsidR="00CE7D4C">
        <w:rPr>
          <w:lang w:val="en-GB"/>
        </w:rPr>
        <w:t xml:space="preserve">their member organisations, </w:t>
      </w:r>
      <w:r>
        <w:rPr>
          <w:lang w:val="en-GB"/>
        </w:rPr>
        <w:t xml:space="preserve">AGE Platform Europe </w:t>
      </w:r>
      <w:r w:rsidR="007B74FC">
        <w:rPr>
          <w:lang w:val="en-GB"/>
        </w:rPr>
        <w:t xml:space="preserve">issued a </w:t>
      </w:r>
      <w:hyperlink r:id="rId20" w:history="1">
        <w:r w:rsidR="007B74FC" w:rsidRPr="007B74FC">
          <w:rPr>
            <w:rStyle w:val="Hyperlink"/>
            <w:lang w:val="en-GB"/>
          </w:rPr>
          <w:t>position paper on Structural Ageism</w:t>
        </w:r>
      </w:hyperlink>
      <w:r w:rsidR="007B74FC">
        <w:rPr>
          <w:lang w:val="en-GB"/>
        </w:rPr>
        <w:t xml:space="preserve">. </w:t>
      </w:r>
      <w:r w:rsidR="00CE7D4C">
        <w:rPr>
          <w:lang w:val="en-GB"/>
        </w:rPr>
        <w:t>It</w:t>
      </w:r>
      <w:r w:rsidR="007B74FC">
        <w:rPr>
          <w:lang w:val="en-GB"/>
        </w:rPr>
        <w:t xml:space="preserve"> aims </w:t>
      </w:r>
      <w:r w:rsidR="00CE7D4C">
        <w:rPr>
          <w:lang w:val="en-GB"/>
        </w:rPr>
        <w:t>to draw</w:t>
      </w:r>
      <w:r w:rsidR="007B74FC">
        <w:rPr>
          <w:lang w:val="en-GB"/>
        </w:rPr>
        <w:t xml:space="preserve"> attention</w:t>
      </w:r>
      <w:r w:rsidR="007B74FC" w:rsidRPr="007B74FC">
        <w:rPr>
          <w:lang w:val="en-GB"/>
        </w:rPr>
        <w:t xml:space="preserve"> to persisting forms of structural ageism in Europe and to </w:t>
      </w:r>
      <w:r w:rsidR="007B74FC" w:rsidRPr="007B74FC">
        <w:rPr>
          <w:b/>
          <w:lang w:val="en-GB"/>
        </w:rPr>
        <w:t>make recommendations</w:t>
      </w:r>
      <w:r w:rsidR="007B74FC" w:rsidRPr="007B74FC">
        <w:rPr>
          <w:lang w:val="en-GB"/>
        </w:rPr>
        <w:t xml:space="preserve"> to ensure that older people's rights are protected and promoted in the context of intergenerational fairness</w:t>
      </w:r>
      <w:r w:rsidR="007B74FC">
        <w:rPr>
          <w:lang w:val="en-GB"/>
        </w:rPr>
        <w:t>.</w:t>
      </w:r>
    </w:p>
    <w:p w14:paraId="76890715" w14:textId="77777777" w:rsidR="003713E7" w:rsidRDefault="003713E7" w:rsidP="003713E7">
      <w:pPr>
        <w:spacing w:line="240" w:lineRule="auto"/>
        <w:jc w:val="both"/>
        <w:rPr>
          <w:lang w:val="en-GB"/>
        </w:rPr>
      </w:pPr>
    </w:p>
    <w:p w14:paraId="2A53FFCC" w14:textId="73490409" w:rsidR="008860F3" w:rsidRDefault="003713E7" w:rsidP="00CE7D4C">
      <w:pPr>
        <w:shd w:val="clear" w:color="auto" w:fill="D9D9D9" w:themeFill="background1" w:themeFillShade="D9"/>
        <w:spacing w:line="240" w:lineRule="auto"/>
        <w:rPr>
          <w:b/>
          <w:lang w:val="en-GB"/>
        </w:rPr>
      </w:pPr>
      <w:r>
        <w:rPr>
          <w:b/>
          <w:lang w:val="en-GB"/>
        </w:rPr>
        <w:t>FOR FURTHER INFORMATION</w:t>
      </w:r>
    </w:p>
    <w:p w14:paraId="6F66FDBD" w14:textId="347C87F6" w:rsidR="001A3BA9" w:rsidRPr="005215AF" w:rsidRDefault="001A3BA9" w:rsidP="003C75BF">
      <w:pPr>
        <w:shd w:val="clear" w:color="auto" w:fill="D9D9D9" w:themeFill="background1" w:themeFillShade="D9"/>
        <w:spacing w:line="240" w:lineRule="auto"/>
        <w:jc w:val="both"/>
        <w:rPr>
          <w:b/>
          <w:lang w:val="en-GB"/>
        </w:rPr>
      </w:pPr>
      <w:r>
        <w:rPr>
          <w:lang w:val="en-GB"/>
        </w:rPr>
        <w:t xml:space="preserve">Read the </w:t>
      </w:r>
      <w:r>
        <w:rPr>
          <w:b/>
          <w:lang w:val="en-GB"/>
        </w:rPr>
        <w:t>Equinet Perspective</w:t>
      </w:r>
      <w:r w:rsidR="003645BF">
        <w:rPr>
          <w:b/>
          <w:lang w:val="en-GB"/>
        </w:rPr>
        <w:t xml:space="preserve"> </w:t>
      </w:r>
      <w:hyperlink r:id="rId21" w:history="1">
        <w:r w:rsidR="00445864" w:rsidRPr="00445864">
          <w:rPr>
            <w:rStyle w:val="Hyperlink"/>
            <w:lang w:val="en-GB"/>
          </w:rPr>
          <w:t>Tackling Ageism and Discrimination</w:t>
        </w:r>
      </w:hyperlink>
      <w:r w:rsidR="00445864" w:rsidRPr="00445864">
        <w:rPr>
          <w:lang w:val="en-GB"/>
        </w:rPr>
        <w:t xml:space="preserve"> </w:t>
      </w:r>
      <w:r w:rsidR="005215AF">
        <w:rPr>
          <w:lang w:val="en-GB"/>
        </w:rPr>
        <w:t>(201</w:t>
      </w:r>
      <w:r w:rsidR="00445864">
        <w:rPr>
          <w:lang w:val="en-GB"/>
        </w:rPr>
        <w:t>2</w:t>
      </w:r>
      <w:r w:rsidR="005215AF">
        <w:rPr>
          <w:lang w:val="en-GB"/>
        </w:rPr>
        <w:t>)</w:t>
      </w:r>
      <w:r w:rsidRPr="003645BF">
        <w:rPr>
          <w:lang w:val="en-GB"/>
        </w:rPr>
        <w:t>.</w:t>
      </w:r>
      <w:r w:rsidR="003C75BF">
        <w:rPr>
          <w:lang w:val="en-GB"/>
        </w:rPr>
        <w:tab/>
      </w:r>
      <w:r w:rsidR="003713E7">
        <w:rPr>
          <w:lang w:val="en-GB"/>
        </w:rPr>
        <w:br/>
        <w:t xml:space="preserve">At the end of 2016, the Equinet Working Group on Policy Formation will publish a </w:t>
      </w:r>
      <w:r w:rsidR="003C75BF" w:rsidRPr="003C75BF">
        <w:rPr>
          <w:b/>
          <w:lang w:val="en-GB"/>
        </w:rPr>
        <w:t>Perspective on age discrimination against young people</w:t>
      </w:r>
      <w:r w:rsidR="003C75BF">
        <w:rPr>
          <w:lang w:val="en-GB"/>
        </w:rPr>
        <w:t xml:space="preserve">. </w:t>
      </w:r>
    </w:p>
    <w:p w14:paraId="3826F7AE" w14:textId="77777777" w:rsidR="00A73FA9" w:rsidRPr="001A3BA9" w:rsidRDefault="00A73FA9" w:rsidP="00CE7D4C">
      <w:pPr>
        <w:pBdr>
          <w:bottom w:val="dotted" w:sz="36" w:space="1" w:color="auto"/>
        </w:pBdr>
        <w:spacing w:line="240" w:lineRule="auto"/>
        <w:rPr>
          <w:lang w:val="en-GB"/>
        </w:rPr>
      </w:pPr>
    </w:p>
    <w:p w14:paraId="384E2FB8" w14:textId="77777777" w:rsidR="005215AF" w:rsidRDefault="005215AF" w:rsidP="00CE7D4C">
      <w:pPr>
        <w:spacing w:line="240" w:lineRule="auto"/>
        <w:rPr>
          <w:rFonts w:ascii="Tahoma" w:eastAsiaTheme="majorEastAsia" w:hAnsi="Tahoma" w:cstheme="majorBidi"/>
          <w:b/>
          <w:color w:val="538135" w:themeColor="accent6" w:themeShade="BF"/>
          <w:sz w:val="32"/>
          <w:szCs w:val="32"/>
          <w:lang w:val="en-GB"/>
        </w:rPr>
      </w:pPr>
      <w:bookmarkStart w:id="7" w:name="_General_information"/>
      <w:bookmarkStart w:id="8" w:name="_Ref421267521"/>
      <w:bookmarkStart w:id="9" w:name="_Ref442453617"/>
      <w:bookmarkStart w:id="10" w:name="_Toc418770747"/>
      <w:bookmarkStart w:id="11" w:name="_Ref418784309"/>
      <w:bookmarkEnd w:id="7"/>
      <w:r>
        <w:rPr>
          <w:lang w:val="en-GB"/>
        </w:rPr>
        <w:br w:type="page"/>
      </w:r>
    </w:p>
    <w:p w14:paraId="290D8B05" w14:textId="3CBCF6A0" w:rsidR="00997A8C" w:rsidRPr="003C75BF" w:rsidRDefault="00997A8C" w:rsidP="00CE7D4C">
      <w:pPr>
        <w:pStyle w:val="Heading1"/>
        <w:pBdr>
          <w:top w:val="dotted" w:sz="4" w:space="1" w:color="auto"/>
          <w:bottom w:val="dotted" w:sz="4" w:space="1" w:color="auto"/>
        </w:pBdr>
        <w:spacing w:line="240" w:lineRule="auto"/>
        <w:rPr>
          <w:lang w:val="en-GB"/>
        </w:rPr>
      </w:pPr>
      <w:r w:rsidRPr="003C75BF">
        <w:rPr>
          <w:lang w:val="en-GB"/>
        </w:rPr>
        <w:lastRenderedPageBreak/>
        <w:t xml:space="preserve">General </w:t>
      </w:r>
      <w:r w:rsidR="00B05622" w:rsidRPr="003C75BF">
        <w:rPr>
          <w:lang w:val="en-GB"/>
        </w:rPr>
        <w:t>I</w:t>
      </w:r>
      <w:r w:rsidRPr="003C75BF">
        <w:rPr>
          <w:lang w:val="en-GB"/>
        </w:rPr>
        <w:t>nformation</w:t>
      </w:r>
      <w:bookmarkEnd w:id="8"/>
    </w:p>
    <w:p w14:paraId="0CC6D089" w14:textId="77777777" w:rsidR="003C75BF" w:rsidRDefault="003C75BF" w:rsidP="00CE7D4C">
      <w:pPr>
        <w:pStyle w:val="Heading2"/>
        <w:spacing w:line="240" w:lineRule="auto"/>
        <w:jc w:val="both"/>
        <w:rPr>
          <w:lang w:val="en-GB"/>
        </w:rPr>
      </w:pPr>
      <w:bookmarkStart w:id="12" w:name="_Thematic_developments"/>
      <w:bookmarkStart w:id="13" w:name="_Publications,_funding_opportunities"/>
      <w:bookmarkEnd w:id="12"/>
      <w:bookmarkEnd w:id="13"/>
    </w:p>
    <w:p w14:paraId="2BE2A229" w14:textId="2C9FA166" w:rsidR="001252F9" w:rsidRPr="003C75BF" w:rsidRDefault="00735BC7" w:rsidP="00CE7D4C">
      <w:pPr>
        <w:pStyle w:val="Heading2"/>
        <w:spacing w:line="240" w:lineRule="auto"/>
        <w:jc w:val="both"/>
        <w:rPr>
          <w:lang w:val="en-GB"/>
        </w:rPr>
      </w:pPr>
      <w:r w:rsidRPr="003C75BF">
        <w:rPr>
          <w:lang w:val="en-GB"/>
        </w:rPr>
        <w:t>Publications, funding opportunities and events</w:t>
      </w:r>
      <w:bookmarkEnd w:id="9"/>
      <w:r w:rsidR="001252F9" w:rsidRPr="003C75BF">
        <w:rPr>
          <w:lang w:val="en-GB"/>
        </w:rPr>
        <w:tab/>
      </w:r>
      <w:r w:rsidR="001252F9" w:rsidRPr="003C75BF">
        <w:rPr>
          <w:lang w:val="en-GB"/>
        </w:rPr>
        <w:br/>
      </w:r>
    </w:p>
    <w:p w14:paraId="1040EC41" w14:textId="77777777" w:rsidR="00B83CEA" w:rsidRPr="00052136" w:rsidRDefault="00B83CEA" w:rsidP="00B83CEA">
      <w:pPr>
        <w:spacing w:line="240" w:lineRule="auto"/>
        <w:jc w:val="both"/>
        <w:rPr>
          <w:lang w:val="en-GB"/>
        </w:rPr>
      </w:pPr>
      <w:r>
        <w:rPr>
          <w:b/>
          <w:shd w:val="clear" w:color="auto" w:fill="00B0F0"/>
          <w:lang w:val="en-GB"/>
        </w:rPr>
        <w:t>CALL FOR CONTRIBUTIONS</w:t>
      </w:r>
      <w:r>
        <w:rPr>
          <w:lang w:val="en-GB"/>
        </w:rPr>
        <w:t xml:space="preserve"> – </w:t>
      </w:r>
      <w:r>
        <w:rPr>
          <w:b/>
          <w:lang w:val="en-GB"/>
        </w:rPr>
        <w:t xml:space="preserve">European Forum for Urban Security </w:t>
      </w:r>
      <w:r>
        <w:rPr>
          <w:lang w:val="en-GB"/>
        </w:rPr>
        <w:t xml:space="preserve">– </w:t>
      </w:r>
      <w:hyperlink r:id="rId22" w:history="1">
        <w:r w:rsidRPr="00052136">
          <w:rPr>
            <w:rStyle w:val="Hyperlink"/>
            <w:lang w:val="en-GB"/>
          </w:rPr>
          <w:t>Call for Practices: Prevention and fight against racism, xenophobia, homophobia and all other forms of intolerance</w:t>
        </w:r>
      </w:hyperlink>
    </w:p>
    <w:p w14:paraId="25B42D77" w14:textId="035941CD" w:rsidR="00B83CEA" w:rsidRDefault="00B83CEA" w:rsidP="00B83CEA">
      <w:pPr>
        <w:spacing w:line="240" w:lineRule="auto"/>
        <w:jc w:val="both"/>
        <w:rPr>
          <w:b/>
          <w:lang w:val="en-GB"/>
        </w:rPr>
      </w:pPr>
      <w:r w:rsidRPr="00052136">
        <w:rPr>
          <w:lang w:val="en-GB"/>
        </w:rPr>
        <w:t>E</w:t>
      </w:r>
      <w:r>
        <w:rPr>
          <w:lang w:val="en-GB"/>
        </w:rPr>
        <w:t xml:space="preserve">FUS </w:t>
      </w:r>
      <w:r w:rsidRPr="00052136">
        <w:rPr>
          <w:lang w:val="en-GB"/>
        </w:rPr>
        <w:t xml:space="preserve">and eight European organisations are launching a call to identify existing innovative and encouraging practices at a local level throughout Europe to combat crime and misdemeanours motivated by </w:t>
      </w:r>
      <w:r w:rsidRPr="00AA6001">
        <w:rPr>
          <w:b/>
          <w:lang w:val="en-GB"/>
        </w:rPr>
        <w:t>racism, xenophobia and all other forms of intolerance.</w:t>
      </w:r>
      <w:r>
        <w:rPr>
          <w:b/>
          <w:lang w:val="en-GB"/>
        </w:rPr>
        <w:tab/>
      </w:r>
      <w:r>
        <w:rPr>
          <w:b/>
          <w:lang w:val="en-GB"/>
        </w:rPr>
        <w:br/>
      </w:r>
    </w:p>
    <w:p w14:paraId="57DE14B8" w14:textId="5386FB72" w:rsidR="008F31F4" w:rsidRDefault="008F31F4" w:rsidP="008F31F4">
      <w:pPr>
        <w:spacing w:line="240" w:lineRule="auto"/>
        <w:jc w:val="both"/>
        <w:rPr>
          <w:lang w:val="en-GB"/>
        </w:rPr>
      </w:pPr>
      <w:r>
        <w:rPr>
          <w:b/>
          <w:shd w:val="clear" w:color="auto" w:fill="FFFF00"/>
          <w:lang w:val="en-GB"/>
        </w:rPr>
        <w:t>EVENT</w:t>
      </w:r>
      <w:r>
        <w:rPr>
          <w:b/>
          <w:lang w:val="en-GB"/>
        </w:rPr>
        <w:t xml:space="preserve"> – European Commission </w:t>
      </w:r>
      <w:r>
        <w:rPr>
          <w:lang w:val="en-GB"/>
        </w:rPr>
        <w:t xml:space="preserve">– </w:t>
      </w:r>
      <w:r w:rsidRPr="00300E7F">
        <w:rPr>
          <w:lang w:val="en-GB"/>
        </w:rPr>
        <w:t>2016 Annual Colloquium on Fundamental Rights</w:t>
      </w:r>
      <w:r>
        <w:rPr>
          <w:lang w:val="en-GB"/>
        </w:rPr>
        <w:t xml:space="preserve">: </w:t>
      </w:r>
      <w:hyperlink r:id="rId23" w:history="1">
        <w:r w:rsidRPr="00AA6001">
          <w:rPr>
            <w:rStyle w:val="Hyperlink"/>
            <w:lang w:val="en-GB"/>
          </w:rPr>
          <w:t>Media Pluralism in a democratic society</w:t>
        </w:r>
      </w:hyperlink>
      <w:r>
        <w:rPr>
          <w:lang w:val="en-GB"/>
        </w:rPr>
        <w:t>, 17-18 November 2016</w:t>
      </w:r>
      <w:r>
        <w:rPr>
          <w:lang w:val="en-GB"/>
        </w:rPr>
        <w:tab/>
      </w:r>
      <w:r>
        <w:rPr>
          <w:lang w:val="en-GB"/>
        </w:rPr>
        <w:br/>
      </w:r>
    </w:p>
    <w:p w14:paraId="284D1940" w14:textId="7018CAB0" w:rsidR="00B83CEA" w:rsidRPr="008F31F4" w:rsidRDefault="00B83CEA" w:rsidP="00B83CEA">
      <w:pPr>
        <w:spacing w:line="240" w:lineRule="auto"/>
        <w:jc w:val="both"/>
        <w:rPr>
          <w:lang w:val="en-GB"/>
        </w:rPr>
      </w:pPr>
      <w:r>
        <w:rPr>
          <w:b/>
          <w:shd w:val="clear" w:color="auto" w:fill="FFFF00"/>
          <w:lang w:val="en-GB"/>
        </w:rPr>
        <w:t>EVENT</w:t>
      </w:r>
      <w:r>
        <w:rPr>
          <w:b/>
          <w:lang w:val="en-GB"/>
        </w:rPr>
        <w:t xml:space="preserve"> – </w:t>
      </w:r>
      <w:r w:rsidRPr="001A3BA9">
        <w:rPr>
          <w:rFonts w:ascii="Calibri" w:eastAsia="Calibri" w:hAnsi="Calibri" w:cs="Times New Roman"/>
          <w:b/>
          <w:lang w:val="en-GB"/>
        </w:rPr>
        <w:t>European Union Agency for Fundamental Rights (FRA)</w:t>
      </w:r>
      <w:r w:rsidRPr="001A3BA9">
        <w:rPr>
          <w:rFonts w:ascii="Calibri" w:eastAsia="Calibri" w:hAnsi="Calibri" w:cs="Times New Roman"/>
          <w:lang w:val="en-GB"/>
        </w:rPr>
        <w:t xml:space="preserve"> –</w:t>
      </w:r>
      <w:r>
        <w:rPr>
          <w:rFonts w:ascii="Calibri" w:eastAsia="Calibri" w:hAnsi="Calibri" w:cs="Times New Roman"/>
          <w:lang w:val="en-GB"/>
        </w:rPr>
        <w:t xml:space="preserve"> </w:t>
      </w:r>
      <w:hyperlink r:id="rId24" w:history="1">
        <w:r w:rsidRPr="00533A5B">
          <w:rPr>
            <w:rStyle w:val="Hyperlink"/>
            <w:rFonts w:ascii="Calibri" w:eastAsia="Calibri" w:hAnsi="Calibri" w:cs="Times New Roman"/>
            <w:lang w:val="en-GB"/>
          </w:rPr>
          <w:t>Fundamental Rights Forum</w:t>
        </w:r>
      </w:hyperlink>
      <w:r>
        <w:rPr>
          <w:rFonts w:ascii="Calibri" w:eastAsia="Calibri" w:hAnsi="Calibri" w:cs="Times New Roman"/>
          <w:lang w:val="en-GB"/>
        </w:rPr>
        <w:t>, 20-23 June 2016, Vienna, Austria</w:t>
      </w:r>
      <w:r>
        <w:rPr>
          <w:rFonts w:ascii="Calibri" w:eastAsia="Calibri" w:hAnsi="Calibri" w:cs="Times New Roman"/>
          <w:lang w:val="en-GB"/>
        </w:rPr>
        <w:tab/>
      </w:r>
    </w:p>
    <w:p w14:paraId="6EE395CE" w14:textId="077E4036" w:rsidR="00FC2233" w:rsidRPr="00FC2233" w:rsidRDefault="00B83CEA" w:rsidP="00B83CEA">
      <w:pPr>
        <w:spacing w:line="240" w:lineRule="auto"/>
        <w:jc w:val="both"/>
        <w:rPr>
          <w:lang w:val="en-GB"/>
        </w:rPr>
      </w:pPr>
      <w:r>
        <w:rPr>
          <w:lang w:val="en-GB"/>
        </w:rPr>
        <w:br/>
      </w:r>
      <w:r w:rsidR="00C819D6" w:rsidRPr="001252F9">
        <w:rPr>
          <w:b/>
          <w:color w:val="FFFFFF" w:themeColor="background1"/>
          <w:shd w:val="clear" w:color="auto" w:fill="7030A0"/>
          <w:lang w:val="en-GB"/>
        </w:rPr>
        <w:t>PUBLICATION</w:t>
      </w:r>
      <w:r w:rsidR="00C819D6">
        <w:rPr>
          <w:b/>
          <w:lang w:val="en-GB"/>
        </w:rPr>
        <w:t xml:space="preserve"> – European Commission –</w:t>
      </w:r>
      <w:r w:rsidR="00C819D6">
        <w:rPr>
          <w:lang w:val="en-GB"/>
        </w:rPr>
        <w:t xml:space="preserve"> </w:t>
      </w:r>
      <w:hyperlink r:id="rId25" w:history="1">
        <w:r w:rsidR="00C819D6" w:rsidRPr="00C819D6">
          <w:rPr>
            <w:rStyle w:val="Hyperlink"/>
            <w:lang w:val="en-GB"/>
          </w:rPr>
          <w:t>EU Employment and Social Situation: Quarterly Review</w:t>
        </w:r>
      </w:hyperlink>
      <w:r w:rsidR="00FC2233" w:rsidRPr="00FC2233">
        <w:rPr>
          <w:rStyle w:val="Hyperlink"/>
          <w:u w:val="none"/>
          <w:lang w:val="en-GB"/>
        </w:rPr>
        <w:tab/>
      </w:r>
      <w:r w:rsidR="00FC2233">
        <w:rPr>
          <w:rStyle w:val="Hyperlink"/>
          <w:lang w:val="en-GB"/>
        </w:rPr>
        <w:br/>
      </w:r>
      <w:r w:rsidR="00FC2233" w:rsidRPr="00FC2233">
        <w:rPr>
          <w:rStyle w:val="Hyperlink"/>
          <w:u w:val="none"/>
          <w:lang w:val="en-GB"/>
        </w:rPr>
        <w:tab/>
      </w:r>
      <w:r w:rsidR="00FC2233">
        <w:rPr>
          <w:lang w:val="en-GB"/>
        </w:rPr>
        <w:br/>
      </w:r>
      <w:r w:rsidR="00E1004A">
        <w:rPr>
          <w:lang w:val="en-GB"/>
        </w:rPr>
        <w:t>The</w:t>
      </w:r>
      <w:r w:rsidR="00C819D6" w:rsidRPr="00C819D6">
        <w:rPr>
          <w:lang w:val="en-GB"/>
        </w:rPr>
        <w:t xml:space="preserve"> Quarterly Review provides in-depth analysis of recent labour market and social</w:t>
      </w:r>
      <w:r w:rsidR="00E1004A">
        <w:rPr>
          <w:lang w:val="en-GB"/>
        </w:rPr>
        <w:t xml:space="preserve"> developments on topics including economic conditions, employment and labour demand.</w:t>
      </w:r>
      <w:r w:rsidR="00FC2233">
        <w:rPr>
          <w:lang w:val="en-GB"/>
        </w:rPr>
        <w:tab/>
      </w:r>
      <w:r w:rsidR="00FC2233">
        <w:rPr>
          <w:lang w:val="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FC2233" w:rsidRPr="00854589" w14:paraId="37956DBC" w14:textId="77777777" w:rsidTr="00FC2233">
        <w:tc>
          <w:tcPr>
            <w:tcW w:w="9886" w:type="dxa"/>
          </w:tcPr>
          <w:p w14:paraId="4870F791" w14:textId="0C6C67AE" w:rsidR="00FC2233" w:rsidRDefault="00FC2233" w:rsidP="00FC2233">
            <w:pPr>
              <w:jc w:val="both"/>
              <w:rPr>
                <w:rStyle w:val="Hyperlink"/>
                <w:rFonts w:ascii="Calibri" w:eastAsia="Calibri" w:hAnsi="Calibri" w:cs="Times New Roman"/>
                <w:lang w:val="en-GB"/>
              </w:rPr>
            </w:pPr>
            <w:r>
              <w:rPr>
                <w:rFonts w:ascii="Calibri" w:eastAsia="Calibri" w:hAnsi="Calibri" w:cs="Times New Roman"/>
                <w:noProof/>
                <w:lang w:eastAsia="fr-BE"/>
              </w:rPr>
              <w:drawing>
                <wp:anchor distT="0" distB="0" distL="114300" distR="114300" simplePos="0" relativeHeight="251676672" behindDoc="0" locked="0" layoutInCell="1" allowOverlap="1" wp14:anchorId="11DF46C9" wp14:editId="13396F55">
                  <wp:simplePos x="0" y="0"/>
                  <wp:positionH relativeFrom="margin">
                    <wp:posOffset>5125720</wp:posOffset>
                  </wp:positionH>
                  <wp:positionV relativeFrom="margin">
                    <wp:posOffset>-201930</wp:posOffset>
                  </wp:positionV>
                  <wp:extent cx="1055370" cy="1419225"/>
                  <wp:effectExtent l="19050" t="19050" r="11430"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55370" cy="14192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252F9">
              <w:rPr>
                <w:b/>
                <w:color w:val="FFFFFF" w:themeColor="background1"/>
                <w:shd w:val="clear" w:color="auto" w:fill="7030A0"/>
                <w:lang w:val="en-GB"/>
              </w:rPr>
              <w:t>PUBLICATION</w:t>
            </w:r>
            <w:r>
              <w:rPr>
                <w:b/>
                <w:lang w:val="en-GB"/>
              </w:rPr>
              <w:t xml:space="preserve"> – </w:t>
            </w:r>
            <w:r w:rsidRPr="001A3BA9">
              <w:rPr>
                <w:rFonts w:ascii="Calibri" w:eastAsia="Calibri" w:hAnsi="Calibri" w:cs="Times New Roman"/>
                <w:b/>
                <w:lang w:val="en-GB"/>
              </w:rPr>
              <w:t>European Union Agency for Fundamental Rights (FRA)</w:t>
            </w:r>
            <w:r w:rsidRPr="001A3BA9">
              <w:rPr>
                <w:rFonts w:ascii="Calibri" w:eastAsia="Calibri" w:hAnsi="Calibri" w:cs="Times New Roman"/>
                <w:lang w:val="en-GB"/>
              </w:rPr>
              <w:t xml:space="preserve"> –</w:t>
            </w:r>
            <w:r>
              <w:rPr>
                <w:rFonts w:ascii="Calibri" w:eastAsia="Calibri" w:hAnsi="Calibri" w:cs="Times New Roman"/>
                <w:lang w:val="en-GB"/>
              </w:rPr>
              <w:t xml:space="preserve"> </w:t>
            </w:r>
            <w:hyperlink r:id="rId27" w:history="1">
              <w:r w:rsidRPr="00C607F3">
                <w:rPr>
                  <w:rStyle w:val="Hyperlink"/>
                  <w:rFonts w:ascii="Calibri" w:eastAsia="Calibri" w:hAnsi="Calibri" w:cs="Times New Roman"/>
                  <w:lang w:val="en-GB"/>
                </w:rPr>
                <w:t>Ensuring justice for hate crime victims: professional perspectives</w:t>
              </w:r>
            </w:hyperlink>
            <w:r>
              <w:rPr>
                <w:rFonts w:ascii="Calibri" w:eastAsia="Calibri" w:hAnsi="Calibri" w:cs="Times New Roman"/>
                <w:lang w:val="en-GB"/>
              </w:rPr>
              <w:t xml:space="preserve"> and online </w:t>
            </w:r>
            <w:hyperlink r:id="rId28" w:history="1">
              <w:r w:rsidRPr="00725924">
                <w:rPr>
                  <w:rStyle w:val="Hyperlink"/>
                  <w:rFonts w:ascii="Calibri" w:eastAsia="Calibri" w:hAnsi="Calibri" w:cs="Times New Roman"/>
                  <w:lang w:val="en-GB"/>
                </w:rPr>
                <w:t>Compendium of practices for combating hate crime</w:t>
              </w:r>
            </w:hyperlink>
          </w:p>
          <w:p w14:paraId="05C1F660" w14:textId="77777777" w:rsidR="00FC2233" w:rsidRPr="00725924" w:rsidRDefault="00FC2233" w:rsidP="00FC2233">
            <w:pPr>
              <w:jc w:val="both"/>
              <w:rPr>
                <w:rFonts w:ascii="Calibri" w:eastAsia="Calibri" w:hAnsi="Calibri" w:cs="Times New Roman"/>
                <w:lang w:val="en-GB"/>
              </w:rPr>
            </w:pPr>
          </w:p>
          <w:p w14:paraId="36B77878" w14:textId="3713C4A9" w:rsidR="00FC2233" w:rsidRDefault="00FC2233" w:rsidP="00FC2233">
            <w:pPr>
              <w:jc w:val="both"/>
              <w:rPr>
                <w:rFonts w:ascii="Calibri" w:eastAsia="Calibri" w:hAnsi="Calibri" w:cs="Times New Roman"/>
                <w:lang w:val="en-GB"/>
              </w:rPr>
            </w:pPr>
            <w:r>
              <w:rPr>
                <w:rFonts w:ascii="Calibri" w:eastAsia="Calibri" w:hAnsi="Calibri" w:cs="Times New Roman"/>
                <w:lang w:val="en-GB"/>
              </w:rPr>
              <w:t xml:space="preserve">FRA published a report providing </w:t>
            </w:r>
            <w:r w:rsidRPr="00E624F5">
              <w:rPr>
                <w:rFonts w:ascii="Calibri" w:eastAsia="Calibri" w:hAnsi="Calibri" w:cs="Times New Roman"/>
                <w:b/>
                <w:lang w:val="en-GB"/>
              </w:rPr>
              <w:t>practical guidance on combating hate</w:t>
            </w:r>
            <w:r w:rsidRPr="00725924">
              <w:rPr>
                <w:rFonts w:ascii="Calibri" w:eastAsia="Calibri" w:hAnsi="Calibri" w:cs="Times New Roman"/>
                <w:lang w:val="en-GB"/>
              </w:rPr>
              <w:t xml:space="preserve"> crime</w:t>
            </w:r>
            <w:r>
              <w:rPr>
                <w:rFonts w:ascii="Calibri" w:eastAsia="Calibri" w:hAnsi="Calibri" w:cs="Times New Roman"/>
                <w:lang w:val="en-GB"/>
              </w:rPr>
              <w:t xml:space="preserve"> from the perspective of professional in the sector. The report is accompanied by an online </w:t>
            </w:r>
            <w:r w:rsidRPr="00E624F5">
              <w:rPr>
                <w:rFonts w:ascii="Calibri" w:eastAsia="Calibri" w:hAnsi="Calibri" w:cs="Times New Roman"/>
                <w:b/>
                <w:lang w:val="en-GB"/>
              </w:rPr>
              <w:t>compendium colleting practices</w:t>
            </w:r>
            <w:r w:rsidRPr="00B82E36">
              <w:rPr>
                <w:rFonts w:ascii="Calibri" w:eastAsia="Calibri" w:hAnsi="Calibri" w:cs="Times New Roman"/>
                <w:lang w:val="en-GB"/>
              </w:rPr>
              <w:t xml:space="preserve"> for combating hate crime from across the EU, with a step-by-step description of the practice broken down by country and category.</w:t>
            </w:r>
          </w:p>
        </w:tc>
      </w:tr>
    </w:tbl>
    <w:p w14:paraId="2DAD4D4C" w14:textId="50F6A40F" w:rsidR="00FC2233" w:rsidRPr="00FC2233" w:rsidRDefault="00FC2233" w:rsidP="00FC2233">
      <w:pPr>
        <w:spacing w:line="240" w:lineRule="auto"/>
        <w:jc w:val="both"/>
        <w:rPr>
          <w:rFonts w:ascii="Calibri" w:eastAsia="Calibri" w:hAnsi="Calibri" w:cs="Times New Roman"/>
          <w:color w:val="0563C1" w:themeColor="hyperlink"/>
          <w:u w:val="single"/>
          <w:lang w:val="en-GB"/>
        </w:rPr>
      </w:pPr>
      <w:r>
        <w:rPr>
          <w:b/>
          <w:color w:val="FFFFFF" w:themeColor="background1"/>
          <w:shd w:val="clear" w:color="auto" w:fill="7030A0"/>
          <w:lang w:val="en-GB"/>
        </w:rPr>
        <w:br/>
      </w:r>
      <w:r w:rsidRPr="001252F9">
        <w:rPr>
          <w:b/>
          <w:color w:val="FFFFFF" w:themeColor="background1"/>
          <w:shd w:val="clear" w:color="auto" w:fill="7030A0"/>
          <w:lang w:val="en-GB"/>
        </w:rPr>
        <w:t>PUBLICATION</w:t>
      </w:r>
      <w:r>
        <w:rPr>
          <w:b/>
          <w:lang w:val="en-GB"/>
        </w:rPr>
        <w:t xml:space="preserve"> – </w:t>
      </w:r>
      <w:r w:rsidRPr="001A3BA9">
        <w:rPr>
          <w:rFonts w:ascii="Calibri" w:eastAsia="Calibri" w:hAnsi="Calibri" w:cs="Times New Roman"/>
          <w:b/>
          <w:lang w:val="en-GB"/>
        </w:rPr>
        <w:t>European Union Agency for Fundamental Rights (FRA)</w:t>
      </w:r>
      <w:r w:rsidRPr="001A3BA9">
        <w:rPr>
          <w:rFonts w:ascii="Calibri" w:eastAsia="Calibri" w:hAnsi="Calibri" w:cs="Times New Roman"/>
          <w:lang w:val="en-GB"/>
        </w:rPr>
        <w:t xml:space="preserve"> –</w:t>
      </w:r>
      <w:r>
        <w:rPr>
          <w:rFonts w:ascii="Calibri" w:eastAsia="Calibri" w:hAnsi="Calibri" w:cs="Times New Roman"/>
          <w:lang w:val="en-GB"/>
        </w:rPr>
        <w:t xml:space="preserve"> </w:t>
      </w:r>
      <w:hyperlink r:id="rId29" w:history="1">
        <w:r w:rsidRPr="00F204A4">
          <w:rPr>
            <w:rStyle w:val="Hyperlink"/>
            <w:rFonts w:ascii="Calibri" w:eastAsia="Calibri" w:hAnsi="Calibri" w:cs="Times New Roman"/>
            <w:lang w:val="en-GB"/>
          </w:rPr>
          <w:t>FRA Opinion on the development of an integrated tool of objective fundamental rights indicators able to measure compliance with the shared values listed in Article TEU based on existing sources of information</w:t>
        </w:r>
      </w:hyperlink>
      <w:r w:rsidRPr="00FC2233">
        <w:rPr>
          <w:rStyle w:val="Hyperlink"/>
          <w:rFonts w:ascii="Calibri" w:eastAsia="Calibri" w:hAnsi="Calibri" w:cs="Times New Roman"/>
          <w:u w:val="none"/>
          <w:lang w:val="en-GB"/>
        </w:rPr>
        <w:tab/>
      </w:r>
      <w:r>
        <w:rPr>
          <w:rStyle w:val="Hyperlink"/>
          <w:rFonts w:ascii="Calibri" w:eastAsia="Calibri" w:hAnsi="Calibri" w:cs="Times New Roman"/>
          <w:lang w:val="en-GB"/>
        </w:rPr>
        <w:br/>
      </w:r>
    </w:p>
    <w:p w14:paraId="690721EC" w14:textId="3F50DA68" w:rsidR="00B83CEA" w:rsidRPr="00052136" w:rsidRDefault="00C32C29" w:rsidP="00C53365">
      <w:pPr>
        <w:spacing w:line="240" w:lineRule="auto"/>
        <w:jc w:val="both"/>
        <w:rPr>
          <w:lang w:val="en-GB"/>
        </w:rPr>
      </w:pPr>
      <w:r w:rsidRPr="001252F9">
        <w:rPr>
          <w:b/>
          <w:color w:val="FFFFFF" w:themeColor="background1"/>
          <w:shd w:val="clear" w:color="auto" w:fill="7030A0"/>
          <w:lang w:val="en-GB"/>
        </w:rPr>
        <w:t>PUBLICATION</w:t>
      </w:r>
      <w:r>
        <w:rPr>
          <w:b/>
          <w:lang w:val="en-GB"/>
        </w:rPr>
        <w:t xml:space="preserve"> – Council of Europe</w:t>
      </w:r>
      <w:r>
        <w:rPr>
          <w:lang w:val="en-GB"/>
        </w:rPr>
        <w:t xml:space="preserve"> – </w:t>
      </w:r>
      <w:hyperlink r:id="rId30" w:history="1">
        <w:r w:rsidRPr="00C32C29">
          <w:rPr>
            <w:rStyle w:val="Hyperlink"/>
            <w:lang w:val="en-GB"/>
          </w:rPr>
          <w:t>Commissioner for Human Rights' annual activity report for 2015</w:t>
        </w:r>
      </w:hyperlink>
      <w:r w:rsidR="00C53365" w:rsidRPr="00C53365">
        <w:rPr>
          <w:rStyle w:val="Hyperlink"/>
          <w:u w:val="none"/>
          <w:lang w:val="en-GB"/>
        </w:rPr>
        <w:tab/>
      </w:r>
      <w:r w:rsidR="00FC2233">
        <w:rPr>
          <w:rStyle w:val="Hyperlink"/>
          <w:lang w:val="en-GB"/>
        </w:rPr>
        <w:br/>
      </w:r>
      <w:r w:rsidR="00C53365">
        <w:rPr>
          <w:lang w:val="en-GB"/>
        </w:rPr>
        <w:br/>
        <w:t>Page 37: “</w:t>
      </w:r>
      <w:r w:rsidR="00C53365" w:rsidRPr="00C53365">
        <w:rPr>
          <w:lang w:val="en-GB"/>
        </w:rPr>
        <w:t xml:space="preserve">National human rights structures (NHRSs – e.g. ombudsman institutions, human rights commissions and equality bodies) are essential partners in the Commissioner’s dialogue with member states as spelled out in the Commissioner’s mandate. The Commissioner meets with representatives of NHRSs during his country visits and in Strasbourg to identify human rights concerns. Information provided by NHRSs is regularly used in the preparation of country visits and referred to in the reports following them. </w:t>
      </w:r>
      <w:r w:rsidR="00C53365" w:rsidRPr="00C53365">
        <w:rPr>
          <w:b/>
          <w:lang w:val="en-GB"/>
        </w:rPr>
        <w:t>The Commissioner also promotes the independence and effectiveness of NHRSs</w:t>
      </w:r>
      <w:r w:rsidR="00C53365" w:rsidRPr="00C53365">
        <w:rPr>
          <w:lang w:val="en-GB"/>
        </w:rPr>
        <w:t>.</w:t>
      </w:r>
      <w:r w:rsidR="00C53365">
        <w:rPr>
          <w:lang w:val="en-GB"/>
        </w:rPr>
        <w:t>”</w:t>
      </w:r>
    </w:p>
    <w:p w14:paraId="4D09647F" w14:textId="77777777" w:rsidR="00B83CEA" w:rsidRDefault="00B83CEA">
      <w:pPr>
        <w:rPr>
          <w:rFonts w:ascii="Tahoma" w:eastAsiaTheme="majorEastAsia" w:hAnsi="Tahoma" w:cstheme="majorBidi"/>
          <w:b/>
          <w:color w:val="0070C0"/>
          <w:sz w:val="32"/>
          <w:szCs w:val="32"/>
          <w:lang w:val="en-GB"/>
        </w:rPr>
      </w:pPr>
      <w:bookmarkStart w:id="14" w:name="_Gender_Equality"/>
      <w:bookmarkEnd w:id="14"/>
      <w:r>
        <w:rPr>
          <w:color w:val="0070C0"/>
          <w:lang w:val="en-GB"/>
        </w:rPr>
        <w:br w:type="page"/>
      </w:r>
    </w:p>
    <w:p w14:paraId="074EF7E3" w14:textId="019505BA" w:rsidR="00B05622" w:rsidRPr="00AA6001" w:rsidRDefault="00B05622" w:rsidP="00CE7D4C">
      <w:pPr>
        <w:pStyle w:val="Heading1"/>
        <w:pBdr>
          <w:top w:val="dotted" w:sz="4" w:space="1" w:color="auto"/>
          <w:bottom w:val="dotted" w:sz="4" w:space="1" w:color="auto"/>
        </w:pBdr>
        <w:spacing w:line="240" w:lineRule="auto"/>
        <w:rPr>
          <w:lang w:val="en-GB"/>
        </w:rPr>
      </w:pPr>
      <w:r w:rsidRPr="00AA6001">
        <w:rPr>
          <w:lang w:val="en-GB"/>
        </w:rPr>
        <w:t>Gender Equality</w:t>
      </w:r>
    </w:p>
    <w:p w14:paraId="4F2A5C42" w14:textId="77777777" w:rsidR="00D47BC3" w:rsidRPr="001A3BA9" w:rsidRDefault="00D47BC3" w:rsidP="00CE7D4C">
      <w:pPr>
        <w:spacing w:line="240" w:lineRule="auto"/>
        <w:jc w:val="both"/>
        <w:rPr>
          <w:lang w:val="en-GB"/>
        </w:rPr>
      </w:pPr>
    </w:p>
    <w:p w14:paraId="2722241F" w14:textId="0ECFC9AC" w:rsidR="00D47BC3" w:rsidRDefault="006A0A69" w:rsidP="00CE7D4C">
      <w:pPr>
        <w:pStyle w:val="Heading2"/>
        <w:spacing w:line="240" w:lineRule="auto"/>
        <w:jc w:val="both"/>
        <w:rPr>
          <w:lang w:val="en-GB"/>
        </w:rPr>
      </w:pPr>
      <w:r w:rsidRPr="001A3BA9">
        <w:rPr>
          <w:lang w:val="en-GB"/>
        </w:rPr>
        <w:t>Publications, funding opportunities and events</w:t>
      </w:r>
    </w:p>
    <w:p w14:paraId="586B3909" w14:textId="78486CAA" w:rsidR="001252F9" w:rsidRPr="001252F9" w:rsidRDefault="001252F9" w:rsidP="00CE7D4C">
      <w:pPr>
        <w:spacing w:line="240" w:lineRule="auto"/>
        <w:rPr>
          <w:lang w:val="en-GB"/>
        </w:rPr>
      </w:pPr>
    </w:p>
    <w:p w14:paraId="561E90B0" w14:textId="5613F4C1" w:rsidR="00C87C61" w:rsidRDefault="00B83CEA" w:rsidP="00CE7D4C">
      <w:pPr>
        <w:spacing w:line="240" w:lineRule="auto"/>
        <w:jc w:val="both"/>
        <w:rPr>
          <w:rFonts w:ascii="Calibri" w:eastAsia="Calibri" w:hAnsi="Calibri" w:cs="Times New Roman"/>
          <w:lang w:val="en-GB"/>
        </w:rPr>
      </w:pPr>
      <w:r>
        <w:rPr>
          <w:b/>
          <w:shd w:val="clear" w:color="auto" w:fill="00B0F0"/>
          <w:lang w:val="en-GB"/>
        </w:rPr>
        <w:t>CALL FOR CONTRIBUTIONS</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sidRPr="00E86A7A">
        <w:rPr>
          <w:rFonts w:ascii="Calibri" w:eastAsia="Calibri" w:hAnsi="Calibri" w:cs="Times New Roman"/>
          <w:b/>
          <w:lang w:val="en-GB"/>
        </w:rPr>
        <w:t>European Institute for Gender Equality</w:t>
      </w:r>
      <w:r>
        <w:rPr>
          <w:rFonts w:ascii="Calibri" w:eastAsia="Calibri" w:hAnsi="Calibri" w:cs="Times New Roman"/>
          <w:lang w:val="en-GB"/>
        </w:rPr>
        <w:t xml:space="preserve"> </w:t>
      </w:r>
      <w:r>
        <w:rPr>
          <w:rFonts w:ascii="Calibri" w:eastAsia="Calibri" w:hAnsi="Calibri" w:cs="Times New Roman"/>
          <w:b/>
          <w:lang w:val="en-GB"/>
        </w:rPr>
        <w:t xml:space="preserve">(EIGE) </w:t>
      </w:r>
      <w:r>
        <w:rPr>
          <w:rFonts w:ascii="Calibri" w:eastAsia="Calibri" w:hAnsi="Calibri" w:cs="Times New Roman"/>
          <w:lang w:val="en-GB"/>
        </w:rPr>
        <w:t>–</w:t>
      </w:r>
      <w:r w:rsidRPr="00B17291">
        <w:rPr>
          <w:lang w:val="en-GB"/>
        </w:rPr>
        <w:t xml:space="preserve"> </w:t>
      </w:r>
      <w:hyperlink r:id="rId31" w:history="1">
        <w:r w:rsidRPr="00B83CEA">
          <w:rPr>
            <w:rStyle w:val="Hyperlink"/>
            <w:rFonts w:ascii="Calibri" w:eastAsia="Calibri" w:hAnsi="Calibri" w:cs="Times New Roman"/>
            <w:lang w:val="en-GB"/>
          </w:rPr>
          <w:t>Call for expressions of interest for the establishment of a list of external experts</w:t>
        </w:r>
      </w:hyperlink>
      <w:r w:rsidR="00C87C61">
        <w:rPr>
          <w:rFonts w:ascii="Calibri" w:eastAsia="Calibri" w:hAnsi="Calibri" w:cs="Times New Roman"/>
          <w:lang w:val="en-GB"/>
        </w:rPr>
        <w:tab/>
      </w:r>
      <w:r w:rsidR="00C87C61">
        <w:rPr>
          <w:rFonts w:ascii="Calibri" w:eastAsia="Calibri" w:hAnsi="Calibri" w:cs="Times New Roman"/>
          <w:lang w:val="en-GB"/>
        </w:rPr>
        <w:br/>
      </w:r>
    </w:p>
    <w:p w14:paraId="442BC77A" w14:textId="56A179C3" w:rsidR="00C87C61" w:rsidRPr="00C87C61" w:rsidRDefault="00C87C61" w:rsidP="00C87C61">
      <w:pPr>
        <w:jc w:val="both"/>
        <w:rPr>
          <w:lang w:val="en-GB"/>
        </w:rPr>
      </w:pPr>
      <w:r w:rsidRPr="00C87C61">
        <w:rPr>
          <w:b/>
          <w:highlight w:val="yellow"/>
          <w:lang w:val="en-GB"/>
        </w:rPr>
        <w:t>EVENT</w:t>
      </w:r>
      <w:r w:rsidRPr="00C87C61">
        <w:rPr>
          <w:b/>
          <w:lang w:val="en-GB"/>
        </w:rPr>
        <w:t xml:space="preserve"> – ENAR (European Network against Racism) -</w:t>
      </w:r>
      <w:r w:rsidRPr="00C87C61">
        <w:rPr>
          <w:lang w:val="en-GB"/>
        </w:rPr>
        <w:t xml:space="preserve"> </w:t>
      </w:r>
      <w:hyperlink r:id="rId32" w:history="1">
        <w:r w:rsidRPr="00C87C61">
          <w:rPr>
            <w:color w:val="0563C1" w:themeColor="hyperlink"/>
            <w:u w:val="single"/>
            <w:lang w:val="en-GB"/>
          </w:rPr>
          <w:t>Symposium: Muslim women, forgotten women?</w:t>
        </w:r>
      </w:hyperlink>
      <w:r w:rsidRPr="00C87C61">
        <w:rPr>
          <w:lang w:val="en-GB"/>
        </w:rPr>
        <w:t xml:space="preserve"> – Thursday 26</w:t>
      </w:r>
      <w:r w:rsidRPr="00C87C61">
        <w:rPr>
          <w:vertAlign w:val="superscript"/>
          <w:lang w:val="en-GB"/>
        </w:rPr>
        <w:t>th</w:t>
      </w:r>
      <w:r w:rsidRPr="00C87C61">
        <w:rPr>
          <w:lang w:val="en-GB"/>
        </w:rPr>
        <w:t xml:space="preserve"> May 2016, Brussels</w:t>
      </w:r>
      <w:r>
        <w:rPr>
          <w:lang w:val="en-GB"/>
        </w:rPr>
        <w:tab/>
      </w:r>
      <w:r>
        <w:rPr>
          <w:lang w:val="en-GB"/>
        </w:rPr>
        <w:br/>
      </w:r>
    </w:p>
    <w:p w14:paraId="741808A0" w14:textId="666D8B84" w:rsidR="00C87C61" w:rsidRDefault="00C87C61" w:rsidP="00C87C61">
      <w:pPr>
        <w:jc w:val="both"/>
        <w:rPr>
          <w:lang w:val="en-GB"/>
        </w:rPr>
      </w:pPr>
      <w:r w:rsidRPr="001A3BA9">
        <w:rPr>
          <w:b/>
          <w:color w:val="FFFFFF" w:themeColor="background1"/>
          <w:shd w:val="clear" w:color="auto" w:fill="00B050"/>
          <w:lang w:val="en-GB"/>
        </w:rPr>
        <w:t>FUNDING OPPORTUNITY</w:t>
      </w:r>
      <w:r>
        <w:rPr>
          <w:lang w:val="en-GB"/>
        </w:rPr>
        <w:t xml:space="preserve"> – </w:t>
      </w:r>
      <w:r w:rsidRPr="008427D7">
        <w:rPr>
          <w:b/>
          <w:lang w:val="en-GB"/>
        </w:rPr>
        <w:t>European Commission</w:t>
      </w:r>
      <w:r>
        <w:rPr>
          <w:lang w:val="en-GB"/>
        </w:rPr>
        <w:t xml:space="preserve"> – </w:t>
      </w:r>
      <w:hyperlink r:id="rId33" w:history="1">
        <w:r w:rsidRPr="00D51E65">
          <w:rPr>
            <w:rStyle w:val="Hyperlink"/>
            <w:lang w:val="en-GB"/>
          </w:rPr>
          <w:t>Call for proposal for action grants to support transnational projects to promote good practices on gender roles and to overcome gender stereotypes in education, training and in the workplace</w:t>
        </w:r>
      </w:hyperlink>
      <w:r>
        <w:rPr>
          <w:lang w:val="en-GB"/>
        </w:rPr>
        <w:t xml:space="preserve"> (D</w:t>
      </w:r>
      <w:r w:rsidRPr="008427D7">
        <w:rPr>
          <w:lang w:val="en-GB"/>
        </w:rPr>
        <w:t>eadline: 27</w:t>
      </w:r>
      <w:r w:rsidRPr="008427D7">
        <w:rPr>
          <w:vertAlign w:val="superscript"/>
          <w:lang w:val="en-GB"/>
        </w:rPr>
        <w:t>th</w:t>
      </w:r>
      <w:r>
        <w:rPr>
          <w:lang w:val="en-GB"/>
        </w:rPr>
        <w:t xml:space="preserve"> May 2016)</w:t>
      </w:r>
      <w:r>
        <w:rPr>
          <w:lang w:val="en-GB"/>
        </w:rPr>
        <w:tab/>
      </w:r>
      <w:r>
        <w:rPr>
          <w:lang w:val="en-GB"/>
        </w:rPr>
        <w:br/>
      </w:r>
    </w:p>
    <w:p w14:paraId="4547C63B" w14:textId="7D270737" w:rsidR="001252F9" w:rsidRPr="00C87C61" w:rsidRDefault="00C87C61" w:rsidP="00C87C61">
      <w:pPr>
        <w:jc w:val="both"/>
        <w:rPr>
          <w:lang w:val="en-GB"/>
        </w:rPr>
      </w:pPr>
      <w:r w:rsidRPr="001A3BA9">
        <w:rPr>
          <w:b/>
          <w:color w:val="FFFFFF" w:themeColor="background1"/>
          <w:shd w:val="clear" w:color="auto" w:fill="00B050"/>
          <w:lang w:val="en-GB"/>
        </w:rPr>
        <w:t>FUNDING OPPORTUNITY</w:t>
      </w:r>
      <w:r>
        <w:rPr>
          <w:lang w:val="en-GB"/>
        </w:rPr>
        <w:t xml:space="preserve"> – </w:t>
      </w:r>
      <w:r w:rsidRPr="008427D7">
        <w:rPr>
          <w:b/>
          <w:lang w:val="en-GB"/>
        </w:rPr>
        <w:t>European Commission</w:t>
      </w:r>
      <w:r>
        <w:rPr>
          <w:lang w:val="en-GB"/>
        </w:rPr>
        <w:t xml:space="preserve"> - </w:t>
      </w:r>
      <w:hyperlink r:id="rId34" w:history="1">
        <w:r w:rsidRPr="008427D7">
          <w:rPr>
            <w:rStyle w:val="Hyperlink"/>
            <w:lang w:val="en-GB"/>
          </w:rPr>
          <w:t>Daphne call - Action grant</w:t>
        </w:r>
        <w:r w:rsidRPr="00D51E65">
          <w:rPr>
            <w:rStyle w:val="Hyperlink"/>
            <w:lang w:val="en-GB"/>
          </w:rPr>
          <w:t>s to support national or transnational projects on multi-agency and multi-disciplinary cooperation to respond to violence against women and/or children, and on tackling underreporting</w:t>
        </w:r>
      </w:hyperlink>
      <w:r>
        <w:rPr>
          <w:lang w:val="en-GB"/>
        </w:rPr>
        <w:t xml:space="preserve"> (D</w:t>
      </w:r>
      <w:r w:rsidRPr="004B0ABE">
        <w:rPr>
          <w:lang w:val="en-GB"/>
        </w:rPr>
        <w:t xml:space="preserve">eadline: </w:t>
      </w:r>
      <w:r>
        <w:rPr>
          <w:lang w:val="en-GB"/>
        </w:rPr>
        <w:t>1</w:t>
      </w:r>
      <w:r w:rsidRPr="004B0ABE">
        <w:rPr>
          <w:vertAlign w:val="superscript"/>
          <w:lang w:val="en-GB"/>
        </w:rPr>
        <w:t>st</w:t>
      </w:r>
      <w:r>
        <w:rPr>
          <w:lang w:val="en-GB"/>
        </w:rPr>
        <w:t xml:space="preserve"> June 2016)</w:t>
      </w:r>
      <w:r>
        <w:rPr>
          <w:lang w:val="en-GB"/>
        </w:rPr>
        <w:tab/>
      </w:r>
      <w:r w:rsidR="00B83CEA">
        <w:rPr>
          <w:rStyle w:val="Hyperlink"/>
          <w:lang w:val="en-GB"/>
        </w:rPr>
        <w:br/>
      </w:r>
    </w:p>
    <w:p w14:paraId="6C8AF365" w14:textId="3BA5D6F1" w:rsidR="00B83CEA" w:rsidRDefault="00B83CEA" w:rsidP="00B83CEA">
      <w:pPr>
        <w:spacing w:line="240" w:lineRule="auto"/>
        <w:jc w:val="both"/>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sidRPr="00E86A7A">
        <w:rPr>
          <w:rFonts w:ascii="Calibri" w:eastAsia="Calibri" w:hAnsi="Calibri" w:cs="Times New Roman"/>
          <w:b/>
          <w:lang w:val="en-GB"/>
        </w:rPr>
        <w:t>European Institute for Gender Equality</w:t>
      </w:r>
      <w:r>
        <w:rPr>
          <w:rFonts w:ascii="Calibri" w:eastAsia="Calibri" w:hAnsi="Calibri" w:cs="Times New Roman"/>
          <w:lang w:val="en-GB"/>
        </w:rPr>
        <w:t xml:space="preserve"> </w:t>
      </w:r>
      <w:r>
        <w:rPr>
          <w:rFonts w:ascii="Calibri" w:eastAsia="Calibri" w:hAnsi="Calibri" w:cs="Times New Roman"/>
          <w:b/>
          <w:lang w:val="en-GB"/>
        </w:rPr>
        <w:t xml:space="preserve">(EIGE) </w:t>
      </w:r>
      <w:r>
        <w:rPr>
          <w:rFonts w:ascii="Calibri" w:eastAsia="Calibri" w:hAnsi="Calibri" w:cs="Times New Roman"/>
          <w:lang w:val="en-GB"/>
        </w:rPr>
        <w:t xml:space="preserve">– </w:t>
      </w:r>
      <w:hyperlink r:id="rId35" w:history="1">
        <w:r w:rsidRPr="0059007C">
          <w:rPr>
            <w:rStyle w:val="Hyperlink"/>
            <w:rFonts w:ascii="Calibri" w:eastAsia="Calibri" w:hAnsi="Calibri" w:cs="Times New Roman"/>
            <w:lang w:val="en-GB"/>
          </w:rPr>
          <w:t>An analysis of the Victims’ Rights Directive from a gender perspective</w:t>
        </w:r>
      </w:hyperlink>
      <w:r w:rsidRPr="00B83CEA">
        <w:rPr>
          <w:rStyle w:val="Hyperlink"/>
          <w:rFonts w:ascii="Calibri" w:eastAsia="Calibri" w:hAnsi="Calibri" w:cs="Times New Roman"/>
          <w:u w:val="none"/>
          <w:lang w:val="en-GB"/>
        </w:rPr>
        <w:tab/>
      </w:r>
      <w:r>
        <w:rPr>
          <w:rStyle w:val="Hyperlink"/>
          <w:rFonts w:ascii="Calibri" w:eastAsia="Calibri" w:hAnsi="Calibri" w:cs="Times New Roman"/>
          <w:lang w:val="en-GB"/>
        </w:rPr>
        <w:br/>
      </w:r>
    </w:p>
    <w:p w14:paraId="503CFE24" w14:textId="13EBD36B" w:rsidR="004B535D" w:rsidRDefault="006A0A69" w:rsidP="00CE7D4C">
      <w:pPr>
        <w:spacing w:line="240" w:lineRule="auto"/>
        <w:jc w:val="both"/>
        <w:rPr>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Pr="001A3BA9">
        <w:rPr>
          <w:b/>
          <w:lang w:val="en-GB"/>
        </w:rPr>
        <w:t xml:space="preserve">European </w:t>
      </w:r>
      <w:r w:rsidR="005C3238">
        <w:rPr>
          <w:b/>
          <w:lang w:val="en-GB"/>
        </w:rPr>
        <w:t>Women on Board (EWB)</w:t>
      </w:r>
      <w:r w:rsidR="005C3238" w:rsidRPr="001A3BA9">
        <w:rPr>
          <w:lang w:val="en-GB"/>
        </w:rPr>
        <w:t xml:space="preserve"> </w:t>
      </w:r>
      <w:r w:rsidRPr="001A3BA9">
        <w:rPr>
          <w:lang w:val="en-GB"/>
        </w:rPr>
        <w:t xml:space="preserve">– </w:t>
      </w:r>
      <w:hyperlink r:id="rId36" w:history="1">
        <w:r w:rsidR="005C3238" w:rsidRPr="005C3238">
          <w:rPr>
            <w:rStyle w:val="Hyperlink"/>
            <w:lang w:val="en-GB"/>
          </w:rPr>
          <w:t>Gender Diversity on European Boards – Realising Europe’s Potential: Progress and Challenges</w:t>
        </w:r>
      </w:hyperlink>
      <w:r w:rsidR="00B83CEA" w:rsidRPr="00B83CEA">
        <w:rPr>
          <w:rStyle w:val="Hyperlink"/>
          <w:u w:val="none"/>
          <w:lang w:val="en-GB"/>
        </w:rPr>
        <w:tab/>
      </w:r>
      <w:r w:rsidR="00B83CEA" w:rsidRPr="00B83CEA">
        <w:rPr>
          <w:rStyle w:val="Hyperlink"/>
          <w:u w:val="none"/>
          <w:lang w:val="en-GB"/>
        </w:rPr>
        <w:br/>
      </w:r>
    </w:p>
    <w:p w14:paraId="0F248402" w14:textId="3FA5CA3A" w:rsidR="00A111CC" w:rsidRPr="001A3BA9" w:rsidRDefault="00253898" w:rsidP="00CE7D4C">
      <w:pPr>
        <w:spacing w:line="240" w:lineRule="auto"/>
        <w:jc w:val="both"/>
        <w:rPr>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sidRPr="00E86A7A">
        <w:rPr>
          <w:lang w:val="en-GB"/>
        </w:rPr>
        <w:t xml:space="preserve"> </w:t>
      </w:r>
      <w:r w:rsidRPr="00E86A7A">
        <w:rPr>
          <w:rFonts w:ascii="Calibri" w:eastAsia="Calibri" w:hAnsi="Calibri" w:cs="Times New Roman"/>
          <w:b/>
          <w:lang w:val="en-GB"/>
        </w:rPr>
        <w:t>Gender Wage Watchers</w:t>
      </w:r>
      <w:r>
        <w:rPr>
          <w:rFonts w:ascii="Calibri" w:eastAsia="Calibri" w:hAnsi="Calibri" w:cs="Times New Roman"/>
          <w:lang w:val="en-GB"/>
        </w:rPr>
        <w:t xml:space="preserve"> – </w:t>
      </w:r>
      <w:r w:rsidR="00B83CEA">
        <w:rPr>
          <w:lang w:val="en-GB"/>
        </w:rPr>
        <w:t>P</w:t>
      </w:r>
      <w:r w:rsidR="00B83CEA" w:rsidRPr="00253898">
        <w:rPr>
          <w:lang w:val="en-GB"/>
        </w:rPr>
        <w:t>roject ′</w:t>
      </w:r>
      <w:r w:rsidR="00B83CEA" w:rsidRPr="00B83CEA">
        <w:rPr>
          <w:b/>
          <w:lang w:val="en-GB"/>
        </w:rPr>
        <w:t>Gender Pay Gap: New Solutions for an Old Problem. Developing Transnational Strategies Together with Trade Unions and Gender Equality Units to Tackle the Gender Pay Gap</w:t>
      </w:r>
      <w:r w:rsidR="00B83CEA">
        <w:rPr>
          <w:lang w:val="en-GB"/>
        </w:rPr>
        <w:t xml:space="preserve">′ - </w:t>
      </w:r>
      <w:hyperlink r:id="rId37" w:history="1">
        <w:r w:rsidRPr="00253898">
          <w:rPr>
            <w:rStyle w:val="Hyperlink"/>
            <w:rFonts w:ascii="Calibri" w:eastAsia="Calibri" w:hAnsi="Calibri" w:cs="Times New Roman"/>
            <w:lang w:val="en-GB"/>
          </w:rPr>
          <w:t>Comparative Report</w:t>
        </w:r>
      </w:hyperlink>
      <w:r w:rsidRPr="00253898">
        <w:rPr>
          <w:rFonts w:ascii="Calibri" w:eastAsia="Calibri" w:hAnsi="Calibri" w:cs="Times New Roman"/>
          <w:lang w:val="en-GB"/>
        </w:rPr>
        <w:cr/>
      </w:r>
      <w:r w:rsidR="00B83CEA">
        <w:rPr>
          <w:rFonts w:ascii="Calibri" w:eastAsia="Calibri" w:hAnsi="Calibri" w:cs="Times New Roman"/>
          <w:lang w:val="en-GB"/>
        </w:rPr>
        <w:br/>
      </w:r>
      <w:r w:rsidRPr="00253898">
        <w:rPr>
          <w:lang w:val="en-GB"/>
        </w:rPr>
        <w:t xml:space="preserve">The aim of the ′Comparative Report′ is to give comprehensive insights into the situation of the six involved countries concerning the </w:t>
      </w:r>
      <w:r w:rsidRPr="00E624F5">
        <w:rPr>
          <w:b/>
          <w:lang w:val="en-GB"/>
        </w:rPr>
        <w:t>gender pay gap</w:t>
      </w:r>
      <w:r w:rsidRPr="00253898">
        <w:rPr>
          <w:lang w:val="en-GB"/>
        </w:rPr>
        <w:t xml:space="preserve"> and to propose actions to close the gap. The focus of the report lies, as in the entire project, on the financial and insurance sector as well as the human health sector.</w:t>
      </w:r>
      <w:r w:rsidR="004830B4">
        <w:rPr>
          <w:lang w:val="en-GB"/>
        </w:rPr>
        <w:tab/>
      </w:r>
      <w:r w:rsidR="00A2605C">
        <w:rPr>
          <w:lang w:val="en-GB"/>
        </w:rPr>
        <w:t xml:space="preserve"> </w:t>
      </w:r>
      <w:r w:rsidR="00B83CEA">
        <w:rPr>
          <w:lang w:val="en-GB"/>
        </w:rPr>
        <w:br/>
      </w:r>
    </w:p>
    <w:p w14:paraId="4279531E" w14:textId="5EC9888F" w:rsidR="00C842B1" w:rsidRPr="001A3BA9" w:rsidRDefault="00F93FE2" w:rsidP="00CE7D4C">
      <w:pPr>
        <w:pStyle w:val="Heading1"/>
        <w:pBdr>
          <w:top w:val="dotted" w:sz="4" w:space="1" w:color="auto"/>
          <w:bottom w:val="dotted" w:sz="4" w:space="1" w:color="auto"/>
        </w:pBdr>
        <w:spacing w:line="240" w:lineRule="auto"/>
        <w:rPr>
          <w:lang w:val="en-GB"/>
        </w:rPr>
      </w:pPr>
      <w:bookmarkStart w:id="15" w:name="_Race/ethnic_origin"/>
      <w:bookmarkStart w:id="16" w:name="_Toc418770748"/>
      <w:bookmarkStart w:id="17" w:name="_Ref418784315"/>
      <w:bookmarkStart w:id="18" w:name="_Ref418784316"/>
      <w:bookmarkEnd w:id="10"/>
      <w:bookmarkEnd w:id="11"/>
      <w:bookmarkEnd w:id="15"/>
      <w:r w:rsidRPr="001A3BA9">
        <w:rPr>
          <w:lang w:val="en-GB"/>
        </w:rPr>
        <w:t>Race/ethnic origin</w:t>
      </w:r>
    </w:p>
    <w:p w14:paraId="1FF61614" w14:textId="0AE12B28" w:rsidR="009E42A3" w:rsidRPr="001A3BA9" w:rsidRDefault="009E42A3" w:rsidP="00CE7D4C">
      <w:pPr>
        <w:spacing w:line="240" w:lineRule="auto"/>
        <w:rPr>
          <w:lang w:val="en-GB"/>
        </w:rPr>
      </w:pPr>
      <w:bookmarkStart w:id="19" w:name="_Ref421267530"/>
    </w:p>
    <w:p w14:paraId="40EAB68D" w14:textId="43517BB0" w:rsidR="004830B4" w:rsidRPr="004830B4" w:rsidRDefault="00677CCA" w:rsidP="004830B4">
      <w:pPr>
        <w:pStyle w:val="Heading2"/>
        <w:spacing w:line="240" w:lineRule="auto"/>
        <w:rPr>
          <w:lang w:val="en-GB"/>
        </w:rPr>
      </w:pPr>
      <w:r w:rsidRPr="001A3BA9">
        <w:rPr>
          <w:lang w:val="en-GB"/>
        </w:rPr>
        <w:t>Policy developments</w:t>
      </w:r>
      <w:r w:rsidR="004830B4">
        <w:rPr>
          <w:lang w:val="en-GB"/>
        </w:rPr>
        <w:br/>
      </w:r>
    </w:p>
    <w:p w14:paraId="76A53B49" w14:textId="329D40A8" w:rsidR="0011369A" w:rsidRDefault="0011369A" w:rsidP="00CE7D4C">
      <w:pPr>
        <w:pStyle w:val="ListParagraph"/>
        <w:numPr>
          <w:ilvl w:val="0"/>
          <w:numId w:val="17"/>
        </w:numPr>
        <w:spacing w:line="240" w:lineRule="auto"/>
        <w:rPr>
          <w:b/>
          <w:color w:val="1F3864" w:themeColor="accent5" w:themeShade="80"/>
          <w:lang w:val="en-GB"/>
        </w:rPr>
      </w:pPr>
      <w:r>
        <w:rPr>
          <w:b/>
          <w:color w:val="1F3864" w:themeColor="accent5" w:themeShade="80"/>
          <w:lang w:val="en-GB"/>
        </w:rPr>
        <w:t xml:space="preserve">Launch of the Council of Europe </w:t>
      </w:r>
      <w:r w:rsidRPr="0011369A">
        <w:rPr>
          <w:b/>
          <w:color w:val="1F3864" w:themeColor="accent5" w:themeShade="80"/>
          <w:lang w:val="en-GB"/>
        </w:rPr>
        <w:t>Thematic Action Plan on the Inclusion of Roma a</w:t>
      </w:r>
      <w:r>
        <w:rPr>
          <w:b/>
          <w:color w:val="1F3864" w:themeColor="accent5" w:themeShade="80"/>
          <w:lang w:val="en-GB"/>
        </w:rPr>
        <w:t>nd Travellers</w:t>
      </w:r>
    </w:p>
    <w:p w14:paraId="7D40302A" w14:textId="2802EB40" w:rsidR="0071202A" w:rsidRDefault="00141904" w:rsidP="004830B4">
      <w:pPr>
        <w:spacing w:line="240" w:lineRule="auto"/>
        <w:jc w:val="both"/>
        <w:rPr>
          <w:lang w:val="en-GB"/>
        </w:rPr>
      </w:pPr>
      <w:r>
        <w:rPr>
          <w:lang w:val="en-GB"/>
        </w:rPr>
        <w:t>The</w:t>
      </w:r>
      <w:r w:rsidRPr="00141904">
        <w:rPr>
          <w:lang w:val="en-GB"/>
        </w:rPr>
        <w:t xml:space="preserve"> thematic Action Plan provides the political, logical and budgetary framework for Council of Europe a</w:t>
      </w:r>
      <w:r>
        <w:rPr>
          <w:lang w:val="en-GB"/>
        </w:rPr>
        <w:t>ction in the years 2016 to 2019 to</w:t>
      </w:r>
      <w:r w:rsidRPr="00E86A7A">
        <w:rPr>
          <w:lang w:val="en-GB"/>
        </w:rPr>
        <w:t xml:space="preserve"> </w:t>
      </w:r>
      <w:r w:rsidRPr="00141904">
        <w:rPr>
          <w:lang w:val="en-GB"/>
        </w:rPr>
        <w:t xml:space="preserve">contribute to the full </w:t>
      </w:r>
      <w:r w:rsidRPr="00E624F5">
        <w:rPr>
          <w:b/>
          <w:lang w:val="en-GB"/>
        </w:rPr>
        <w:t>inclusion of Roma and Travellers in their local communities</w:t>
      </w:r>
      <w:r>
        <w:rPr>
          <w:lang w:val="en-GB"/>
        </w:rPr>
        <w:t xml:space="preserve">. </w:t>
      </w:r>
      <w:r w:rsidRPr="00141904">
        <w:rPr>
          <w:lang w:val="en-GB"/>
        </w:rPr>
        <w:t xml:space="preserve">In addition, </w:t>
      </w:r>
      <w:r>
        <w:rPr>
          <w:lang w:val="en-GB"/>
        </w:rPr>
        <w:t>the Action Plan</w:t>
      </w:r>
      <w:r w:rsidRPr="00141904">
        <w:rPr>
          <w:lang w:val="en-GB"/>
        </w:rPr>
        <w:t xml:space="preserve"> aims to offer targeted support to member States on relevant inclusion policies and to implement result-oriented projects with a concrete impact.</w:t>
      </w:r>
      <w:r>
        <w:rPr>
          <w:lang w:val="en-GB"/>
        </w:rPr>
        <w:t xml:space="preserve"> More information can be found </w:t>
      </w:r>
      <w:hyperlink r:id="rId38" w:history="1">
        <w:r w:rsidRPr="00141904">
          <w:rPr>
            <w:rStyle w:val="Hyperlink"/>
            <w:lang w:val="en-GB"/>
          </w:rPr>
          <w:t>here</w:t>
        </w:r>
      </w:hyperlink>
      <w:r>
        <w:rPr>
          <w:lang w:val="en-GB"/>
        </w:rPr>
        <w:t>.</w:t>
      </w:r>
    </w:p>
    <w:p w14:paraId="4894DCA5" w14:textId="77777777" w:rsidR="00700753" w:rsidRPr="0071202A" w:rsidRDefault="00700753" w:rsidP="004830B4">
      <w:pPr>
        <w:spacing w:line="240" w:lineRule="auto"/>
        <w:jc w:val="both"/>
        <w:rPr>
          <w:b/>
          <w:lang w:val="en-GB"/>
        </w:rPr>
      </w:pPr>
    </w:p>
    <w:p w14:paraId="79CED96E" w14:textId="3A645E7B" w:rsidR="007A61FC" w:rsidRDefault="00EF446F" w:rsidP="00CE7D4C">
      <w:pPr>
        <w:pStyle w:val="Heading2"/>
        <w:spacing w:line="240" w:lineRule="auto"/>
        <w:jc w:val="both"/>
        <w:rPr>
          <w:lang w:val="en-GB"/>
        </w:rPr>
      </w:pPr>
      <w:r w:rsidRPr="001A3BA9">
        <w:rPr>
          <w:lang w:val="en-GB"/>
        </w:rPr>
        <w:t>Publications, funding opportunities and events</w:t>
      </w:r>
    </w:p>
    <w:p w14:paraId="1307C7B3" w14:textId="77777777" w:rsidR="004830B4" w:rsidRPr="004830B4" w:rsidRDefault="004830B4" w:rsidP="004830B4">
      <w:pPr>
        <w:rPr>
          <w:lang w:val="en-GB"/>
        </w:rPr>
      </w:pPr>
    </w:p>
    <w:p w14:paraId="3359015E" w14:textId="324C189E" w:rsidR="00842C67" w:rsidRDefault="0011369A" w:rsidP="004830B4">
      <w:pPr>
        <w:spacing w:line="240" w:lineRule="auto"/>
        <w:jc w:val="both"/>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Pr>
          <w:rFonts w:ascii="Calibri" w:eastAsia="Calibri" w:hAnsi="Calibri" w:cs="Times New Roman"/>
          <w:b/>
          <w:lang w:val="en-GB"/>
        </w:rPr>
        <w:t>Council of Europe</w:t>
      </w:r>
      <w:r>
        <w:rPr>
          <w:rFonts w:ascii="Calibri" w:eastAsia="Calibri" w:hAnsi="Calibri" w:cs="Times New Roman"/>
          <w:lang w:val="en-GB"/>
        </w:rPr>
        <w:t xml:space="preserve"> – </w:t>
      </w:r>
      <w:hyperlink r:id="rId39" w:history="1">
        <w:r w:rsidRPr="0011369A">
          <w:rPr>
            <w:rStyle w:val="Hyperlink"/>
            <w:rFonts w:ascii="Calibri" w:eastAsia="Calibri" w:hAnsi="Calibri" w:cs="Times New Roman"/>
            <w:lang w:val="en-GB"/>
          </w:rPr>
          <w:t>Revised Strategic Guidelines of the European Alliance of Cities and Regions for the Inclusion of Roma and Travellers</w:t>
        </w:r>
      </w:hyperlink>
      <w:r w:rsidRPr="0011369A">
        <w:rPr>
          <w:rFonts w:ascii="Calibri" w:eastAsia="Calibri" w:hAnsi="Calibri" w:cs="Times New Roman"/>
          <w:lang w:val="en-GB"/>
        </w:rPr>
        <w:t xml:space="preserve"> </w:t>
      </w:r>
    </w:p>
    <w:p w14:paraId="1BD79017" w14:textId="1322F603" w:rsidR="00C53365" w:rsidRPr="0011369A" w:rsidRDefault="00C53365" w:rsidP="004830B4">
      <w:pPr>
        <w:spacing w:line="240" w:lineRule="auto"/>
        <w:jc w:val="both"/>
        <w:rPr>
          <w:lang w:val="en-GB"/>
        </w:rPr>
      </w:pPr>
      <w:r w:rsidRPr="00C53365">
        <w:rPr>
          <w:rFonts w:ascii="Calibri" w:eastAsia="Calibri" w:hAnsi="Calibri" w:cs="Times New Roman"/>
          <w:b/>
          <w:color w:val="FFFFFF" w:themeColor="background1"/>
          <w:shd w:val="clear" w:color="auto" w:fill="7030A0"/>
          <w:lang w:val="en-GB"/>
        </w:rPr>
        <w:t>PUBLICATION</w:t>
      </w:r>
      <w:r>
        <w:rPr>
          <w:rFonts w:ascii="Calibri" w:eastAsia="Calibri" w:hAnsi="Calibri" w:cs="Times New Roman"/>
          <w:lang w:val="en-GB"/>
        </w:rPr>
        <w:t xml:space="preserve"> – </w:t>
      </w:r>
      <w:r w:rsidRPr="00C53365">
        <w:rPr>
          <w:rFonts w:ascii="Calibri" w:eastAsia="Calibri" w:hAnsi="Calibri" w:cs="Times New Roman"/>
          <w:b/>
          <w:lang w:val="en-GB"/>
        </w:rPr>
        <w:t>Open Society Foundations</w:t>
      </w:r>
      <w:r>
        <w:rPr>
          <w:rFonts w:ascii="Calibri" w:eastAsia="Calibri" w:hAnsi="Calibri" w:cs="Times New Roman"/>
          <w:lang w:val="en-GB"/>
        </w:rPr>
        <w:t xml:space="preserve"> - </w:t>
      </w:r>
      <w:hyperlink r:id="rId40" w:history="1">
        <w:r w:rsidRPr="00C53365">
          <w:rPr>
            <w:rStyle w:val="Hyperlink"/>
            <w:rFonts w:ascii="Calibri" w:eastAsia="Calibri" w:hAnsi="Calibri" w:cs="Times New Roman"/>
            <w:lang w:val="en-GB"/>
          </w:rPr>
          <w:t>Strategic Litigation Impacts: Roma School Desegregation</w:t>
        </w:r>
      </w:hyperlink>
    </w:p>
    <w:p w14:paraId="00F2962F" w14:textId="3EBB6128" w:rsidR="004830B4" w:rsidRDefault="004830B4">
      <w:pPr>
        <w:rPr>
          <w:rFonts w:ascii="Tahoma" w:eastAsiaTheme="majorEastAsia" w:hAnsi="Tahoma" w:cstheme="majorBidi"/>
          <w:b/>
          <w:color w:val="0070C0"/>
          <w:sz w:val="32"/>
          <w:szCs w:val="32"/>
          <w:lang w:val="en-GB"/>
        </w:rPr>
      </w:pPr>
      <w:bookmarkStart w:id="20" w:name="_Sexual_Orientation_and"/>
      <w:bookmarkEnd w:id="20"/>
    </w:p>
    <w:p w14:paraId="4376734D" w14:textId="2C84E283" w:rsidR="00624AFF" w:rsidRPr="00842C67" w:rsidRDefault="00D05673" w:rsidP="00CE7D4C">
      <w:pPr>
        <w:pStyle w:val="Heading1"/>
        <w:pBdr>
          <w:top w:val="dotted" w:sz="4" w:space="1" w:color="auto"/>
          <w:bottom w:val="dotted" w:sz="4" w:space="1" w:color="auto"/>
        </w:pBdr>
        <w:spacing w:line="240" w:lineRule="auto"/>
        <w:rPr>
          <w:lang w:val="en-GB"/>
        </w:rPr>
      </w:pPr>
      <w:r w:rsidRPr="001A3BA9">
        <w:rPr>
          <w:lang w:val="en-GB"/>
        </w:rPr>
        <w:t>Sexual Orientation and Gender Identity</w:t>
      </w:r>
      <w:bookmarkEnd w:id="16"/>
      <w:bookmarkEnd w:id="17"/>
      <w:bookmarkEnd w:id="18"/>
      <w:bookmarkEnd w:id="19"/>
    </w:p>
    <w:p w14:paraId="439731E8" w14:textId="77777777" w:rsidR="00D51E65" w:rsidRDefault="00D51E65" w:rsidP="004830B4">
      <w:pPr>
        <w:rPr>
          <w:lang w:val="en-GB"/>
        </w:rPr>
      </w:pPr>
    </w:p>
    <w:p w14:paraId="4A7BADFD" w14:textId="77777777" w:rsidR="00AA01E3" w:rsidRDefault="00AA01E3" w:rsidP="00CE7D4C">
      <w:pPr>
        <w:pStyle w:val="Heading2"/>
        <w:spacing w:line="240" w:lineRule="auto"/>
        <w:jc w:val="both"/>
        <w:rPr>
          <w:lang w:val="en-GB"/>
        </w:rPr>
      </w:pPr>
      <w:r w:rsidRPr="001A3BA9">
        <w:rPr>
          <w:lang w:val="en-GB"/>
        </w:rPr>
        <w:t>Policy developments</w:t>
      </w:r>
    </w:p>
    <w:p w14:paraId="75782D56" w14:textId="77777777" w:rsidR="004830B4" w:rsidRPr="004830B4" w:rsidRDefault="004830B4" w:rsidP="004830B4">
      <w:pPr>
        <w:rPr>
          <w:lang w:val="en-GB"/>
        </w:rPr>
      </w:pPr>
    </w:p>
    <w:p w14:paraId="652C0338" w14:textId="6800F090" w:rsidR="00AA01E3" w:rsidRDefault="00AA01E3" w:rsidP="00CE7D4C">
      <w:pPr>
        <w:pStyle w:val="ListParagraph"/>
        <w:numPr>
          <w:ilvl w:val="0"/>
          <w:numId w:val="17"/>
        </w:numPr>
        <w:spacing w:line="240" w:lineRule="auto"/>
        <w:rPr>
          <w:b/>
          <w:color w:val="1F3864" w:themeColor="accent5" w:themeShade="80"/>
          <w:lang w:val="en-GB"/>
        </w:rPr>
      </w:pPr>
      <w:r>
        <w:rPr>
          <w:b/>
          <w:color w:val="1F3864" w:themeColor="accent5" w:themeShade="80"/>
          <w:lang w:val="en-GB"/>
        </w:rPr>
        <w:t>ILGA-Europe and Mental Health Europe</w:t>
      </w:r>
      <w:r w:rsidR="004830B4">
        <w:rPr>
          <w:b/>
          <w:color w:val="1F3864" w:themeColor="accent5" w:themeShade="80"/>
          <w:lang w:val="en-GB"/>
        </w:rPr>
        <w:t xml:space="preserve"> joint</w:t>
      </w:r>
      <w:r>
        <w:rPr>
          <w:b/>
          <w:color w:val="1F3864" w:themeColor="accent5" w:themeShade="80"/>
          <w:lang w:val="en-GB"/>
        </w:rPr>
        <w:t xml:space="preserve"> statement on World Health Day</w:t>
      </w:r>
    </w:p>
    <w:p w14:paraId="69850253" w14:textId="0719A772" w:rsidR="00AA01E3" w:rsidRDefault="00AA01E3" w:rsidP="004830B4">
      <w:pPr>
        <w:spacing w:line="240" w:lineRule="auto"/>
        <w:jc w:val="both"/>
        <w:rPr>
          <w:lang w:val="en-GB"/>
        </w:rPr>
      </w:pPr>
      <w:r>
        <w:rPr>
          <w:lang w:val="en-GB"/>
        </w:rPr>
        <w:t xml:space="preserve">On </w:t>
      </w:r>
      <w:r w:rsidR="004830B4">
        <w:rPr>
          <w:lang w:val="en-GB"/>
        </w:rPr>
        <w:t xml:space="preserve">the occasion of the </w:t>
      </w:r>
      <w:hyperlink r:id="rId41" w:history="1">
        <w:r w:rsidRPr="004830B4">
          <w:rPr>
            <w:rStyle w:val="Hyperlink"/>
            <w:lang w:val="en-GB"/>
          </w:rPr>
          <w:t>World Health Day 2016</w:t>
        </w:r>
      </w:hyperlink>
      <w:r>
        <w:rPr>
          <w:lang w:val="en-GB"/>
        </w:rPr>
        <w:t xml:space="preserve">, </w:t>
      </w:r>
      <w:r w:rsidRPr="00AA01E3">
        <w:rPr>
          <w:lang w:val="en-GB"/>
        </w:rPr>
        <w:t xml:space="preserve">ILGA-Europe and Mental Health Europe </w:t>
      </w:r>
      <w:r>
        <w:rPr>
          <w:lang w:val="en-GB"/>
        </w:rPr>
        <w:t>joined forces</w:t>
      </w:r>
      <w:r w:rsidRPr="00AA01E3">
        <w:rPr>
          <w:lang w:val="en-GB"/>
        </w:rPr>
        <w:t xml:space="preserve"> to call for </w:t>
      </w:r>
      <w:r w:rsidRPr="004830B4">
        <w:rPr>
          <w:b/>
          <w:lang w:val="en-GB"/>
        </w:rPr>
        <w:t>greater support for the well-being and mental health of LGBTI people</w:t>
      </w:r>
      <w:r w:rsidRPr="00AA01E3">
        <w:rPr>
          <w:lang w:val="en-GB"/>
        </w:rPr>
        <w:t>.</w:t>
      </w:r>
      <w:r>
        <w:rPr>
          <w:lang w:val="en-GB"/>
        </w:rPr>
        <w:t xml:space="preserve"> You can read the statement </w:t>
      </w:r>
      <w:hyperlink r:id="rId42" w:history="1">
        <w:r w:rsidRPr="00AA01E3">
          <w:rPr>
            <w:rStyle w:val="Hyperlink"/>
            <w:lang w:val="en-GB"/>
          </w:rPr>
          <w:t>here</w:t>
        </w:r>
      </w:hyperlink>
      <w:r>
        <w:rPr>
          <w:lang w:val="en-GB"/>
        </w:rPr>
        <w:t>.</w:t>
      </w:r>
    </w:p>
    <w:p w14:paraId="395CFB2C" w14:textId="46DE9302" w:rsidR="00AA01E3" w:rsidRDefault="00AA01E3" w:rsidP="00CE7D4C">
      <w:pPr>
        <w:pStyle w:val="ListParagraph"/>
        <w:numPr>
          <w:ilvl w:val="0"/>
          <w:numId w:val="17"/>
        </w:numPr>
        <w:spacing w:line="240" w:lineRule="auto"/>
        <w:rPr>
          <w:b/>
          <w:color w:val="1F3864" w:themeColor="accent5" w:themeShade="80"/>
          <w:lang w:val="en-GB"/>
        </w:rPr>
      </w:pPr>
      <w:r>
        <w:rPr>
          <w:b/>
          <w:color w:val="1F3864" w:themeColor="accent5" w:themeShade="80"/>
          <w:lang w:val="en-GB"/>
        </w:rPr>
        <w:t xml:space="preserve">ILGA-Europe </w:t>
      </w:r>
      <w:r w:rsidR="004830B4">
        <w:rPr>
          <w:b/>
          <w:color w:val="1F3864" w:themeColor="accent5" w:themeShade="80"/>
          <w:lang w:val="en-GB"/>
        </w:rPr>
        <w:t xml:space="preserve">launches </w:t>
      </w:r>
      <w:r>
        <w:rPr>
          <w:b/>
          <w:color w:val="1F3864" w:themeColor="accent5" w:themeShade="80"/>
          <w:lang w:val="en-GB"/>
        </w:rPr>
        <w:t xml:space="preserve">Pilot Project on </w:t>
      </w:r>
      <w:r w:rsidRPr="00AA01E3">
        <w:rPr>
          <w:b/>
          <w:color w:val="1F3864" w:themeColor="accent5" w:themeShade="80"/>
          <w:lang w:val="en-GB"/>
        </w:rPr>
        <w:t>reducing LGBTI health inequalities</w:t>
      </w:r>
    </w:p>
    <w:p w14:paraId="773BDF77" w14:textId="63BA9E93" w:rsidR="00BE3F66" w:rsidRDefault="00AA01E3" w:rsidP="004830B4">
      <w:pPr>
        <w:spacing w:line="240" w:lineRule="auto"/>
        <w:jc w:val="both"/>
        <w:rPr>
          <w:lang w:val="en-GB"/>
        </w:rPr>
      </w:pPr>
      <w:r w:rsidRPr="00AA01E3">
        <w:rPr>
          <w:lang w:val="en-GB"/>
        </w:rPr>
        <w:t xml:space="preserve">ILGA-Europe is taking part in this </w:t>
      </w:r>
      <w:hyperlink r:id="rId43" w:history="1">
        <w:r w:rsidRPr="00AA01E3">
          <w:rPr>
            <w:rStyle w:val="Hyperlink"/>
            <w:lang w:val="en-GB"/>
          </w:rPr>
          <w:t>project</w:t>
        </w:r>
      </w:hyperlink>
      <w:r w:rsidRPr="00AA01E3">
        <w:rPr>
          <w:lang w:val="en-GB"/>
        </w:rPr>
        <w:t xml:space="preserve"> alongside partners from </w:t>
      </w:r>
      <w:hyperlink r:id="rId44" w:history="1">
        <w:r w:rsidRPr="004830B4">
          <w:rPr>
            <w:rStyle w:val="Hyperlink"/>
            <w:lang w:val="en-GB"/>
          </w:rPr>
          <w:t>EuroHealthNet</w:t>
        </w:r>
      </w:hyperlink>
      <w:r w:rsidRPr="00AA01E3">
        <w:rPr>
          <w:lang w:val="en-GB"/>
        </w:rPr>
        <w:t xml:space="preserve">, </w:t>
      </w:r>
      <w:hyperlink r:id="rId45" w:history="1">
        <w:r w:rsidRPr="004830B4">
          <w:rPr>
            <w:rStyle w:val="Hyperlink"/>
            <w:lang w:val="en-GB"/>
          </w:rPr>
          <w:t>AOUI-Verona</w:t>
        </w:r>
      </w:hyperlink>
      <w:r w:rsidRPr="00AA01E3">
        <w:rPr>
          <w:lang w:val="en-GB"/>
        </w:rPr>
        <w:t xml:space="preserve"> (Italy, project coordinator), University of Brighton (UK) and the National Institute of Public Health – National Institute of Hygiene (Poland).</w:t>
      </w:r>
      <w:r>
        <w:rPr>
          <w:lang w:val="en-GB"/>
        </w:rPr>
        <w:t xml:space="preserve"> T</w:t>
      </w:r>
      <w:r w:rsidRPr="00AA01E3">
        <w:rPr>
          <w:lang w:val="en-GB"/>
        </w:rPr>
        <w:t>he objec</w:t>
      </w:r>
      <w:r>
        <w:rPr>
          <w:lang w:val="en-GB"/>
        </w:rPr>
        <w:t>tives of the pilot project are t</w:t>
      </w:r>
      <w:r w:rsidRPr="00AA01E3">
        <w:rPr>
          <w:lang w:val="en-GB"/>
        </w:rPr>
        <w:t xml:space="preserve">o gain a better understanding of the </w:t>
      </w:r>
      <w:r w:rsidRPr="00E624F5">
        <w:rPr>
          <w:b/>
          <w:lang w:val="en-GB"/>
        </w:rPr>
        <w:t>health inequalities and barriers for by LGBTI people</w:t>
      </w:r>
      <w:r>
        <w:rPr>
          <w:lang w:val="en-GB"/>
        </w:rPr>
        <w:t xml:space="preserve"> and </w:t>
      </w:r>
      <w:r w:rsidRPr="00AA01E3">
        <w:rPr>
          <w:lang w:val="en-GB"/>
        </w:rPr>
        <w:t>health professionals</w:t>
      </w:r>
      <w:r>
        <w:rPr>
          <w:lang w:val="en-GB"/>
        </w:rPr>
        <w:t xml:space="preserve">, as well as </w:t>
      </w:r>
      <w:r w:rsidRPr="00AA01E3">
        <w:rPr>
          <w:lang w:val="en-GB"/>
        </w:rPr>
        <w:t>raise awareness among health professionals about the needs of LGBTI people and provide health professionals with specific tools to ensure that they have the right skills and knowledge to overcome these barriers.</w:t>
      </w:r>
    </w:p>
    <w:p w14:paraId="3A4D752C" w14:textId="77777777" w:rsidR="00700753" w:rsidRPr="00AA01E3" w:rsidRDefault="00700753" w:rsidP="004830B4">
      <w:pPr>
        <w:spacing w:line="240" w:lineRule="auto"/>
        <w:jc w:val="both"/>
        <w:rPr>
          <w:lang w:val="en-GB"/>
        </w:rPr>
      </w:pPr>
    </w:p>
    <w:p w14:paraId="05C80605" w14:textId="247DF04D" w:rsidR="00842C67" w:rsidRPr="00842C67" w:rsidRDefault="00EF446F" w:rsidP="00CE7D4C">
      <w:pPr>
        <w:pStyle w:val="Heading2"/>
        <w:spacing w:line="240" w:lineRule="auto"/>
        <w:rPr>
          <w:lang w:val="en-GB"/>
        </w:rPr>
      </w:pPr>
      <w:r w:rsidRPr="001A3BA9">
        <w:rPr>
          <w:lang w:val="en-GB"/>
        </w:rPr>
        <w:t>Publications, funding opportunities and events</w:t>
      </w:r>
      <w:r w:rsidR="00842C67">
        <w:rPr>
          <w:lang w:val="en-GB"/>
        </w:rPr>
        <w:br/>
      </w:r>
    </w:p>
    <w:p w14:paraId="1A70A5E8" w14:textId="753748DE" w:rsidR="004830B4" w:rsidRPr="004830B4" w:rsidRDefault="00BE3F66" w:rsidP="00700753">
      <w:pPr>
        <w:spacing w:line="240" w:lineRule="auto"/>
        <w:jc w:val="both"/>
        <w:rPr>
          <w:color w:val="0563C1" w:themeColor="hyperlink"/>
          <w:u w:val="single"/>
          <w:lang w:val="en-GB"/>
        </w:rPr>
      </w:pPr>
      <w:r>
        <w:rPr>
          <w:b/>
          <w:shd w:val="clear" w:color="auto" w:fill="FFFF00"/>
          <w:lang w:val="en-GB"/>
        </w:rPr>
        <w:t>EVENT</w:t>
      </w:r>
      <w:r>
        <w:rPr>
          <w:b/>
          <w:lang w:val="en-GB"/>
        </w:rPr>
        <w:t xml:space="preserve"> – </w:t>
      </w:r>
      <w:r w:rsidRPr="00BE3F66">
        <w:rPr>
          <w:b/>
          <w:lang w:val="en-GB"/>
        </w:rPr>
        <w:t>ILGA-Europe</w:t>
      </w:r>
      <w:r>
        <w:rPr>
          <w:lang w:val="en-GB"/>
        </w:rPr>
        <w:t xml:space="preserve"> – </w:t>
      </w:r>
      <w:hyperlink r:id="rId46" w:history="1">
        <w:r w:rsidRPr="00BE3F66">
          <w:rPr>
            <w:rStyle w:val="Hyperlink"/>
            <w:lang w:val="en-GB"/>
          </w:rPr>
          <w:t>Capacity building seminar on LGBTI and asylum</w:t>
        </w:r>
      </w:hyperlink>
      <w:r w:rsidR="004830B4" w:rsidRPr="004830B4">
        <w:rPr>
          <w:rStyle w:val="Hyperlink"/>
          <w:color w:val="auto"/>
          <w:u w:val="none"/>
          <w:lang w:val="en-GB"/>
        </w:rPr>
        <w:t xml:space="preserve"> – 8-9 July 2016, Berlin, Germany (Deadline for application: 9</w:t>
      </w:r>
      <w:r w:rsidR="004830B4" w:rsidRPr="004830B4">
        <w:rPr>
          <w:rStyle w:val="Hyperlink"/>
          <w:color w:val="auto"/>
          <w:u w:val="none"/>
          <w:vertAlign w:val="superscript"/>
          <w:lang w:val="en-GB"/>
        </w:rPr>
        <w:t>th</w:t>
      </w:r>
      <w:r w:rsidR="004830B4" w:rsidRPr="004830B4">
        <w:rPr>
          <w:rStyle w:val="Hyperlink"/>
          <w:color w:val="auto"/>
          <w:u w:val="none"/>
          <w:lang w:val="en-GB"/>
        </w:rPr>
        <w:t xml:space="preserve"> May 2016)</w:t>
      </w:r>
    </w:p>
    <w:p w14:paraId="199BA29C" w14:textId="65BD5186" w:rsidR="00BE3F66" w:rsidRDefault="004830B4" w:rsidP="00CE7D4C">
      <w:pPr>
        <w:spacing w:line="240" w:lineRule="auto"/>
        <w:jc w:val="both"/>
        <w:rPr>
          <w:lang w:val="en-GB"/>
        </w:rPr>
      </w:pPr>
      <w:r>
        <w:rPr>
          <w:rFonts w:cs="Arial"/>
          <w:shd w:val="clear" w:color="auto" w:fill="FFFFFF"/>
          <w:lang w:val="en-GB"/>
        </w:rPr>
        <w:br/>
      </w:r>
      <w:r w:rsidR="00BE3F66" w:rsidRPr="00BE3F66">
        <w:rPr>
          <w:b/>
          <w:shd w:val="clear" w:color="auto" w:fill="FFFF00"/>
          <w:lang w:val="en-GB"/>
        </w:rPr>
        <w:t>EVENT</w:t>
      </w:r>
      <w:r w:rsidR="00BE3F66" w:rsidRPr="00BE3F66">
        <w:rPr>
          <w:b/>
          <w:lang w:val="en-GB"/>
        </w:rPr>
        <w:t xml:space="preserve"> – ILGA-Europe</w:t>
      </w:r>
      <w:r w:rsidR="00BE3F66" w:rsidRPr="00BE3F66">
        <w:rPr>
          <w:lang w:val="en-GB"/>
        </w:rPr>
        <w:t xml:space="preserve"> – </w:t>
      </w:r>
      <w:hyperlink r:id="rId47" w:history="1">
        <w:r w:rsidR="00BE3F66" w:rsidRPr="00BE3F66">
          <w:rPr>
            <w:rStyle w:val="Hyperlink"/>
            <w:lang w:val="en-GB"/>
          </w:rPr>
          <w:t>Study session on LGBTI community organising</w:t>
        </w:r>
      </w:hyperlink>
      <w:r w:rsidRPr="004830B4">
        <w:rPr>
          <w:rStyle w:val="Hyperlink"/>
          <w:color w:val="auto"/>
          <w:u w:val="none"/>
          <w:lang w:val="en-GB"/>
        </w:rPr>
        <w:t xml:space="preserve"> – 15-17 July 2016, Budapest, Hungary (Deadline for application: 9</w:t>
      </w:r>
      <w:r w:rsidRPr="004830B4">
        <w:rPr>
          <w:rStyle w:val="Hyperlink"/>
          <w:color w:val="auto"/>
          <w:u w:val="none"/>
          <w:vertAlign w:val="superscript"/>
          <w:lang w:val="en-GB"/>
        </w:rPr>
        <w:t>th</w:t>
      </w:r>
      <w:r w:rsidRPr="004830B4">
        <w:rPr>
          <w:rStyle w:val="Hyperlink"/>
          <w:color w:val="auto"/>
          <w:u w:val="none"/>
          <w:lang w:val="en-GB"/>
        </w:rPr>
        <w:t xml:space="preserve"> May 2016)</w:t>
      </w:r>
    </w:p>
    <w:p w14:paraId="298670E3" w14:textId="77777777" w:rsidR="0034362B" w:rsidRPr="001A3BA9" w:rsidRDefault="0034362B" w:rsidP="00CE7D4C">
      <w:pPr>
        <w:spacing w:line="240" w:lineRule="auto"/>
        <w:jc w:val="both"/>
        <w:rPr>
          <w:lang w:val="en-GB"/>
        </w:rPr>
      </w:pPr>
    </w:p>
    <w:p w14:paraId="30CBB133" w14:textId="77777777" w:rsidR="001C5ACD" w:rsidRDefault="001C5ACD">
      <w:pPr>
        <w:rPr>
          <w:rFonts w:ascii="Tahoma" w:eastAsiaTheme="majorEastAsia" w:hAnsi="Tahoma" w:cstheme="majorBidi"/>
          <w:b/>
          <w:color w:val="0070C0"/>
          <w:sz w:val="32"/>
          <w:szCs w:val="32"/>
          <w:lang w:val="en-GB"/>
        </w:rPr>
      </w:pPr>
      <w:bookmarkStart w:id="21" w:name="_Disability"/>
      <w:bookmarkStart w:id="22" w:name="_Toc418770750"/>
      <w:bookmarkStart w:id="23" w:name="_Ref418784334"/>
      <w:bookmarkStart w:id="24" w:name="_Ref421267538"/>
      <w:bookmarkEnd w:id="21"/>
      <w:r>
        <w:rPr>
          <w:lang w:val="en-GB"/>
        </w:rPr>
        <w:br w:type="page"/>
      </w:r>
    </w:p>
    <w:p w14:paraId="11326F81" w14:textId="358B01AA" w:rsidR="00EF446F" w:rsidRPr="001A3BA9" w:rsidRDefault="004A7771" w:rsidP="00CE7D4C">
      <w:pPr>
        <w:pStyle w:val="Heading1"/>
        <w:pBdr>
          <w:top w:val="dotted" w:sz="4" w:space="1" w:color="auto"/>
          <w:bottom w:val="dotted" w:sz="4" w:space="1" w:color="auto"/>
        </w:pBdr>
        <w:spacing w:line="240" w:lineRule="auto"/>
        <w:rPr>
          <w:lang w:val="en-GB"/>
        </w:rPr>
      </w:pPr>
      <w:r w:rsidRPr="001A3BA9">
        <w:rPr>
          <w:lang w:val="en-GB"/>
        </w:rPr>
        <w:t>Disability</w:t>
      </w:r>
      <w:bookmarkEnd w:id="22"/>
      <w:bookmarkEnd w:id="23"/>
      <w:bookmarkEnd w:id="24"/>
    </w:p>
    <w:p w14:paraId="0D7C94EB" w14:textId="77777777" w:rsidR="00FE5DDF" w:rsidRPr="001A3BA9" w:rsidRDefault="00FE5DDF" w:rsidP="00CE7D4C">
      <w:pPr>
        <w:spacing w:line="240" w:lineRule="auto"/>
        <w:rPr>
          <w:lang w:val="en-GB"/>
        </w:rPr>
      </w:pPr>
    </w:p>
    <w:p w14:paraId="33138EA1" w14:textId="17CB6457" w:rsidR="00700753" w:rsidRDefault="005223B3" w:rsidP="00700753">
      <w:pPr>
        <w:pStyle w:val="Heading2"/>
        <w:spacing w:line="240" w:lineRule="auto"/>
        <w:jc w:val="both"/>
        <w:rPr>
          <w:lang w:val="en-GB"/>
        </w:rPr>
      </w:pPr>
      <w:r w:rsidRPr="001A3BA9">
        <w:rPr>
          <w:lang w:val="en-GB"/>
        </w:rPr>
        <w:t>Policy developments</w:t>
      </w:r>
    </w:p>
    <w:p w14:paraId="70D519D8" w14:textId="77777777" w:rsidR="00700753" w:rsidRPr="00700753" w:rsidRDefault="00700753" w:rsidP="00700753">
      <w:pPr>
        <w:rPr>
          <w:lang w:val="en-GB"/>
        </w:rPr>
      </w:pPr>
    </w:p>
    <w:p w14:paraId="65698142" w14:textId="02AC479D" w:rsidR="004B0537" w:rsidRPr="00700753" w:rsidRDefault="00700753" w:rsidP="00700753">
      <w:pPr>
        <w:pStyle w:val="ListParagraph"/>
        <w:numPr>
          <w:ilvl w:val="0"/>
          <w:numId w:val="17"/>
        </w:numPr>
        <w:spacing w:line="240" w:lineRule="auto"/>
        <w:jc w:val="both"/>
        <w:rPr>
          <w:b/>
          <w:color w:val="1F3864" w:themeColor="accent5" w:themeShade="80"/>
          <w:lang w:val="en-GB"/>
        </w:rPr>
      </w:pPr>
      <w:r>
        <w:rPr>
          <w:b/>
          <w:color w:val="1F3864" w:themeColor="accent5" w:themeShade="80"/>
          <w:lang w:val="en-GB"/>
        </w:rPr>
        <w:t>Council of Europe:</w:t>
      </w:r>
      <w:r w:rsidR="005223B3">
        <w:rPr>
          <w:b/>
          <w:color w:val="1F3864" w:themeColor="accent5" w:themeShade="80"/>
          <w:lang w:val="en-GB"/>
        </w:rPr>
        <w:t xml:space="preserve"> public consultation on the Disability Strategy 2017-2023</w:t>
      </w:r>
      <w:r>
        <w:rPr>
          <w:b/>
          <w:color w:val="1F3864" w:themeColor="accent5" w:themeShade="80"/>
          <w:lang w:val="en-GB"/>
        </w:rPr>
        <w:t xml:space="preserve"> (Deadline: 23</w:t>
      </w:r>
      <w:r w:rsidRPr="00700753">
        <w:rPr>
          <w:b/>
          <w:color w:val="1F3864" w:themeColor="accent5" w:themeShade="80"/>
          <w:vertAlign w:val="superscript"/>
          <w:lang w:val="en-GB"/>
        </w:rPr>
        <w:t>rd</w:t>
      </w:r>
      <w:r>
        <w:rPr>
          <w:b/>
          <w:color w:val="1F3864" w:themeColor="accent5" w:themeShade="80"/>
          <w:lang w:val="en-GB"/>
        </w:rPr>
        <w:t xml:space="preserve"> May 2016)</w:t>
      </w:r>
    </w:p>
    <w:p w14:paraId="708CD2C0" w14:textId="2643F2EE" w:rsidR="00700753" w:rsidRDefault="00700753" w:rsidP="00700753">
      <w:pPr>
        <w:spacing w:line="240" w:lineRule="auto"/>
        <w:jc w:val="both"/>
        <w:rPr>
          <w:lang w:val="en-GB"/>
        </w:rPr>
      </w:pPr>
      <w:r w:rsidRPr="004B0537">
        <w:rPr>
          <w:lang w:val="en-GB"/>
        </w:rPr>
        <w:t xml:space="preserve">The Council of Europe Unit on the Rights of Persons with Disabilities is opening </w:t>
      </w:r>
      <w:r>
        <w:rPr>
          <w:lang w:val="en-GB"/>
        </w:rPr>
        <w:t xml:space="preserve">a </w:t>
      </w:r>
      <w:r w:rsidRPr="00E624F5">
        <w:rPr>
          <w:b/>
          <w:lang w:val="en-GB"/>
        </w:rPr>
        <w:t>public consultations</w:t>
      </w:r>
      <w:r w:rsidRPr="004B0537">
        <w:rPr>
          <w:lang w:val="en-GB"/>
        </w:rPr>
        <w:t xml:space="preserve"> on the draft Council of Europe </w:t>
      </w:r>
      <w:r>
        <w:rPr>
          <w:lang w:val="en-GB"/>
        </w:rPr>
        <w:t xml:space="preserve">Disability Strategy 2017-2023. </w:t>
      </w:r>
      <w:r w:rsidRPr="004B0537">
        <w:rPr>
          <w:lang w:val="en-GB"/>
        </w:rPr>
        <w:t xml:space="preserve">These consultations target National Human Rights Institutions, </w:t>
      </w:r>
      <w:r w:rsidRPr="00700753">
        <w:rPr>
          <w:b/>
          <w:lang w:val="en-GB"/>
        </w:rPr>
        <w:t>Equality bodies</w:t>
      </w:r>
      <w:r w:rsidRPr="004B0537">
        <w:rPr>
          <w:lang w:val="en-GB"/>
        </w:rPr>
        <w:t xml:space="preserve"> and Ombudsman institutions, civil society and organisations of persons with disabilities as well as other regional and international organisations. </w:t>
      </w:r>
      <w:r>
        <w:rPr>
          <w:lang w:val="en-GB"/>
        </w:rPr>
        <w:t xml:space="preserve">More information, including the draft Disability Strategy 2017-2023, can be found </w:t>
      </w:r>
      <w:hyperlink r:id="rId48" w:history="1">
        <w:r w:rsidRPr="004B0537">
          <w:rPr>
            <w:rStyle w:val="Hyperlink"/>
            <w:lang w:val="en-GB"/>
          </w:rPr>
          <w:t>here</w:t>
        </w:r>
      </w:hyperlink>
      <w:r>
        <w:rPr>
          <w:lang w:val="en-GB"/>
        </w:rPr>
        <w:t xml:space="preserve">. </w:t>
      </w:r>
    </w:p>
    <w:p w14:paraId="2110CBA5" w14:textId="44605EEF" w:rsidR="004B535D" w:rsidRDefault="00700753" w:rsidP="00CE7D4C">
      <w:pPr>
        <w:pStyle w:val="ListParagraph"/>
        <w:numPr>
          <w:ilvl w:val="0"/>
          <w:numId w:val="17"/>
        </w:numPr>
        <w:spacing w:line="240" w:lineRule="auto"/>
        <w:rPr>
          <w:b/>
          <w:color w:val="1F3864" w:themeColor="accent5" w:themeShade="80"/>
          <w:lang w:val="en-GB"/>
        </w:rPr>
      </w:pPr>
      <w:r>
        <w:rPr>
          <w:b/>
          <w:color w:val="1F3864" w:themeColor="accent5" w:themeShade="80"/>
          <w:lang w:val="en-GB"/>
        </w:rPr>
        <w:t>Mental Health Europe l</w:t>
      </w:r>
      <w:r w:rsidR="004B535D">
        <w:rPr>
          <w:b/>
          <w:color w:val="1F3864" w:themeColor="accent5" w:themeShade="80"/>
          <w:lang w:val="en-GB"/>
        </w:rPr>
        <w:t>aunch</w:t>
      </w:r>
      <w:r>
        <w:rPr>
          <w:b/>
          <w:color w:val="1F3864" w:themeColor="accent5" w:themeShade="80"/>
          <w:lang w:val="en-GB"/>
        </w:rPr>
        <w:t xml:space="preserve">es </w:t>
      </w:r>
      <w:r w:rsidR="004B535D">
        <w:rPr>
          <w:b/>
          <w:color w:val="1F3864" w:themeColor="accent5" w:themeShade="80"/>
          <w:lang w:val="en-GB"/>
        </w:rPr>
        <w:t>campaign “Each of Us”</w:t>
      </w:r>
    </w:p>
    <w:p w14:paraId="748BF54C" w14:textId="1262CB6B" w:rsidR="0049407A" w:rsidRPr="0011369A" w:rsidRDefault="00854589" w:rsidP="00700753">
      <w:pPr>
        <w:spacing w:line="240" w:lineRule="auto"/>
        <w:jc w:val="both"/>
        <w:rPr>
          <w:lang w:val="en-GB"/>
        </w:rPr>
      </w:pPr>
      <w:hyperlink r:id="rId49" w:history="1">
        <w:r w:rsidR="004B535D" w:rsidRPr="004B535D">
          <w:rPr>
            <w:rStyle w:val="Hyperlink"/>
            <w:lang w:val="en-GB"/>
          </w:rPr>
          <w:t>Each of us</w:t>
        </w:r>
      </w:hyperlink>
      <w:r w:rsidR="004B535D" w:rsidRPr="004B535D">
        <w:rPr>
          <w:lang w:val="en-GB"/>
        </w:rPr>
        <w:t xml:space="preserve"> is an anti-stigma and discrimination campaign run by </w:t>
      </w:r>
      <w:hyperlink r:id="rId50" w:history="1">
        <w:r w:rsidR="004B535D" w:rsidRPr="00700753">
          <w:rPr>
            <w:rStyle w:val="Hyperlink"/>
            <w:lang w:val="en-GB"/>
          </w:rPr>
          <w:t>Mental Health Europe</w:t>
        </w:r>
      </w:hyperlink>
      <w:r w:rsidR="004B535D" w:rsidRPr="004B535D">
        <w:rPr>
          <w:lang w:val="en-GB"/>
        </w:rPr>
        <w:t xml:space="preserve">. The main objective of this campaign is to </w:t>
      </w:r>
      <w:r w:rsidR="004B535D" w:rsidRPr="00E624F5">
        <w:rPr>
          <w:b/>
          <w:lang w:val="en-GB"/>
        </w:rPr>
        <w:t>raise awareness of mental health issues</w:t>
      </w:r>
      <w:r w:rsidR="004B535D" w:rsidRPr="004B535D">
        <w:rPr>
          <w:lang w:val="en-GB"/>
        </w:rPr>
        <w:t xml:space="preserve">. </w:t>
      </w:r>
      <w:r w:rsidR="00700753">
        <w:rPr>
          <w:lang w:val="en-GB"/>
        </w:rPr>
        <w:t>It</w:t>
      </w:r>
      <w:r w:rsidR="004B535D" w:rsidRPr="004B535D">
        <w:rPr>
          <w:lang w:val="en-GB"/>
        </w:rPr>
        <w:t xml:space="preserve"> seeks to show that mental health problems are more common than we think, and that each of us can be part of the solution in changing minds and ending stigma and discrimination against people with living with mental ill health.</w:t>
      </w:r>
    </w:p>
    <w:p w14:paraId="666CBC98" w14:textId="77777777" w:rsidR="0049407A" w:rsidRDefault="0049407A" w:rsidP="00CE7D4C">
      <w:pPr>
        <w:pStyle w:val="Heading2"/>
        <w:spacing w:line="240" w:lineRule="auto"/>
        <w:jc w:val="both"/>
        <w:rPr>
          <w:lang w:val="en-GB"/>
        </w:rPr>
      </w:pPr>
      <w:r w:rsidRPr="001A3BA9">
        <w:rPr>
          <w:lang w:val="en-GB"/>
        </w:rPr>
        <w:t>Publications, funding opportunities and events</w:t>
      </w:r>
    </w:p>
    <w:p w14:paraId="5998CE1C" w14:textId="77777777" w:rsidR="00842C67" w:rsidRPr="0049407A" w:rsidRDefault="00842C67" w:rsidP="00CE7D4C">
      <w:pPr>
        <w:spacing w:line="240" w:lineRule="auto"/>
        <w:rPr>
          <w:b/>
          <w:lang w:val="en-GB"/>
        </w:rPr>
      </w:pPr>
    </w:p>
    <w:p w14:paraId="2B6FCC30" w14:textId="76F28C16" w:rsidR="0049407A" w:rsidRDefault="0049407A" w:rsidP="00CE7D4C">
      <w:pPr>
        <w:spacing w:line="240" w:lineRule="auto"/>
        <w:rPr>
          <w:lang w:val="en-GB"/>
        </w:rPr>
      </w:pPr>
      <w:r w:rsidRPr="00BE3F66">
        <w:rPr>
          <w:b/>
          <w:shd w:val="clear" w:color="auto" w:fill="FFFF00"/>
          <w:lang w:val="en-GB"/>
        </w:rPr>
        <w:t>EVENT</w:t>
      </w:r>
      <w:r w:rsidRPr="00BE3F66">
        <w:rPr>
          <w:b/>
          <w:lang w:val="en-GB"/>
        </w:rPr>
        <w:t xml:space="preserve"> –</w:t>
      </w:r>
      <w:r>
        <w:rPr>
          <w:b/>
          <w:lang w:val="en-GB"/>
        </w:rPr>
        <w:t xml:space="preserve"> European Economic and Social Committee </w:t>
      </w:r>
      <w:r w:rsidRPr="0049407A">
        <w:rPr>
          <w:lang w:val="en-GB"/>
        </w:rPr>
        <w:t xml:space="preserve">– </w:t>
      </w:r>
      <w:hyperlink r:id="rId51" w:history="1">
        <w:r w:rsidRPr="0086661C">
          <w:rPr>
            <w:rStyle w:val="Hyperlink"/>
            <w:lang w:val="en-GB"/>
          </w:rPr>
          <w:t>Public Hearing</w:t>
        </w:r>
        <w:r w:rsidR="00700753" w:rsidRPr="0086661C">
          <w:rPr>
            <w:rStyle w:val="Hyperlink"/>
            <w:lang w:val="en-GB"/>
          </w:rPr>
          <w:t xml:space="preserve"> o</w:t>
        </w:r>
        <w:r w:rsidR="0086661C" w:rsidRPr="0086661C">
          <w:rPr>
            <w:rStyle w:val="Hyperlink"/>
            <w:lang w:val="en-GB"/>
          </w:rPr>
          <w:t>n the Concluding Observations of the UN CRPD Committee to the EU</w:t>
        </w:r>
      </w:hyperlink>
      <w:r w:rsidR="0086661C">
        <w:rPr>
          <w:lang w:val="en-GB"/>
        </w:rPr>
        <w:t xml:space="preserve"> – 17</w:t>
      </w:r>
      <w:r w:rsidR="0086661C" w:rsidRPr="0086661C">
        <w:rPr>
          <w:vertAlign w:val="superscript"/>
          <w:lang w:val="en-GB"/>
        </w:rPr>
        <w:t>th</w:t>
      </w:r>
      <w:r w:rsidR="0086661C">
        <w:rPr>
          <w:lang w:val="en-GB"/>
        </w:rPr>
        <w:t xml:space="preserve"> May 2016, Brussels</w:t>
      </w:r>
    </w:p>
    <w:p w14:paraId="6E4EE83A" w14:textId="77777777" w:rsidR="006762EA" w:rsidRPr="0049407A" w:rsidRDefault="006762EA" w:rsidP="00CE7D4C">
      <w:pPr>
        <w:spacing w:line="240" w:lineRule="auto"/>
        <w:rPr>
          <w:lang w:val="en-GB"/>
        </w:rPr>
      </w:pPr>
    </w:p>
    <w:p w14:paraId="16F13B09" w14:textId="355DCE5B" w:rsidR="00D05673" w:rsidRPr="001A3BA9" w:rsidRDefault="00AB116C" w:rsidP="00CE7D4C">
      <w:pPr>
        <w:pStyle w:val="Heading1"/>
        <w:pBdr>
          <w:top w:val="dotted" w:sz="4" w:space="1" w:color="auto"/>
          <w:bottom w:val="dotted" w:sz="4" w:space="1" w:color="auto"/>
        </w:pBdr>
        <w:spacing w:line="240" w:lineRule="auto"/>
        <w:rPr>
          <w:lang w:val="en-GB"/>
        </w:rPr>
      </w:pPr>
      <w:bookmarkStart w:id="25" w:name="_Age"/>
      <w:bookmarkStart w:id="26" w:name="_Ref421267547"/>
      <w:bookmarkEnd w:id="25"/>
      <w:r w:rsidRPr="001A3BA9">
        <w:rPr>
          <w:lang w:val="en-GB"/>
        </w:rPr>
        <w:t>Age</w:t>
      </w:r>
      <w:bookmarkEnd w:id="26"/>
    </w:p>
    <w:p w14:paraId="34F20C56" w14:textId="77777777" w:rsidR="00FE5DDF" w:rsidRPr="001A3BA9" w:rsidRDefault="00FE5DDF" w:rsidP="00CE7D4C">
      <w:pPr>
        <w:spacing w:line="240" w:lineRule="auto"/>
        <w:rPr>
          <w:lang w:val="en-GB"/>
        </w:rPr>
      </w:pPr>
    </w:p>
    <w:p w14:paraId="3AB18B60" w14:textId="483CA443" w:rsidR="00EF446F" w:rsidRDefault="00EF446F" w:rsidP="00CE7D4C">
      <w:pPr>
        <w:pStyle w:val="Heading2"/>
        <w:spacing w:line="240" w:lineRule="auto"/>
        <w:jc w:val="both"/>
        <w:rPr>
          <w:lang w:val="en-GB"/>
        </w:rPr>
      </w:pPr>
      <w:r w:rsidRPr="001A3BA9">
        <w:rPr>
          <w:lang w:val="en-GB"/>
        </w:rPr>
        <w:t>Publications, funding opportunities and events</w:t>
      </w:r>
    </w:p>
    <w:p w14:paraId="19D4C500" w14:textId="77777777" w:rsidR="00842C67" w:rsidRDefault="00842C67" w:rsidP="00CE7D4C">
      <w:pPr>
        <w:spacing w:line="240" w:lineRule="auto"/>
        <w:rPr>
          <w:lang w:val="en-GB"/>
        </w:rPr>
      </w:pPr>
    </w:p>
    <w:p w14:paraId="767BF729" w14:textId="77777777" w:rsidR="009C0A5A" w:rsidRDefault="009C0A5A" w:rsidP="009C0A5A">
      <w:pPr>
        <w:spacing w:line="240" w:lineRule="auto"/>
        <w:jc w:val="both"/>
        <w:rPr>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Pr="001A75A1">
        <w:rPr>
          <w:rFonts w:ascii="Calibri" w:eastAsia="Calibri" w:hAnsi="Calibri" w:cs="Times New Roman"/>
          <w:b/>
          <w:lang w:val="en-GB"/>
        </w:rPr>
        <w:t>European Union Agen</w:t>
      </w:r>
      <w:r>
        <w:rPr>
          <w:rFonts w:ascii="Calibri" w:eastAsia="Calibri" w:hAnsi="Calibri" w:cs="Times New Roman"/>
          <w:b/>
          <w:lang w:val="en-GB"/>
        </w:rPr>
        <w:t>cy for Fundamental Rights (FRA)</w:t>
      </w:r>
      <w:r w:rsidRPr="001A3BA9">
        <w:rPr>
          <w:rFonts w:ascii="Calibri" w:eastAsia="Calibri" w:hAnsi="Calibri" w:cs="Times New Roman"/>
          <w:lang w:val="en-GB"/>
        </w:rPr>
        <w:t xml:space="preserve"> – </w:t>
      </w:r>
      <w:hyperlink r:id="rId52" w:history="1">
        <w:r w:rsidRPr="00E86A7A">
          <w:rPr>
            <w:rStyle w:val="Hyperlink"/>
            <w:lang w:val="en-GB"/>
          </w:rPr>
          <w:t>Background note on ways to prevent unaccompanied migrant</w:t>
        </w:r>
        <w:r w:rsidRPr="001A75A1">
          <w:rPr>
            <w:rStyle w:val="Hyperlink"/>
            <w:lang w:val="en-GB"/>
          </w:rPr>
          <w:t xml:space="preserve"> </w:t>
        </w:r>
        <w:r w:rsidRPr="00E86A7A">
          <w:rPr>
            <w:rStyle w:val="Hyperlink"/>
            <w:lang w:val="en-GB"/>
          </w:rPr>
          <w:t>children from going missing</w:t>
        </w:r>
      </w:hyperlink>
      <w:r w:rsidRPr="00E86A7A">
        <w:rPr>
          <w:lang w:val="en-GB"/>
        </w:rPr>
        <w:cr/>
      </w:r>
    </w:p>
    <w:p w14:paraId="0B62EE09" w14:textId="5EA8D873" w:rsidR="00486E96" w:rsidRDefault="00536A7F" w:rsidP="009C0A5A">
      <w:pPr>
        <w:spacing w:line="240" w:lineRule="auto"/>
        <w:rPr>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Pr>
          <w:rFonts w:ascii="Calibri" w:eastAsia="Calibri" w:hAnsi="Calibri" w:cs="Times New Roman"/>
          <w:b/>
          <w:lang w:val="en-GB"/>
        </w:rPr>
        <w:t>European Youth Forum</w:t>
      </w:r>
      <w:r>
        <w:rPr>
          <w:rFonts w:ascii="Calibri" w:eastAsia="Calibri" w:hAnsi="Calibri" w:cs="Times New Roman"/>
          <w:lang w:val="en-GB"/>
        </w:rPr>
        <w:t xml:space="preserve"> – </w:t>
      </w:r>
      <w:hyperlink r:id="rId53" w:history="1">
        <w:r w:rsidRPr="00536A7F">
          <w:rPr>
            <w:rStyle w:val="Hyperlink"/>
            <w:rFonts w:ascii="Calibri" w:eastAsia="Calibri" w:hAnsi="Calibri" w:cs="Times New Roman"/>
            <w:lang w:val="en-GB"/>
          </w:rPr>
          <w:t>Policy Paper on Equality and Non-Discrimination</w:t>
        </w:r>
      </w:hyperlink>
      <w:r w:rsidR="00486E96">
        <w:rPr>
          <w:lang w:val="en-GB"/>
        </w:rPr>
        <w:br/>
      </w:r>
    </w:p>
    <w:p w14:paraId="36EF85F0" w14:textId="77777777" w:rsidR="009C0A5A" w:rsidRPr="009C0A5A" w:rsidRDefault="009C0A5A" w:rsidP="009C0A5A">
      <w:pPr>
        <w:spacing w:line="240" w:lineRule="auto"/>
        <w:rPr>
          <w:lang w:val="en-GB"/>
        </w:rPr>
      </w:pPr>
    </w:p>
    <w:p w14:paraId="37A35064" w14:textId="280F6441" w:rsidR="00EF446F" w:rsidRPr="001A3BA9" w:rsidRDefault="00EF446F" w:rsidP="00CE7D4C">
      <w:pPr>
        <w:pStyle w:val="Heading1"/>
        <w:pBdr>
          <w:top w:val="dotted" w:sz="4" w:space="1" w:color="auto"/>
          <w:bottom w:val="dotted" w:sz="4" w:space="1" w:color="auto"/>
        </w:pBdr>
        <w:spacing w:line="240" w:lineRule="auto"/>
        <w:rPr>
          <w:lang w:val="en-GB"/>
        </w:rPr>
      </w:pPr>
      <w:bookmarkStart w:id="27" w:name="_Other"/>
      <w:bookmarkEnd w:id="27"/>
      <w:r w:rsidRPr="001A3BA9">
        <w:rPr>
          <w:lang w:val="en-GB"/>
        </w:rPr>
        <w:t>Other</w:t>
      </w:r>
      <w:r w:rsidR="005F29CB">
        <w:rPr>
          <w:lang w:val="en-GB"/>
        </w:rPr>
        <w:t xml:space="preserve"> </w:t>
      </w:r>
      <w:r w:rsidR="00A64F44">
        <w:rPr>
          <w:lang w:val="en-GB"/>
        </w:rPr>
        <w:t xml:space="preserve">policy areas and </w:t>
      </w:r>
      <w:r w:rsidR="005F29CB">
        <w:rPr>
          <w:lang w:val="en-GB"/>
        </w:rPr>
        <w:t>grounds of discrimination</w:t>
      </w:r>
    </w:p>
    <w:p w14:paraId="165AC62D" w14:textId="77777777" w:rsidR="00A64F44" w:rsidRDefault="00A64F44" w:rsidP="00CE7D4C">
      <w:pPr>
        <w:pStyle w:val="Heading2"/>
        <w:spacing w:line="240" w:lineRule="auto"/>
        <w:rPr>
          <w:lang w:val="en-GB"/>
        </w:rPr>
      </w:pPr>
    </w:p>
    <w:p w14:paraId="3B0B36B4" w14:textId="48699A8C" w:rsidR="003547E8" w:rsidRPr="001A3BA9" w:rsidRDefault="003547E8" w:rsidP="00CE7D4C">
      <w:pPr>
        <w:pStyle w:val="Heading2"/>
        <w:spacing w:line="240" w:lineRule="auto"/>
        <w:rPr>
          <w:lang w:val="en-GB"/>
        </w:rPr>
      </w:pPr>
      <w:r w:rsidRPr="001A3BA9">
        <w:rPr>
          <w:lang w:val="en-GB"/>
        </w:rPr>
        <w:t>Publications, funding opportunities and events</w:t>
      </w:r>
    </w:p>
    <w:p w14:paraId="43A1C3AD" w14:textId="77777777" w:rsidR="00A64F44" w:rsidRDefault="00A64F44" w:rsidP="00CE7D4C">
      <w:pPr>
        <w:spacing w:line="240" w:lineRule="auto"/>
        <w:jc w:val="both"/>
        <w:rPr>
          <w:b/>
          <w:color w:val="FFFFFF" w:themeColor="background1"/>
          <w:shd w:val="clear" w:color="auto" w:fill="7030A0"/>
          <w:lang w:val="en-GB"/>
        </w:rPr>
      </w:pPr>
    </w:p>
    <w:p w14:paraId="2381975D" w14:textId="553245A6" w:rsidR="005C3238" w:rsidRDefault="00A64F44" w:rsidP="00CE7D4C">
      <w:pPr>
        <w:spacing w:line="240" w:lineRule="auto"/>
        <w:jc w:val="both"/>
        <w:rPr>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sidR="005C3238">
        <w:rPr>
          <w:rFonts w:ascii="Calibri" w:eastAsia="Calibri" w:hAnsi="Calibri" w:cs="Times New Roman"/>
          <w:b/>
          <w:lang w:val="en-GB"/>
        </w:rPr>
        <w:t>Frontex</w:t>
      </w:r>
      <w:r w:rsidRPr="001A3BA9">
        <w:rPr>
          <w:rFonts w:ascii="Calibri" w:eastAsia="Calibri" w:hAnsi="Calibri" w:cs="Times New Roman"/>
          <w:lang w:val="en-GB"/>
        </w:rPr>
        <w:t xml:space="preserve"> – </w:t>
      </w:r>
      <w:hyperlink r:id="rId54" w:history="1">
        <w:r w:rsidR="005C3238" w:rsidRPr="00E86A7A">
          <w:rPr>
            <w:rStyle w:val="Hyperlink"/>
            <w:lang w:val="en-GB"/>
          </w:rPr>
          <w:t xml:space="preserve">Third Annual Report </w:t>
        </w:r>
        <w:r w:rsidR="005C3238" w:rsidRPr="005C3238">
          <w:rPr>
            <w:rStyle w:val="Hyperlink"/>
            <w:lang w:val="en-GB"/>
          </w:rPr>
          <w:t>of</w:t>
        </w:r>
        <w:r w:rsidR="005C3238" w:rsidRPr="00E86A7A">
          <w:rPr>
            <w:rStyle w:val="Hyperlink"/>
            <w:lang w:val="en-GB"/>
          </w:rPr>
          <w:t xml:space="preserve"> Frontex Consultative Forum </w:t>
        </w:r>
        <w:r w:rsidR="005C3238" w:rsidRPr="005C3238">
          <w:rPr>
            <w:rStyle w:val="Hyperlink"/>
            <w:lang w:val="en-GB"/>
          </w:rPr>
          <w:t>on</w:t>
        </w:r>
        <w:r w:rsidR="005C3238" w:rsidRPr="00E86A7A">
          <w:rPr>
            <w:rStyle w:val="Hyperlink"/>
            <w:lang w:val="en-GB"/>
          </w:rPr>
          <w:t xml:space="preserve"> Fundamental Rights</w:t>
        </w:r>
      </w:hyperlink>
      <w:r w:rsidR="005C3238" w:rsidRPr="0011369A">
        <w:rPr>
          <w:lang w:val="en-GB"/>
        </w:rPr>
        <w:t xml:space="preserve"> </w:t>
      </w:r>
      <w:r w:rsidR="009C0A5A">
        <w:rPr>
          <w:lang w:val="en-GB"/>
        </w:rPr>
        <w:tab/>
      </w:r>
      <w:r w:rsidR="009C0A5A">
        <w:rPr>
          <w:lang w:val="en-GB"/>
        </w:rPr>
        <w:br/>
      </w:r>
    </w:p>
    <w:p w14:paraId="07C3ED9B" w14:textId="5A8ED4A6" w:rsidR="00DF2BE7" w:rsidRDefault="00DF2BE7" w:rsidP="00854589">
      <w:pPr>
        <w:spacing w:line="240" w:lineRule="auto"/>
        <w:rPr>
          <w:rFonts w:ascii="Calibri" w:eastAsia="Calibri" w:hAnsi="Calibri" w:cs="Times New Roman"/>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 </w:t>
      </w:r>
      <w:r>
        <w:rPr>
          <w:rFonts w:ascii="Calibri" w:eastAsia="Calibri" w:hAnsi="Calibri" w:cs="Times New Roman"/>
          <w:b/>
          <w:lang w:val="en-GB"/>
        </w:rPr>
        <w:t>Frontex</w:t>
      </w:r>
      <w:r w:rsidRPr="001A3BA9">
        <w:rPr>
          <w:rFonts w:ascii="Calibri" w:eastAsia="Calibri" w:hAnsi="Calibri" w:cs="Times New Roman"/>
          <w:lang w:val="en-GB"/>
        </w:rPr>
        <w:t xml:space="preserve"> – </w:t>
      </w:r>
      <w:hyperlink r:id="rId55" w:history="1">
        <w:r w:rsidRPr="00DF2BE7">
          <w:rPr>
            <w:rStyle w:val="Hyperlink"/>
            <w:rFonts w:ascii="Calibri" w:eastAsia="Calibri" w:hAnsi="Calibri" w:cs="Times New Roman"/>
            <w:lang w:val="en-GB"/>
          </w:rPr>
          <w:t>Risk analysis for 2016</w:t>
        </w:r>
      </w:hyperlink>
      <w:bookmarkStart w:id="28" w:name="_GoBack"/>
      <w:bookmarkEnd w:id="28"/>
    </w:p>
    <w:p w14:paraId="5B1E78D9" w14:textId="11559361" w:rsidR="000F5307" w:rsidRDefault="000F5307" w:rsidP="009C0A5A">
      <w:pPr>
        <w:pBdr>
          <w:bottom w:val="dotted" w:sz="36" w:space="1" w:color="auto"/>
        </w:pBdr>
        <w:spacing w:line="240" w:lineRule="auto"/>
        <w:jc w:val="both"/>
        <w:rPr>
          <w:lang w:val="en-GB"/>
        </w:rPr>
      </w:pPr>
      <w:r>
        <w:rPr>
          <w:lang w:val="en-GB"/>
        </w:rPr>
        <w:t>Frontex published the Annual Risk Analysis for 2016</w:t>
      </w:r>
      <w:r w:rsidRPr="000F5307">
        <w:rPr>
          <w:lang w:val="en-GB"/>
        </w:rPr>
        <w:t xml:space="preserve"> </w:t>
      </w:r>
      <w:r>
        <w:rPr>
          <w:lang w:val="en-GB"/>
        </w:rPr>
        <w:t>pointing</w:t>
      </w:r>
      <w:r w:rsidRPr="000F5307">
        <w:rPr>
          <w:lang w:val="en-GB"/>
        </w:rPr>
        <w:t xml:space="preserve"> out three major challenges to be faced at the external borders: an unprecedented rise in migratory pressure, an increasing terrorist threat and a steady rise in the number of regular travellers.</w:t>
      </w:r>
      <w:r w:rsidR="009C0A5A">
        <w:rPr>
          <w:lang w:val="en-GB"/>
        </w:rPr>
        <w:tab/>
      </w:r>
      <w:r w:rsidR="009C0A5A">
        <w:rPr>
          <w:lang w:val="en-GB"/>
        </w:rPr>
        <w:br/>
      </w:r>
    </w:p>
    <w:p w14:paraId="2384380B" w14:textId="0E8494AA" w:rsidR="00E068D1" w:rsidRPr="00E86A7A" w:rsidRDefault="00E068D1" w:rsidP="00CE7D4C">
      <w:pPr>
        <w:pBdr>
          <w:bottom w:val="dotted" w:sz="36" w:space="1" w:color="auto"/>
        </w:pBdr>
        <w:spacing w:line="240" w:lineRule="auto"/>
        <w:rPr>
          <w:color w:val="FFFFFF" w:themeColor="background1"/>
          <w:shd w:val="clear" w:color="auto" w:fill="7030A0"/>
          <w:lang w:val="en-GB"/>
        </w:rPr>
      </w:pPr>
      <w:r w:rsidRPr="001A3BA9">
        <w:rPr>
          <w:b/>
          <w:color w:val="FFFFFF" w:themeColor="background1"/>
          <w:shd w:val="clear" w:color="auto" w:fill="7030A0"/>
          <w:lang w:val="en-GB"/>
        </w:rPr>
        <w:t>PUBLICATION</w:t>
      </w:r>
      <w:r w:rsidRPr="001A3BA9">
        <w:rPr>
          <w:rFonts w:ascii="Calibri" w:eastAsia="Calibri" w:hAnsi="Calibri" w:cs="Times New Roman"/>
          <w:lang w:val="en-GB"/>
        </w:rPr>
        <w:t xml:space="preserve"> –</w:t>
      </w:r>
      <w:r>
        <w:rPr>
          <w:rFonts w:ascii="Calibri" w:eastAsia="Calibri" w:hAnsi="Calibri" w:cs="Times New Roman"/>
          <w:lang w:val="en-GB"/>
        </w:rPr>
        <w:t xml:space="preserve"> </w:t>
      </w:r>
      <w:r>
        <w:rPr>
          <w:rFonts w:ascii="Calibri" w:eastAsia="Calibri" w:hAnsi="Calibri" w:cs="Times New Roman"/>
          <w:b/>
          <w:lang w:val="en-GB"/>
        </w:rPr>
        <w:t xml:space="preserve">European Economic and Social Committee (EESC) </w:t>
      </w:r>
      <w:r>
        <w:rPr>
          <w:rFonts w:ascii="Calibri" w:eastAsia="Calibri" w:hAnsi="Calibri" w:cs="Times New Roman"/>
          <w:lang w:val="en-GB"/>
        </w:rPr>
        <w:t xml:space="preserve">– </w:t>
      </w:r>
      <w:hyperlink r:id="rId56" w:history="1">
        <w:r w:rsidRPr="00E068D1">
          <w:rPr>
            <w:rStyle w:val="Hyperlink"/>
            <w:rFonts w:ascii="Calibri" w:eastAsia="Calibri" w:hAnsi="Calibri" w:cs="Times New Roman"/>
            <w:lang w:val="en-GB"/>
          </w:rPr>
          <w:t>EESC fact-finding missions on the situation of refugees, as seen by civil society organisations</w:t>
        </w:r>
      </w:hyperlink>
    </w:p>
    <w:p w14:paraId="6C53EA1D" w14:textId="1F450C24" w:rsidR="00B07813" w:rsidRPr="009C0A5A" w:rsidRDefault="00E068D1" w:rsidP="009C0A5A">
      <w:pPr>
        <w:pBdr>
          <w:bottom w:val="dotted" w:sz="36" w:space="1" w:color="auto"/>
        </w:pBdr>
        <w:spacing w:line="240" w:lineRule="auto"/>
        <w:jc w:val="both"/>
        <w:rPr>
          <w:b/>
          <w:color w:val="FFFFFF" w:themeColor="background1"/>
          <w:shd w:val="clear" w:color="auto" w:fill="7030A0"/>
          <w:lang w:val="en-GB"/>
        </w:rPr>
      </w:pPr>
      <w:r w:rsidRPr="00E86A7A">
        <w:rPr>
          <w:lang w:val="en-GB"/>
        </w:rPr>
        <w:t xml:space="preserve">EESC has released a report following its delegation meeting with 180+ authorities, non-governmental organisations, refugee centres and civil society alliances actively working with refugees and migrants. It includes </w:t>
      </w:r>
      <w:r w:rsidRPr="00E624F5">
        <w:rPr>
          <w:b/>
          <w:lang w:val="en-GB"/>
        </w:rPr>
        <w:t>recommendations for regional, national and EU-level policies</w:t>
      </w:r>
      <w:r w:rsidRPr="00E86A7A">
        <w:rPr>
          <w:lang w:val="en-GB"/>
        </w:rPr>
        <w:t xml:space="preserve">. The </w:t>
      </w:r>
      <w:r w:rsidR="00E624F5" w:rsidRPr="00E86A7A">
        <w:rPr>
          <w:lang w:val="en-GB"/>
        </w:rPr>
        <w:t>report covers</w:t>
      </w:r>
      <w:r w:rsidRPr="00E86A7A">
        <w:rPr>
          <w:lang w:val="en-GB"/>
        </w:rPr>
        <w:t xml:space="preserve"> eleven fact-finding country visits in European Union Member States (Austria, Bulgaria, Croatia, Germany, Greece, Hungary, Italy, Malta, Poland, Slovenia and Sweden).</w:t>
      </w:r>
    </w:p>
    <w:p w14:paraId="0DEC4F94" w14:textId="77777777" w:rsidR="00610CE4" w:rsidRPr="001A3BA9" w:rsidRDefault="00610CE4" w:rsidP="00CE7D4C">
      <w:pPr>
        <w:pBdr>
          <w:bottom w:val="dotted" w:sz="36" w:space="1" w:color="auto"/>
        </w:pBdr>
        <w:spacing w:line="240" w:lineRule="auto"/>
        <w:rPr>
          <w:lang w:val="en-GB"/>
        </w:rPr>
      </w:pPr>
    </w:p>
    <w:p w14:paraId="6CA5DCFF" w14:textId="3B46C39E" w:rsidR="009C0A5A" w:rsidRDefault="009C0A5A">
      <w:pPr>
        <w:rPr>
          <w:rFonts w:ascii="Tahoma" w:eastAsiaTheme="majorEastAsia" w:hAnsi="Tahoma" w:cstheme="majorBidi"/>
          <w:b/>
          <w:color w:val="0070C0"/>
          <w:sz w:val="32"/>
          <w:szCs w:val="32"/>
          <w:lang w:val="en-GB"/>
        </w:rPr>
      </w:pPr>
      <w:bookmarkStart w:id="29" w:name="_Recent_case-law"/>
      <w:bookmarkStart w:id="30" w:name="_Toc418770756"/>
      <w:bookmarkStart w:id="31" w:name="_Ref418784375"/>
      <w:bookmarkStart w:id="32" w:name="_Ref421267634"/>
      <w:bookmarkEnd w:id="29"/>
    </w:p>
    <w:p w14:paraId="6A49563D" w14:textId="1DF21F42" w:rsidR="00B07813" w:rsidRPr="001A3BA9" w:rsidRDefault="00B07813" w:rsidP="00CE7D4C">
      <w:pPr>
        <w:pStyle w:val="Heading1"/>
        <w:pBdr>
          <w:top w:val="dotted" w:sz="4" w:space="1" w:color="auto"/>
          <w:bottom w:val="dotted" w:sz="4" w:space="1" w:color="auto"/>
        </w:pBdr>
        <w:spacing w:line="240" w:lineRule="auto"/>
        <w:rPr>
          <w:lang w:val="en-GB"/>
        </w:rPr>
      </w:pPr>
      <w:r w:rsidRPr="001A3BA9">
        <w:rPr>
          <w:lang w:val="en-GB"/>
        </w:rPr>
        <w:t>Recent case-law</w:t>
      </w:r>
      <w:bookmarkEnd w:id="30"/>
      <w:bookmarkEnd w:id="31"/>
      <w:bookmarkEnd w:id="32"/>
    </w:p>
    <w:p w14:paraId="1A7E5E2B" w14:textId="77777777" w:rsidR="00AB116C" w:rsidRPr="001A3BA9" w:rsidRDefault="00AB116C" w:rsidP="00CE7D4C">
      <w:pPr>
        <w:spacing w:line="240" w:lineRule="auto"/>
        <w:rPr>
          <w:lang w:val="en-GB"/>
        </w:rPr>
      </w:pPr>
      <w:bookmarkStart w:id="33" w:name="_Toc418770757"/>
      <w:bookmarkStart w:id="34" w:name="_Ref418784385"/>
    </w:p>
    <w:p w14:paraId="5E641C49" w14:textId="74B1E422" w:rsidR="00542158" w:rsidRDefault="00B07813" w:rsidP="00E87DE2">
      <w:pPr>
        <w:pStyle w:val="Heading2"/>
        <w:spacing w:line="240" w:lineRule="auto"/>
        <w:rPr>
          <w:lang w:val="en-GB"/>
        </w:rPr>
      </w:pPr>
      <w:bookmarkStart w:id="35" w:name="_Ref421267642"/>
      <w:r w:rsidRPr="001A3BA9">
        <w:rPr>
          <w:lang w:val="en-GB"/>
        </w:rPr>
        <w:t>European Court of Justice (ECJ)</w:t>
      </w:r>
      <w:bookmarkEnd w:id="33"/>
      <w:bookmarkEnd w:id="34"/>
      <w:bookmarkEnd w:id="35"/>
    </w:p>
    <w:p w14:paraId="1F1D90D0" w14:textId="77777777" w:rsidR="00A97F7C" w:rsidRPr="00A97F7C" w:rsidRDefault="00A97F7C" w:rsidP="00E87DE2">
      <w:pPr>
        <w:spacing w:line="240" w:lineRule="auto"/>
        <w:rPr>
          <w:lang w:val="en-GB"/>
        </w:rPr>
      </w:pPr>
    </w:p>
    <w:p w14:paraId="1EAA568C" w14:textId="56F41900" w:rsidR="00A64F44" w:rsidRPr="00A97F7C" w:rsidRDefault="00A97F7C" w:rsidP="00E87DE2">
      <w:pPr>
        <w:pStyle w:val="ListParagraph"/>
        <w:numPr>
          <w:ilvl w:val="0"/>
          <w:numId w:val="18"/>
        </w:numPr>
        <w:spacing w:line="240" w:lineRule="auto"/>
        <w:rPr>
          <w:lang w:val="en-GB"/>
        </w:rPr>
      </w:pPr>
      <w:r w:rsidRPr="00A97F7C">
        <w:rPr>
          <w:b/>
          <w:lang w:val="en-GB"/>
        </w:rPr>
        <w:t>Case C-558/14</w:t>
      </w:r>
      <w:r>
        <w:rPr>
          <w:b/>
          <w:lang w:val="en-GB"/>
        </w:rPr>
        <w:t xml:space="preserve"> – </w:t>
      </w:r>
      <w:r w:rsidRPr="00A97F7C">
        <w:rPr>
          <w:b/>
          <w:lang w:val="en-GB"/>
        </w:rPr>
        <w:t>Mimoun Khachab v Subdelegación del Gobierno en Álava</w:t>
      </w:r>
      <w:r>
        <w:rPr>
          <w:b/>
          <w:lang w:val="en-GB"/>
        </w:rPr>
        <w:t xml:space="preserve"> (21 April 2016)</w:t>
      </w:r>
    </w:p>
    <w:p w14:paraId="21EF3344" w14:textId="0873B7EA" w:rsidR="0045538F" w:rsidRDefault="00A97F7C" w:rsidP="00E87DE2">
      <w:pPr>
        <w:spacing w:line="240" w:lineRule="auto"/>
        <w:jc w:val="both"/>
        <w:rPr>
          <w:lang w:val="en-GB"/>
        </w:rPr>
      </w:pPr>
      <w:r>
        <w:rPr>
          <w:lang w:val="en-GB"/>
        </w:rPr>
        <w:t xml:space="preserve">The Court decided that EU </w:t>
      </w:r>
      <w:r w:rsidRPr="00A97F7C">
        <w:rPr>
          <w:lang w:val="en-GB"/>
        </w:rPr>
        <w:t>Member States may refuse an application for family reunification if it is</w:t>
      </w:r>
      <w:r>
        <w:rPr>
          <w:lang w:val="en-GB"/>
        </w:rPr>
        <w:t xml:space="preserve"> </w:t>
      </w:r>
      <w:r w:rsidRPr="00A97F7C">
        <w:rPr>
          <w:lang w:val="en-GB"/>
        </w:rPr>
        <w:t>apparent from a prospective assessment that the sponsor will not have stable and</w:t>
      </w:r>
      <w:r>
        <w:rPr>
          <w:lang w:val="en-GB"/>
        </w:rPr>
        <w:t xml:space="preserve"> </w:t>
      </w:r>
      <w:r w:rsidRPr="00A97F7C">
        <w:rPr>
          <w:lang w:val="en-GB"/>
        </w:rPr>
        <w:t>regular resources which are sufficient in the year following the date of submission</w:t>
      </w:r>
      <w:r>
        <w:rPr>
          <w:lang w:val="en-GB"/>
        </w:rPr>
        <w:t xml:space="preserve"> </w:t>
      </w:r>
      <w:r w:rsidRPr="00A97F7C">
        <w:rPr>
          <w:lang w:val="en-GB"/>
        </w:rPr>
        <w:t>of the application</w:t>
      </w:r>
      <w:r>
        <w:rPr>
          <w:lang w:val="en-GB"/>
        </w:rPr>
        <w:t xml:space="preserve">. More information can be found </w:t>
      </w:r>
      <w:hyperlink r:id="rId57" w:history="1">
        <w:r w:rsidRPr="00A97F7C">
          <w:rPr>
            <w:rStyle w:val="Hyperlink"/>
            <w:lang w:val="en-GB"/>
          </w:rPr>
          <w:t>here</w:t>
        </w:r>
      </w:hyperlink>
      <w:r>
        <w:rPr>
          <w:lang w:val="en-GB"/>
        </w:rPr>
        <w:t>.</w:t>
      </w:r>
    </w:p>
    <w:p w14:paraId="284F08C7" w14:textId="77777777" w:rsidR="00E87DE2" w:rsidRPr="00A97F7C" w:rsidRDefault="00E87DE2" w:rsidP="00E87DE2">
      <w:pPr>
        <w:spacing w:line="240" w:lineRule="auto"/>
        <w:jc w:val="both"/>
        <w:rPr>
          <w:lang w:val="en-GB"/>
        </w:rPr>
      </w:pPr>
    </w:p>
    <w:p w14:paraId="7B10DD56" w14:textId="4A11A56F" w:rsidR="009913B6" w:rsidRPr="001A3BA9" w:rsidRDefault="00AB116C" w:rsidP="00E87DE2">
      <w:pPr>
        <w:pStyle w:val="Heading2"/>
        <w:spacing w:line="240" w:lineRule="auto"/>
        <w:rPr>
          <w:lang w:val="en-GB"/>
        </w:rPr>
      </w:pPr>
      <w:bookmarkStart w:id="36" w:name="_Ref421267644"/>
      <w:r w:rsidRPr="001A3BA9">
        <w:rPr>
          <w:lang w:val="en-GB"/>
        </w:rPr>
        <w:t>European Court of Human Rights (EC</w:t>
      </w:r>
      <w:r w:rsidR="00880B15" w:rsidRPr="001A3BA9">
        <w:rPr>
          <w:lang w:val="en-GB"/>
        </w:rPr>
        <w:t>t</w:t>
      </w:r>
      <w:r w:rsidRPr="001A3BA9">
        <w:rPr>
          <w:lang w:val="en-GB"/>
        </w:rPr>
        <w:t>HR)</w:t>
      </w:r>
      <w:bookmarkEnd w:id="36"/>
      <w:r w:rsidR="009913B6" w:rsidRPr="001A3BA9">
        <w:rPr>
          <w:lang w:val="en-GB"/>
        </w:rPr>
        <w:br/>
      </w:r>
    </w:p>
    <w:p w14:paraId="670B24A7" w14:textId="5A4495C2" w:rsidR="00182F22" w:rsidRDefault="00182F22" w:rsidP="00E87DE2">
      <w:pPr>
        <w:pStyle w:val="ListParagraph"/>
        <w:numPr>
          <w:ilvl w:val="0"/>
          <w:numId w:val="16"/>
        </w:numPr>
        <w:spacing w:line="240" w:lineRule="auto"/>
        <w:jc w:val="both"/>
        <w:rPr>
          <w:b/>
          <w:lang w:val="en-GB"/>
        </w:rPr>
      </w:pPr>
      <w:r>
        <w:rPr>
          <w:b/>
          <w:lang w:val="en-GB"/>
        </w:rPr>
        <w:t>Application no.646/10 – M.G. v Turkey (22 March 2016)</w:t>
      </w:r>
    </w:p>
    <w:p w14:paraId="077F1104" w14:textId="77777777" w:rsidR="00182F22" w:rsidRDefault="00182F22" w:rsidP="00182F22">
      <w:pPr>
        <w:spacing w:line="240" w:lineRule="auto"/>
        <w:jc w:val="both"/>
        <w:rPr>
          <w:lang w:val="en-GB"/>
        </w:rPr>
      </w:pPr>
      <w:r w:rsidRPr="00182F22">
        <w:rPr>
          <w:lang w:val="en-GB"/>
        </w:rPr>
        <w:t>The case concerned the domestic violence experienced by M.G. during her marriage, the threats</w:t>
      </w:r>
      <w:r>
        <w:rPr>
          <w:lang w:val="en-GB"/>
        </w:rPr>
        <w:t xml:space="preserve"> </w:t>
      </w:r>
      <w:r w:rsidRPr="00182F22">
        <w:rPr>
          <w:lang w:val="en-GB"/>
        </w:rPr>
        <w:t>made against her following her divorce and the subsequent proceedings.</w:t>
      </w:r>
      <w:r>
        <w:rPr>
          <w:lang w:val="en-GB"/>
        </w:rPr>
        <w:t xml:space="preserve"> </w:t>
      </w:r>
      <w:r w:rsidRPr="00182F22">
        <w:rPr>
          <w:lang w:val="en-GB"/>
        </w:rPr>
        <w:t>The Court found in particular that the authorities had taken a passiv</w:t>
      </w:r>
      <w:r>
        <w:rPr>
          <w:lang w:val="en-GB"/>
        </w:rPr>
        <w:t xml:space="preserve">e attitude, in that the criminal </w:t>
      </w:r>
      <w:r w:rsidRPr="00182F22">
        <w:rPr>
          <w:lang w:val="en-GB"/>
        </w:rPr>
        <w:t>proceedings had been opened more than five years and six months after M.G. had lodged a</w:t>
      </w:r>
      <w:r>
        <w:rPr>
          <w:lang w:val="en-GB"/>
        </w:rPr>
        <w:t xml:space="preserve"> </w:t>
      </w:r>
      <w:r w:rsidRPr="00182F22">
        <w:rPr>
          <w:lang w:val="en-GB"/>
        </w:rPr>
        <w:t>complaint against her husband and that the proceedings were apparently still pending.</w:t>
      </w:r>
    </w:p>
    <w:p w14:paraId="2F05ED2E" w14:textId="12C69522" w:rsidR="00182F22" w:rsidRDefault="00182F22" w:rsidP="00182F22">
      <w:pPr>
        <w:spacing w:line="240" w:lineRule="auto"/>
        <w:jc w:val="both"/>
        <w:rPr>
          <w:lang w:val="en-GB"/>
        </w:rPr>
      </w:pPr>
      <w:r w:rsidRPr="00182F22">
        <w:rPr>
          <w:lang w:val="en-GB"/>
        </w:rPr>
        <w:t>The Court also held that after the divorce was pronounced (on 24 September 2007) and until the</w:t>
      </w:r>
      <w:r>
        <w:rPr>
          <w:lang w:val="en-GB"/>
        </w:rPr>
        <w:t xml:space="preserve"> </w:t>
      </w:r>
      <w:r w:rsidRPr="00182F22">
        <w:rPr>
          <w:lang w:val="en-GB"/>
        </w:rPr>
        <w:t>entry into force of a new Law (no. 6284) on 20 March 2012, the legislative framework in place did</w:t>
      </w:r>
      <w:r>
        <w:rPr>
          <w:lang w:val="en-GB"/>
        </w:rPr>
        <w:t xml:space="preserve"> </w:t>
      </w:r>
      <w:r w:rsidRPr="00182F22">
        <w:rPr>
          <w:lang w:val="en-GB"/>
        </w:rPr>
        <w:t>not guarantee that M.G., a divorcée, could benefit from protection measures, and noted that for</w:t>
      </w:r>
      <w:r>
        <w:rPr>
          <w:lang w:val="en-GB"/>
        </w:rPr>
        <w:t xml:space="preserve"> </w:t>
      </w:r>
      <w:r w:rsidRPr="00182F22">
        <w:rPr>
          <w:lang w:val="en-GB"/>
        </w:rPr>
        <w:t>many years after applying to the national courts, she had been forced to live in fear of her ex</w:t>
      </w:r>
      <w:r>
        <w:rPr>
          <w:lang w:val="en-GB"/>
        </w:rPr>
        <w:t>-</w:t>
      </w:r>
      <w:r w:rsidRPr="00182F22">
        <w:rPr>
          <w:lang w:val="en-GB"/>
        </w:rPr>
        <w:t>husband’s</w:t>
      </w:r>
      <w:r>
        <w:rPr>
          <w:lang w:val="en-GB"/>
        </w:rPr>
        <w:t xml:space="preserve"> </w:t>
      </w:r>
      <w:r w:rsidR="000C07C3">
        <w:rPr>
          <w:lang w:val="en-GB"/>
        </w:rPr>
        <w:t xml:space="preserve">conduct. More information can be found </w:t>
      </w:r>
      <w:hyperlink r:id="rId58" w:anchor="{&quot;itemid&quot;:[&quot;003-5332256-6646783&quot;]}" w:history="1">
        <w:r w:rsidR="000C07C3" w:rsidRPr="000C07C3">
          <w:rPr>
            <w:rStyle w:val="Hyperlink"/>
            <w:lang w:val="en-GB"/>
          </w:rPr>
          <w:t>here</w:t>
        </w:r>
      </w:hyperlink>
      <w:r w:rsidR="000C07C3">
        <w:rPr>
          <w:lang w:val="en-GB"/>
        </w:rPr>
        <w:t xml:space="preserve">. </w:t>
      </w:r>
    </w:p>
    <w:p w14:paraId="6E066CB4" w14:textId="1168BD67" w:rsidR="00E87DE2" w:rsidRPr="00182F22" w:rsidRDefault="00E87DE2" w:rsidP="00182F22">
      <w:pPr>
        <w:pStyle w:val="ListParagraph"/>
        <w:numPr>
          <w:ilvl w:val="0"/>
          <w:numId w:val="16"/>
        </w:numPr>
        <w:spacing w:line="240" w:lineRule="auto"/>
        <w:jc w:val="both"/>
        <w:rPr>
          <w:lang w:val="en-GB"/>
        </w:rPr>
      </w:pPr>
      <w:r w:rsidRPr="00182F22">
        <w:rPr>
          <w:b/>
          <w:lang w:val="en-GB"/>
        </w:rPr>
        <w:t>Application no. 12060/12 – M.C. &amp; A.C. v Romania</w:t>
      </w:r>
      <w:r w:rsidRPr="00182F22" w:rsidDel="0011369A">
        <w:rPr>
          <w:b/>
          <w:lang w:val="en-GB"/>
        </w:rPr>
        <w:t xml:space="preserve"> </w:t>
      </w:r>
      <w:r w:rsidRPr="00182F22">
        <w:rPr>
          <w:b/>
          <w:lang w:val="en-GB"/>
        </w:rPr>
        <w:t>(12 April 2016)</w:t>
      </w:r>
    </w:p>
    <w:p w14:paraId="117F6E8D" w14:textId="60C0DACE" w:rsidR="00182F22" w:rsidRDefault="00E87DE2" w:rsidP="00E87DE2">
      <w:pPr>
        <w:spacing w:line="240" w:lineRule="auto"/>
        <w:jc w:val="both"/>
        <w:rPr>
          <w:lang w:val="en-GB"/>
        </w:rPr>
      </w:pPr>
      <w:r w:rsidRPr="0011369A">
        <w:rPr>
          <w:lang w:val="en-GB"/>
        </w:rPr>
        <w:t>The case concerned the applicants' complaint that they been attacked on their way home from a gay march and that the ensuing investigation had been inadequate.</w:t>
      </w:r>
      <w:r>
        <w:rPr>
          <w:lang w:val="en-GB"/>
        </w:rPr>
        <w:t xml:space="preserve"> </w:t>
      </w:r>
      <w:r w:rsidRPr="0011369A">
        <w:rPr>
          <w:lang w:val="en-GB"/>
        </w:rPr>
        <w:t>The Court considered that the authorities did not take reasonable steps with the aim of examining the role played by possible homophobic motives behind the attack. The Court found a violation of Article 3 (procedural limb) of the Convention read together with Article 14 of the Convention on this point.</w:t>
      </w:r>
      <w:r>
        <w:rPr>
          <w:lang w:val="en-GB"/>
        </w:rPr>
        <w:t xml:space="preserve"> More information can be found </w:t>
      </w:r>
      <w:hyperlink r:id="rId59" w:history="1">
        <w:r w:rsidRPr="0011369A">
          <w:rPr>
            <w:rStyle w:val="Hyperlink"/>
            <w:lang w:val="en-GB"/>
          </w:rPr>
          <w:t>here</w:t>
        </w:r>
      </w:hyperlink>
      <w:r>
        <w:rPr>
          <w:lang w:val="en-GB"/>
        </w:rPr>
        <w:t>.</w:t>
      </w:r>
    </w:p>
    <w:p w14:paraId="61970AE4" w14:textId="77777777" w:rsidR="00182F22" w:rsidRPr="001A3BA9" w:rsidRDefault="00182F22" w:rsidP="00E87DE2">
      <w:pPr>
        <w:spacing w:line="240" w:lineRule="auto"/>
        <w:jc w:val="both"/>
        <w:rPr>
          <w:lang w:val="en-GB"/>
        </w:rPr>
      </w:pPr>
    </w:p>
    <w:p w14:paraId="642FDE12" w14:textId="628A2761" w:rsidR="006762EA" w:rsidRDefault="00A738FC" w:rsidP="00E87DE2">
      <w:pPr>
        <w:pStyle w:val="ListParagraph"/>
        <w:numPr>
          <w:ilvl w:val="0"/>
          <w:numId w:val="16"/>
        </w:numPr>
        <w:spacing w:line="240" w:lineRule="auto"/>
        <w:jc w:val="both"/>
        <w:rPr>
          <w:b/>
          <w:lang w:val="en-GB"/>
        </w:rPr>
      </w:pPr>
      <w:r>
        <w:rPr>
          <w:b/>
          <w:lang w:val="en-GB"/>
        </w:rPr>
        <w:t>A</w:t>
      </w:r>
      <w:r w:rsidRPr="0011369A">
        <w:rPr>
          <w:b/>
          <w:lang w:val="en-GB"/>
        </w:rPr>
        <w:t xml:space="preserve">pplication </w:t>
      </w:r>
      <w:r w:rsidRPr="006762EA">
        <w:rPr>
          <w:b/>
          <w:lang w:val="en-GB"/>
        </w:rPr>
        <w:t xml:space="preserve">no. </w:t>
      </w:r>
      <w:r w:rsidR="00317F37">
        <w:rPr>
          <w:b/>
          <w:lang w:val="en-GB"/>
        </w:rPr>
        <w:t>62649/10</w:t>
      </w:r>
      <w:r>
        <w:rPr>
          <w:b/>
          <w:lang w:val="en-GB"/>
        </w:rPr>
        <w:t xml:space="preserve"> – </w:t>
      </w:r>
      <w:r w:rsidR="00317F37" w:rsidRPr="00317F37">
        <w:rPr>
          <w:b/>
          <w:lang w:val="en-GB"/>
        </w:rPr>
        <w:t>İzzettin Doğan and Others v. Turkey</w:t>
      </w:r>
      <w:r w:rsidR="00317F37">
        <w:rPr>
          <w:b/>
          <w:lang w:val="en-GB"/>
        </w:rPr>
        <w:t xml:space="preserve"> (26 April 2016)</w:t>
      </w:r>
    </w:p>
    <w:p w14:paraId="64291D7F" w14:textId="1A4ECF22" w:rsidR="00181E5F" w:rsidRPr="00A738FC" w:rsidRDefault="00317F37" w:rsidP="00E87DE2">
      <w:pPr>
        <w:spacing w:line="240" w:lineRule="auto"/>
        <w:jc w:val="both"/>
        <w:rPr>
          <w:lang w:val="en-GB"/>
        </w:rPr>
      </w:pPr>
      <w:r w:rsidRPr="00317F37">
        <w:rPr>
          <w:lang w:val="en-GB"/>
        </w:rPr>
        <w:t xml:space="preserve">The applicants, 203 Turkish nationals who are members of the Alevi religious community, complained about the authorities’ refusal to provide public services in religious matters to Alevi citizens and considered that they are subjected to discriminatory treatment in comparison to citizens who belong to the Sunni branch of Islam. </w:t>
      </w:r>
      <w:r>
        <w:rPr>
          <w:lang w:val="en-GB"/>
        </w:rPr>
        <w:t>T</w:t>
      </w:r>
      <w:r w:rsidRPr="00317F37">
        <w:rPr>
          <w:lang w:val="en-GB"/>
        </w:rPr>
        <w:t>he Court held that there had been a violation of the right to freedom of religion</w:t>
      </w:r>
      <w:r>
        <w:rPr>
          <w:lang w:val="en-GB"/>
        </w:rPr>
        <w:t xml:space="preserve"> (Article 9)</w:t>
      </w:r>
      <w:r w:rsidRPr="00317F37">
        <w:rPr>
          <w:lang w:val="en-GB"/>
        </w:rPr>
        <w:t xml:space="preserve"> and the prohibition of discrimination</w:t>
      </w:r>
      <w:r>
        <w:rPr>
          <w:lang w:val="en-GB"/>
        </w:rPr>
        <w:t xml:space="preserve"> (Article 14)</w:t>
      </w:r>
      <w:r w:rsidRPr="00317F37">
        <w:rPr>
          <w:lang w:val="en-GB"/>
        </w:rPr>
        <w:t xml:space="preserve">. More information can be found </w:t>
      </w:r>
      <w:hyperlink r:id="rId60" w:history="1">
        <w:r w:rsidRPr="00317F37">
          <w:rPr>
            <w:rStyle w:val="Hyperlink"/>
            <w:lang w:val="en-GB"/>
          </w:rPr>
          <w:t>here</w:t>
        </w:r>
      </w:hyperlink>
      <w:r w:rsidRPr="00317F37">
        <w:rPr>
          <w:lang w:val="en-GB"/>
        </w:rPr>
        <w:t>.</w:t>
      </w:r>
    </w:p>
    <w:p w14:paraId="2628FA75" w14:textId="77777777" w:rsidR="00E87DE2" w:rsidRPr="001A3BA9" w:rsidRDefault="00E87DE2">
      <w:pPr>
        <w:spacing w:line="240" w:lineRule="auto"/>
        <w:rPr>
          <w:lang w:val="en-GB"/>
        </w:rPr>
      </w:pPr>
    </w:p>
    <w:sectPr w:rsidR="00E87DE2" w:rsidRPr="001A3BA9" w:rsidSect="006415D5">
      <w:footerReference w:type="default" r:id="rId6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1DD77DD1" w:rsidR="00B07813" w:rsidRDefault="00B07813">
        <w:pPr>
          <w:pStyle w:val="Footer"/>
          <w:jc w:val="center"/>
        </w:pPr>
        <w:r>
          <w:fldChar w:fldCharType="begin"/>
        </w:r>
        <w:r>
          <w:instrText xml:space="preserve"> PAGE   \* MERGEFORMAT </w:instrText>
        </w:r>
        <w:r>
          <w:fldChar w:fldCharType="separate"/>
        </w:r>
        <w:r w:rsidR="00854589">
          <w:rPr>
            <w:noProof/>
          </w:rPr>
          <w:t>4</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5FC"/>
    <w:multiLevelType w:val="hybridMultilevel"/>
    <w:tmpl w:val="842A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6C88"/>
    <w:multiLevelType w:val="hybridMultilevel"/>
    <w:tmpl w:val="B9A8DE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127922"/>
    <w:multiLevelType w:val="hybridMultilevel"/>
    <w:tmpl w:val="C09C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C089D"/>
    <w:multiLevelType w:val="hybridMultilevel"/>
    <w:tmpl w:val="A1DE2B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0BF6B42"/>
    <w:multiLevelType w:val="hybridMultilevel"/>
    <w:tmpl w:val="B3F0B3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C56813"/>
    <w:multiLevelType w:val="hybridMultilevel"/>
    <w:tmpl w:val="44141072"/>
    <w:lvl w:ilvl="0" w:tplc="50EE1F2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D736E"/>
    <w:multiLevelType w:val="hybridMultilevel"/>
    <w:tmpl w:val="02D859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FA62188"/>
    <w:multiLevelType w:val="hybridMultilevel"/>
    <w:tmpl w:val="34F860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6702B39"/>
    <w:multiLevelType w:val="hybridMultilevel"/>
    <w:tmpl w:val="CEF291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68D4DFE"/>
    <w:multiLevelType w:val="hybridMultilevel"/>
    <w:tmpl w:val="BD1450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CA81278"/>
    <w:multiLevelType w:val="hybridMultilevel"/>
    <w:tmpl w:val="F46A4A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D217B51"/>
    <w:multiLevelType w:val="hybridMultilevel"/>
    <w:tmpl w:val="5B4253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434772"/>
    <w:multiLevelType w:val="hybridMultilevel"/>
    <w:tmpl w:val="3DCC0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E03468"/>
    <w:multiLevelType w:val="hybridMultilevel"/>
    <w:tmpl w:val="8E38934E"/>
    <w:lvl w:ilvl="0" w:tplc="2DB03E0E">
      <w:numFmt w:val="bullet"/>
      <w:lvlText w:val="•"/>
      <w:lvlJc w:val="left"/>
      <w:pPr>
        <w:ind w:left="1065" w:hanging="705"/>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77721D03"/>
    <w:multiLevelType w:val="hybridMultilevel"/>
    <w:tmpl w:val="94169BD0"/>
    <w:lvl w:ilvl="0" w:tplc="0A3CF0E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89E0A68"/>
    <w:multiLevelType w:val="hybridMultilevel"/>
    <w:tmpl w:val="F4BC56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96E4406"/>
    <w:multiLevelType w:val="hybridMultilevel"/>
    <w:tmpl w:val="B37C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53976"/>
    <w:multiLevelType w:val="hybridMultilevel"/>
    <w:tmpl w:val="5CE2AE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3"/>
  </w:num>
  <w:num w:numId="4">
    <w:abstractNumId w:val="14"/>
  </w:num>
  <w:num w:numId="5">
    <w:abstractNumId w:val="3"/>
  </w:num>
  <w:num w:numId="6">
    <w:abstractNumId w:val="7"/>
  </w:num>
  <w:num w:numId="7">
    <w:abstractNumId w:val="17"/>
  </w:num>
  <w:num w:numId="8">
    <w:abstractNumId w:val="6"/>
  </w:num>
  <w:num w:numId="9">
    <w:abstractNumId w:val="12"/>
  </w:num>
  <w:num w:numId="10">
    <w:abstractNumId w:val="5"/>
  </w:num>
  <w:num w:numId="11">
    <w:abstractNumId w:val="0"/>
  </w:num>
  <w:num w:numId="12">
    <w:abstractNumId w:val="2"/>
  </w:num>
  <w:num w:numId="13">
    <w:abstractNumId w:val="8"/>
  </w:num>
  <w:num w:numId="14">
    <w:abstractNumId w:val="9"/>
  </w:num>
  <w:num w:numId="15">
    <w:abstractNumId w:val="4"/>
  </w:num>
  <w:num w:numId="16">
    <w:abstractNumId w:val="10"/>
  </w:num>
  <w:num w:numId="17">
    <w:abstractNumId w:val="6"/>
  </w:num>
  <w:num w:numId="18">
    <w:abstractNumId w:val="16"/>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5CDB"/>
    <w:rsid w:val="000124F1"/>
    <w:rsid w:val="000263B4"/>
    <w:rsid w:val="00032B4D"/>
    <w:rsid w:val="00033C74"/>
    <w:rsid w:val="000348AB"/>
    <w:rsid w:val="00036CEA"/>
    <w:rsid w:val="000515A0"/>
    <w:rsid w:val="00052136"/>
    <w:rsid w:val="00060AE9"/>
    <w:rsid w:val="00062190"/>
    <w:rsid w:val="00070718"/>
    <w:rsid w:val="00071CE6"/>
    <w:rsid w:val="00074333"/>
    <w:rsid w:val="00094672"/>
    <w:rsid w:val="000A426F"/>
    <w:rsid w:val="000B22AC"/>
    <w:rsid w:val="000B440E"/>
    <w:rsid w:val="000B784B"/>
    <w:rsid w:val="000C07C3"/>
    <w:rsid w:val="000C7863"/>
    <w:rsid w:val="000D5978"/>
    <w:rsid w:val="000E1235"/>
    <w:rsid w:val="000E568F"/>
    <w:rsid w:val="000F46D8"/>
    <w:rsid w:val="000F5307"/>
    <w:rsid w:val="000F79AC"/>
    <w:rsid w:val="0011369A"/>
    <w:rsid w:val="001140DC"/>
    <w:rsid w:val="00114F97"/>
    <w:rsid w:val="001252F9"/>
    <w:rsid w:val="00126C6E"/>
    <w:rsid w:val="00135F22"/>
    <w:rsid w:val="001407CF"/>
    <w:rsid w:val="0014109E"/>
    <w:rsid w:val="00141904"/>
    <w:rsid w:val="00156C8C"/>
    <w:rsid w:val="0016113D"/>
    <w:rsid w:val="00164743"/>
    <w:rsid w:val="00167053"/>
    <w:rsid w:val="00167A1B"/>
    <w:rsid w:val="00167D2D"/>
    <w:rsid w:val="00175EA1"/>
    <w:rsid w:val="00177C56"/>
    <w:rsid w:val="00181AC5"/>
    <w:rsid w:val="00181E5F"/>
    <w:rsid w:val="00182F22"/>
    <w:rsid w:val="0018390B"/>
    <w:rsid w:val="0018402A"/>
    <w:rsid w:val="001A3BA9"/>
    <w:rsid w:val="001A75A1"/>
    <w:rsid w:val="001B305F"/>
    <w:rsid w:val="001C172F"/>
    <w:rsid w:val="001C5ACD"/>
    <w:rsid w:val="001D369F"/>
    <w:rsid w:val="001E3467"/>
    <w:rsid w:val="001E6A3C"/>
    <w:rsid w:val="00207FD0"/>
    <w:rsid w:val="00217BAD"/>
    <w:rsid w:val="002257C4"/>
    <w:rsid w:val="0024578B"/>
    <w:rsid w:val="00253898"/>
    <w:rsid w:val="00255FDB"/>
    <w:rsid w:val="002606F8"/>
    <w:rsid w:val="00274B8D"/>
    <w:rsid w:val="00290542"/>
    <w:rsid w:val="00291191"/>
    <w:rsid w:val="00291472"/>
    <w:rsid w:val="002A17B3"/>
    <w:rsid w:val="002A226B"/>
    <w:rsid w:val="002B08F4"/>
    <w:rsid w:val="002C2F53"/>
    <w:rsid w:val="002C31FA"/>
    <w:rsid w:val="002C3BF0"/>
    <w:rsid w:val="002D0D1E"/>
    <w:rsid w:val="002D1695"/>
    <w:rsid w:val="002D35C4"/>
    <w:rsid w:val="002E5A0D"/>
    <w:rsid w:val="002F0278"/>
    <w:rsid w:val="002F7E79"/>
    <w:rsid w:val="00300E7F"/>
    <w:rsid w:val="00307D94"/>
    <w:rsid w:val="00317F37"/>
    <w:rsid w:val="003323C7"/>
    <w:rsid w:val="003334CD"/>
    <w:rsid w:val="00336FE1"/>
    <w:rsid w:val="0034362B"/>
    <w:rsid w:val="00353AB1"/>
    <w:rsid w:val="003547E8"/>
    <w:rsid w:val="003645BF"/>
    <w:rsid w:val="003713E7"/>
    <w:rsid w:val="003722A3"/>
    <w:rsid w:val="00376B56"/>
    <w:rsid w:val="00383A1F"/>
    <w:rsid w:val="0038736A"/>
    <w:rsid w:val="003904F8"/>
    <w:rsid w:val="003A3173"/>
    <w:rsid w:val="003C34AB"/>
    <w:rsid w:val="003C75BF"/>
    <w:rsid w:val="003E5C38"/>
    <w:rsid w:val="003F59DF"/>
    <w:rsid w:val="004141B8"/>
    <w:rsid w:val="004275EC"/>
    <w:rsid w:val="004424A6"/>
    <w:rsid w:val="00445864"/>
    <w:rsid w:val="00445DEE"/>
    <w:rsid w:val="0044701A"/>
    <w:rsid w:val="0045538F"/>
    <w:rsid w:val="004830B4"/>
    <w:rsid w:val="0048576D"/>
    <w:rsid w:val="00486E96"/>
    <w:rsid w:val="0049407A"/>
    <w:rsid w:val="004A773A"/>
    <w:rsid w:val="004A7771"/>
    <w:rsid w:val="004B0537"/>
    <w:rsid w:val="004B0ABE"/>
    <w:rsid w:val="004B535D"/>
    <w:rsid w:val="004D1EB3"/>
    <w:rsid w:val="004D52AF"/>
    <w:rsid w:val="004E6851"/>
    <w:rsid w:val="004F608B"/>
    <w:rsid w:val="00501C96"/>
    <w:rsid w:val="005047E4"/>
    <w:rsid w:val="0051290D"/>
    <w:rsid w:val="005165D2"/>
    <w:rsid w:val="005215AF"/>
    <w:rsid w:val="00522381"/>
    <w:rsid w:val="005223B3"/>
    <w:rsid w:val="00533A5B"/>
    <w:rsid w:val="00536A7F"/>
    <w:rsid w:val="00542158"/>
    <w:rsid w:val="00543DFC"/>
    <w:rsid w:val="00546EB9"/>
    <w:rsid w:val="00564D83"/>
    <w:rsid w:val="00566380"/>
    <w:rsid w:val="00572EC6"/>
    <w:rsid w:val="0059007C"/>
    <w:rsid w:val="005978FA"/>
    <w:rsid w:val="005A59E4"/>
    <w:rsid w:val="005A767B"/>
    <w:rsid w:val="005B04DF"/>
    <w:rsid w:val="005B717A"/>
    <w:rsid w:val="005C3238"/>
    <w:rsid w:val="005D0D68"/>
    <w:rsid w:val="005D3458"/>
    <w:rsid w:val="005F001F"/>
    <w:rsid w:val="005F29CB"/>
    <w:rsid w:val="0060251B"/>
    <w:rsid w:val="006075A4"/>
    <w:rsid w:val="00610CE4"/>
    <w:rsid w:val="00611A6B"/>
    <w:rsid w:val="00617C12"/>
    <w:rsid w:val="00624AFF"/>
    <w:rsid w:val="006415D5"/>
    <w:rsid w:val="00661D88"/>
    <w:rsid w:val="0067153F"/>
    <w:rsid w:val="00675A23"/>
    <w:rsid w:val="006762EA"/>
    <w:rsid w:val="00677CCA"/>
    <w:rsid w:val="00680705"/>
    <w:rsid w:val="00683578"/>
    <w:rsid w:val="006A0A69"/>
    <w:rsid w:val="006A569F"/>
    <w:rsid w:val="006B5E9D"/>
    <w:rsid w:val="006B7A01"/>
    <w:rsid w:val="006C3CD5"/>
    <w:rsid w:val="006D46DE"/>
    <w:rsid w:val="006E6137"/>
    <w:rsid w:val="006F58CF"/>
    <w:rsid w:val="00700753"/>
    <w:rsid w:val="00702D8C"/>
    <w:rsid w:val="0071202A"/>
    <w:rsid w:val="007253DA"/>
    <w:rsid w:val="00725924"/>
    <w:rsid w:val="00735BC7"/>
    <w:rsid w:val="0073740D"/>
    <w:rsid w:val="00754940"/>
    <w:rsid w:val="00757D6D"/>
    <w:rsid w:val="00781677"/>
    <w:rsid w:val="00792C11"/>
    <w:rsid w:val="007A61FC"/>
    <w:rsid w:val="007B3F43"/>
    <w:rsid w:val="007B74FC"/>
    <w:rsid w:val="00837FF6"/>
    <w:rsid w:val="008427D7"/>
    <w:rsid w:val="00842C67"/>
    <w:rsid w:val="00844F30"/>
    <w:rsid w:val="00845CD1"/>
    <w:rsid w:val="00845D30"/>
    <w:rsid w:val="00847B78"/>
    <w:rsid w:val="00854589"/>
    <w:rsid w:val="0086661C"/>
    <w:rsid w:val="008674A8"/>
    <w:rsid w:val="00871587"/>
    <w:rsid w:val="008719D8"/>
    <w:rsid w:val="00880B15"/>
    <w:rsid w:val="008860F3"/>
    <w:rsid w:val="00887B95"/>
    <w:rsid w:val="00895E09"/>
    <w:rsid w:val="008B45CB"/>
    <w:rsid w:val="008C045F"/>
    <w:rsid w:val="008F31F4"/>
    <w:rsid w:val="008F6AB5"/>
    <w:rsid w:val="00901387"/>
    <w:rsid w:val="00922F1E"/>
    <w:rsid w:val="00946FD6"/>
    <w:rsid w:val="0095164B"/>
    <w:rsid w:val="009566D7"/>
    <w:rsid w:val="00966A95"/>
    <w:rsid w:val="00975348"/>
    <w:rsid w:val="0097583E"/>
    <w:rsid w:val="0098311A"/>
    <w:rsid w:val="009913B6"/>
    <w:rsid w:val="00997A8C"/>
    <w:rsid w:val="009A27B5"/>
    <w:rsid w:val="009B4DBA"/>
    <w:rsid w:val="009C0A5A"/>
    <w:rsid w:val="009C2CBE"/>
    <w:rsid w:val="009D1056"/>
    <w:rsid w:val="009E0E92"/>
    <w:rsid w:val="009E42A3"/>
    <w:rsid w:val="009F48FE"/>
    <w:rsid w:val="00A004B5"/>
    <w:rsid w:val="00A076E2"/>
    <w:rsid w:val="00A11060"/>
    <w:rsid w:val="00A111CC"/>
    <w:rsid w:val="00A2605C"/>
    <w:rsid w:val="00A330D1"/>
    <w:rsid w:val="00A34EB9"/>
    <w:rsid w:val="00A3740D"/>
    <w:rsid w:val="00A40F5A"/>
    <w:rsid w:val="00A64F44"/>
    <w:rsid w:val="00A738FC"/>
    <w:rsid w:val="00A73FA9"/>
    <w:rsid w:val="00A74E27"/>
    <w:rsid w:val="00A83053"/>
    <w:rsid w:val="00A86A2F"/>
    <w:rsid w:val="00A91933"/>
    <w:rsid w:val="00A924CE"/>
    <w:rsid w:val="00A965AC"/>
    <w:rsid w:val="00A975CF"/>
    <w:rsid w:val="00A97F7C"/>
    <w:rsid w:val="00AA01E3"/>
    <w:rsid w:val="00AA6001"/>
    <w:rsid w:val="00AB00D1"/>
    <w:rsid w:val="00AB116C"/>
    <w:rsid w:val="00AC40EF"/>
    <w:rsid w:val="00AC7F4D"/>
    <w:rsid w:val="00AD0C93"/>
    <w:rsid w:val="00AD1C3F"/>
    <w:rsid w:val="00AD3748"/>
    <w:rsid w:val="00B01F61"/>
    <w:rsid w:val="00B05622"/>
    <w:rsid w:val="00B07813"/>
    <w:rsid w:val="00B154D6"/>
    <w:rsid w:val="00B17291"/>
    <w:rsid w:val="00B211C5"/>
    <w:rsid w:val="00B21946"/>
    <w:rsid w:val="00B22B3F"/>
    <w:rsid w:val="00B2655F"/>
    <w:rsid w:val="00B328C5"/>
    <w:rsid w:val="00B33A99"/>
    <w:rsid w:val="00B40C5A"/>
    <w:rsid w:val="00B43DB6"/>
    <w:rsid w:val="00B46448"/>
    <w:rsid w:val="00B81B74"/>
    <w:rsid w:val="00B82E36"/>
    <w:rsid w:val="00B83CEA"/>
    <w:rsid w:val="00BC522B"/>
    <w:rsid w:val="00BC7E33"/>
    <w:rsid w:val="00BD5727"/>
    <w:rsid w:val="00BD7FB3"/>
    <w:rsid w:val="00BE1F3C"/>
    <w:rsid w:val="00BE3F66"/>
    <w:rsid w:val="00BE506C"/>
    <w:rsid w:val="00BF1E90"/>
    <w:rsid w:val="00BF7D99"/>
    <w:rsid w:val="00C0290D"/>
    <w:rsid w:val="00C07F99"/>
    <w:rsid w:val="00C117CA"/>
    <w:rsid w:val="00C32C29"/>
    <w:rsid w:val="00C53365"/>
    <w:rsid w:val="00C555EA"/>
    <w:rsid w:val="00C607F3"/>
    <w:rsid w:val="00C62D18"/>
    <w:rsid w:val="00C70745"/>
    <w:rsid w:val="00C819D6"/>
    <w:rsid w:val="00C842B1"/>
    <w:rsid w:val="00C87C61"/>
    <w:rsid w:val="00C91705"/>
    <w:rsid w:val="00C92B6C"/>
    <w:rsid w:val="00CB2E4E"/>
    <w:rsid w:val="00CC57B6"/>
    <w:rsid w:val="00CD5C8D"/>
    <w:rsid w:val="00CE7D4C"/>
    <w:rsid w:val="00CF683F"/>
    <w:rsid w:val="00CF7284"/>
    <w:rsid w:val="00D013AD"/>
    <w:rsid w:val="00D05673"/>
    <w:rsid w:val="00D1064D"/>
    <w:rsid w:val="00D1731B"/>
    <w:rsid w:val="00D2587C"/>
    <w:rsid w:val="00D418BF"/>
    <w:rsid w:val="00D45B2F"/>
    <w:rsid w:val="00D47BC3"/>
    <w:rsid w:val="00D51E65"/>
    <w:rsid w:val="00D52E39"/>
    <w:rsid w:val="00D54367"/>
    <w:rsid w:val="00D65405"/>
    <w:rsid w:val="00D80D0E"/>
    <w:rsid w:val="00D926DA"/>
    <w:rsid w:val="00D95D5E"/>
    <w:rsid w:val="00D97678"/>
    <w:rsid w:val="00DA1BD6"/>
    <w:rsid w:val="00DD2431"/>
    <w:rsid w:val="00DE3EC3"/>
    <w:rsid w:val="00DE4E66"/>
    <w:rsid w:val="00DF2158"/>
    <w:rsid w:val="00DF2BE7"/>
    <w:rsid w:val="00E00E14"/>
    <w:rsid w:val="00E014FB"/>
    <w:rsid w:val="00E068D1"/>
    <w:rsid w:val="00E1004A"/>
    <w:rsid w:val="00E1239F"/>
    <w:rsid w:val="00E24680"/>
    <w:rsid w:val="00E300D5"/>
    <w:rsid w:val="00E37537"/>
    <w:rsid w:val="00E409BB"/>
    <w:rsid w:val="00E60B0F"/>
    <w:rsid w:val="00E624F5"/>
    <w:rsid w:val="00E64486"/>
    <w:rsid w:val="00E675E7"/>
    <w:rsid w:val="00E67F9C"/>
    <w:rsid w:val="00E86A7A"/>
    <w:rsid w:val="00E87DE2"/>
    <w:rsid w:val="00E91D96"/>
    <w:rsid w:val="00E92717"/>
    <w:rsid w:val="00EA1275"/>
    <w:rsid w:val="00EE5BC9"/>
    <w:rsid w:val="00EF12AD"/>
    <w:rsid w:val="00EF446F"/>
    <w:rsid w:val="00F204A4"/>
    <w:rsid w:val="00F23218"/>
    <w:rsid w:val="00F31126"/>
    <w:rsid w:val="00F34291"/>
    <w:rsid w:val="00F43E45"/>
    <w:rsid w:val="00F46D1B"/>
    <w:rsid w:val="00F66D27"/>
    <w:rsid w:val="00F74759"/>
    <w:rsid w:val="00F92C30"/>
    <w:rsid w:val="00F93FE2"/>
    <w:rsid w:val="00F97FCF"/>
    <w:rsid w:val="00FA6B5D"/>
    <w:rsid w:val="00FC2233"/>
    <w:rsid w:val="00FC2FA9"/>
    <w:rsid w:val="00FC4E2D"/>
    <w:rsid w:val="00FD527A"/>
    <w:rsid w:val="00FE5DDF"/>
    <w:rsid w:val="00FE6920"/>
    <w:rsid w:val="00FE7DB2"/>
    <w:rsid w:val="00FF55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E7B45FBB-4F3D-478D-A9FE-A2122C7E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46F"/>
  </w:style>
  <w:style w:type="paragraph" w:styleId="Heading1">
    <w:name w:val="heading 1"/>
    <w:basedOn w:val="Normal"/>
    <w:next w:val="Normal"/>
    <w:link w:val="Heading1Char"/>
    <w:uiPriority w:val="9"/>
    <w:qFormat/>
    <w:rsid w:val="004830B4"/>
    <w:pPr>
      <w:keepNext/>
      <w:keepLines/>
      <w:spacing w:before="240" w:after="0"/>
      <w:jc w:val="center"/>
      <w:outlineLvl w:val="0"/>
    </w:pPr>
    <w:rPr>
      <w:rFonts w:ascii="Tahoma" w:eastAsiaTheme="majorEastAsia" w:hAnsi="Tahoma" w:cstheme="majorBidi"/>
      <w:b/>
      <w:color w:val="0070C0"/>
      <w:sz w:val="32"/>
      <w:szCs w:val="32"/>
    </w:rPr>
  </w:style>
  <w:style w:type="paragraph" w:styleId="Heading2">
    <w:name w:val="heading 2"/>
    <w:basedOn w:val="Normal"/>
    <w:next w:val="Normal"/>
    <w:link w:val="Heading2Char"/>
    <w:uiPriority w:val="9"/>
    <w:unhideWhenUsed/>
    <w:qFormat/>
    <w:rsid w:val="00AA6001"/>
    <w:pPr>
      <w:keepNext/>
      <w:keepLines/>
      <w:spacing w:before="40" w:after="0"/>
      <w:outlineLvl w:val="1"/>
    </w:pPr>
    <w:rPr>
      <w:rFonts w:asciiTheme="majorHAnsi" w:eastAsiaTheme="majorEastAsia" w:hAnsiTheme="majorHAnsi" w:cstheme="majorBidi"/>
      <w:b/>
      <w:color w:val="C00000"/>
      <w:sz w:val="26"/>
      <w:szCs w:val="26"/>
    </w:rPr>
  </w:style>
  <w:style w:type="paragraph" w:styleId="Heading3">
    <w:name w:val="heading 3"/>
    <w:basedOn w:val="Normal"/>
    <w:next w:val="Normal"/>
    <w:link w:val="Heading3Char"/>
    <w:uiPriority w:val="9"/>
    <w:unhideWhenUsed/>
    <w:qFormat/>
    <w:rsid w:val="0009467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0B4"/>
    <w:rPr>
      <w:rFonts w:ascii="Tahoma" w:eastAsiaTheme="majorEastAsia" w:hAnsi="Tahoma" w:cstheme="majorBidi"/>
      <w:b/>
      <w:color w:val="0070C0"/>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AA6001"/>
    <w:rPr>
      <w:rFonts w:asciiTheme="majorHAnsi" w:eastAsiaTheme="majorEastAsia" w:hAnsiTheme="majorHAnsi" w:cstheme="majorBidi"/>
      <w:b/>
      <w:color w:val="C00000"/>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customStyle="1" w:styleId="Heading3Char">
    <w:name w:val="Heading 3 Char"/>
    <w:basedOn w:val="DefaultParagraphFont"/>
    <w:link w:val="Heading3"/>
    <w:uiPriority w:val="9"/>
    <w:rsid w:val="00094672"/>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0946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D95D5E"/>
    <w:rPr>
      <w:b/>
      <w:bCs/>
    </w:rPr>
  </w:style>
  <w:style w:type="paragraph" w:styleId="NoSpacing">
    <w:name w:val="No Spacing"/>
    <w:uiPriority w:val="1"/>
    <w:qFormat/>
    <w:rsid w:val="00C0290D"/>
    <w:pPr>
      <w:spacing w:after="0" w:line="240" w:lineRule="auto"/>
    </w:pPr>
  </w:style>
  <w:style w:type="character" w:customStyle="1" w:styleId="apple-converted-space">
    <w:name w:val="apple-converted-space"/>
    <w:basedOn w:val="DefaultParagraphFont"/>
    <w:rsid w:val="00B21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4607">
      <w:bodyDiv w:val="1"/>
      <w:marLeft w:val="0"/>
      <w:marRight w:val="0"/>
      <w:marTop w:val="0"/>
      <w:marBottom w:val="0"/>
      <w:divBdr>
        <w:top w:val="none" w:sz="0" w:space="0" w:color="auto"/>
        <w:left w:val="none" w:sz="0" w:space="0" w:color="auto"/>
        <w:bottom w:val="none" w:sz="0" w:space="0" w:color="auto"/>
        <w:right w:val="none" w:sz="0" w:space="0" w:color="auto"/>
      </w:divBdr>
    </w:div>
    <w:div w:id="359625593">
      <w:bodyDiv w:val="1"/>
      <w:marLeft w:val="0"/>
      <w:marRight w:val="0"/>
      <w:marTop w:val="0"/>
      <w:marBottom w:val="0"/>
      <w:divBdr>
        <w:top w:val="none" w:sz="0" w:space="0" w:color="auto"/>
        <w:left w:val="none" w:sz="0" w:space="0" w:color="auto"/>
        <w:bottom w:val="none" w:sz="0" w:space="0" w:color="auto"/>
        <w:right w:val="none" w:sz="0" w:space="0" w:color="auto"/>
      </w:divBdr>
    </w:div>
    <w:div w:id="452869706">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34595415">
      <w:bodyDiv w:val="1"/>
      <w:marLeft w:val="0"/>
      <w:marRight w:val="0"/>
      <w:marTop w:val="0"/>
      <w:marBottom w:val="0"/>
      <w:divBdr>
        <w:top w:val="none" w:sz="0" w:space="0" w:color="auto"/>
        <w:left w:val="none" w:sz="0" w:space="0" w:color="auto"/>
        <w:bottom w:val="none" w:sz="0" w:space="0" w:color="auto"/>
        <w:right w:val="none" w:sz="0" w:space="0" w:color="auto"/>
      </w:divBdr>
    </w:div>
    <w:div w:id="778453894">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810754209">
      <w:bodyDiv w:val="1"/>
      <w:marLeft w:val="0"/>
      <w:marRight w:val="0"/>
      <w:marTop w:val="0"/>
      <w:marBottom w:val="0"/>
      <w:divBdr>
        <w:top w:val="none" w:sz="0" w:space="0" w:color="auto"/>
        <w:left w:val="none" w:sz="0" w:space="0" w:color="auto"/>
        <w:bottom w:val="none" w:sz="0" w:space="0" w:color="auto"/>
        <w:right w:val="none" w:sz="0" w:space="0" w:color="auto"/>
      </w:divBdr>
    </w:div>
    <w:div w:id="1292050035">
      <w:bodyDiv w:val="1"/>
      <w:marLeft w:val="0"/>
      <w:marRight w:val="0"/>
      <w:marTop w:val="0"/>
      <w:marBottom w:val="0"/>
      <w:divBdr>
        <w:top w:val="none" w:sz="0" w:space="0" w:color="auto"/>
        <w:left w:val="none" w:sz="0" w:space="0" w:color="auto"/>
        <w:bottom w:val="none" w:sz="0" w:space="0" w:color="auto"/>
        <w:right w:val="none" w:sz="0" w:space="0" w:color="auto"/>
      </w:divBdr>
    </w:div>
    <w:div w:id="1461726229">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72085099">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788548072">
      <w:bodyDiv w:val="1"/>
      <w:marLeft w:val="0"/>
      <w:marRight w:val="0"/>
      <w:marTop w:val="0"/>
      <w:marBottom w:val="0"/>
      <w:divBdr>
        <w:top w:val="none" w:sz="0" w:space="0" w:color="auto"/>
        <w:left w:val="none" w:sz="0" w:space="0" w:color="auto"/>
        <w:bottom w:val="none" w:sz="0" w:space="0" w:color="auto"/>
        <w:right w:val="none" w:sz="0" w:space="0" w:color="auto"/>
      </w:divBdr>
    </w:div>
    <w:div w:id="1790278121">
      <w:bodyDiv w:val="1"/>
      <w:marLeft w:val="0"/>
      <w:marRight w:val="0"/>
      <w:marTop w:val="0"/>
      <w:marBottom w:val="0"/>
      <w:divBdr>
        <w:top w:val="none" w:sz="0" w:space="0" w:color="auto"/>
        <w:left w:val="none" w:sz="0" w:space="0" w:color="auto"/>
        <w:bottom w:val="none" w:sz="0" w:space="0" w:color="auto"/>
        <w:right w:val="none" w:sz="0" w:space="0" w:color="auto"/>
      </w:divBdr>
    </w:div>
    <w:div w:id="1872569373">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1921139022">
      <w:bodyDiv w:val="1"/>
      <w:marLeft w:val="0"/>
      <w:marRight w:val="0"/>
      <w:marTop w:val="0"/>
      <w:marBottom w:val="0"/>
      <w:divBdr>
        <w:top w:val="none" w:sz="0" w:space="0" w:color="auto"/>
        <w:left w:val="none" w:sz="0" w:space="0" w:color="auto"/>
        <w:bottom w:val="none" w:sz="0" w:space="0" w:color="auto"/>
        <w:right w:val="none" w:sz="0" w:space="0" w:color="auto"/>
      </w:divBdr>
    </w:div>
    <w:div w:id="1975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hforum.org/" TargetMode="External"/><Relationship Id="rId18" Type="http://schemas.openxmlformats.org/officeDocument/2006/relationships/hyperlink" Target="http://www.keepeek.com/Digital-Asset-Management/oecd/education/age-ageing-and-skills_5jm0q1n38lvc-en?utm_content=buffer10d87&amp;utm_medium=social&amp;utm_source=twitter.com&amp;utm_campaign=buffer" TargetMode="External"/><Relationship Id="rId26" Type="http://schemas.openxmlformats.org/officeDocument/2006/relationships/image" Target="media/image3.png"/><Relationship Id="rId39" Type="http://schemas.openxmlformats.org/officeDocument/2006/relationships/hyperlink" Target="http://www.coe.int/en/web/portal/roma/-/asset_publisher/gVmmR8R87tOz/content/revised-strategic-guidelines-approved-by-the-congress-bureau?inheritRedirect=false&amp;redirect=http%3A%2F%2Fwww.coe.int%2Fen%2Fweb%2Fportal%2Froma%3Fp_p_id%3D101_INSTANCE_gVmmR8R87tOz%26p_p_lifecycle%3D0%26p_p_state%3Dnormal%26p_p_mode%3Dview%26p_p_col_id%3Dcolumn-1%26p_p_col_pos%3D2%26p_p_col_count%3D9" TargetMode="External"/><Relationship Id="rId21" Type="http://schemas.openxmlformats.org/officeDocument/2006/relationships/hyperlink" Target="http://www.equineteurope.org/Tackling-Ageism-and-Discrimination" TargetMode="External"/><Relationship Id="rId34" Type="http://schemas.openxmlformats.org/officeDocument/2006/relationships/hyperlink" Target="http://ec.europa.eu/justice/grants1/calls/2015_action_grants/just_2015_rdap_ag_en.htm" TargetMode="External"/><Relationship Id="rId42" Type="http://schemas.openxmlformats.org/officeDocument/2006/relationships/hyperlink" Target="http://www.ilga-europe.org/resources/news/latest-news/shatter-stigma-world-health-day" TargetMode="External"/><Relationship Id="rId47" Type="http://schemas.openxmlformats.org/officeDocument/2006/relationships/hyperlink" Target="http://www.ilga-europe.org/resources/news/latest-news/study-session-lgbti-community-organising" TargetMode="External"/><Relationship Id="rId50" Type="http://schemas.openxmlformats.org/officeDocument/2006/relationships/hyperlink" Target="http://www.mhe-sme.org/" TargetMode="External"/><Relationship Id="rId55" Type="http://schemas.openxmlformats.org/officeDocument/2006/relationships/hyperlink" Target="http://frontex.europa.eu/news/frontex-publishes-risk-analysis-for-2016-NQuBFv"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althy-workplaces.eu/en/news/new-e-guide-one-stop-shop-ageing-management" TargetMode="External"/><Relationship Id="rId20" Type="http://schemas.openxmlformats.org/officeDocument/2006/relationships/hyperlink" Target="http://age-platform.eu/age-work/age-policy-work/anti-discrimination/age-work/3004-age-issues-position-on-structural-ageism" TargetMode="External"/><Relationship Id="rId29" Type="http://schemas.openxmlformats.org/officeDocument/2006/relationships/hyperlink" Target="http://fra.europa.eu/en/opinion/2016/fra-opinion-eu-shared-values-tool?_cldee=bGF1cmEtbWFyY2hldHRpQGxpdmUuaXQ%3d&amp;urlid=20" TargetMode="External"/><Relationship Id="rId41" Type="http://schemas.openxmlformats.org/officeDocument/2006/relationships/hyperlink" Target="http://www.who.int/campaigns/world-health-day/2016/en/" TargetMode="External"/><Relationship Id="rId54" Type="http://schemas.openxmlformats.org/officeDocument/2006/relationships/hyperlink" Target="http://frontex.europa.eu/news/third-annual-report-of-frontex-consultative-forum-on-fundamental-rights-published-RpreBJ"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platform.eu/age-work/age-and-the-eu-institutions/european-parliament/intergroup-on-ageing-and-intergenerational-solidarity" TargetMode="External"/><Relationship Id="rId24" Type="http://schemas.openxmlformats.org/officeDocument/2006/relationships/hyperlink" Target="http://fundamentalrightsforum.eu/" TargetMode="External"/><Relationship Id="rId32" Type="http://schemas.openxmlformats.org/officeDocument/2006/relationships/hyperlink" Target="ww.enar-eu.org/26-May-2016-Symposium-Muslim-women-forgotten-women-Understanding-the-gender" TargetMode="External"/><Relationship Id="rId37" Type="http://schemas.openxmlformats.org/officeDocument/2006/relationships/hyperlink" Target="http://www.genderpaygap.eu/documents/GPG_comparative%20report_add%20EGG%20final.pdf" TargetMode="External"/><Relationship Id="rId40" Type="http://schemas.openxmlformats.org/officeDocument/2006/relationships/hyperlink" Target="https://www.opensocietyfoundations.org/reports/strategic-litigation-impacts-roma-school-desegregation" TargetMode="External"/><Relationship Id="rId45" Type="http://schemas.openxmlformats.org/officeDocument/2006/relationships/hyperlink" Target="http://www.ospedaleuniverona.it/ecm/home" TargetMode="External"/><Relationship Id="rId53" Type="http://schemas.openxmlformats.org/officeDocument/2006/relationships/hyperlink" Target="http://www.youthforum.org/assets/2016/04/0099-16_Policy_Paper_Equality_Non-discrimination_FINAL2.pdf" TargetMode="External"/><Relationship Id="rId58" Type="http://schemas.openxmlformats.org/officeDocument/2006/relationships/hyperlink" Target="http://hudoc.echr.coe.int/eng" TargetMode="External"/><Relationship Id="rId5" Type="http://schemas.openxmlformats.org/officeDocument/2006/relationships/webSettings" Target="webSettings.xml"/><Relationship Id="rId15" Type="http://schemas.openxmlformats.org/officeDocument/2006/relationships/hyperlink" Target="https://osha.europa.eu/" TargetMode="External"/><Relationship Id="rId23" Type="http://schemas.openxmlformats.org/officeDocument/2006/relationships/hyperlink" Target="http://ec.europa.eu/justice/newsroom/fundamental-rights/events/161117_en.htm" TargetMode="External"/><Relationship Id="rId28" Type="http://schemas.openxmlformats.org/officeDocument/2006/relationships/hyperlink" Target="http://fra.europa.eu/en/video/2016/compendium-practices-combating-hate-crime" TargetMode="External"/><Relationship Id="rId36" Type="http://schemas.openxmlformats.org/officeDocument/2006/relationships/hyperlink" Target="http://european.ewob-network.eu/ewob-publishes-landmark-report-on-the-progress-of-women-on-the-boards-of-major-european-companies/" TargetMode="External"/><Relationship Id="rId49" Type="http://schemas.openxmlformats.org/officeDocument/2006/relationships/hyperlink" Target="https://eachofus.eu/" TargetMode="External"/><Relationship Id="rId57" Type="http://schemas.openxmlformats.org/officeDocument/2006/relationships/hyperlink" Target="http://curia.europa.eu/jcms/upload/docs/application/pdf/2016-04/cp160042en.pdf" TargetMode="External"/><Relationship Id="rId61"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www.oecd.org/site/piaac/surveyofadultskills.htm" TargetMode="External"/><Relationship Id="rId31" Type="http://schemas.openxmlformats.org/officeDocument/2006/relationships/hyperlink" Target="http://eige.europa.eu/about-eige/procurement/eige-2015-adm-33" TargetMode="External"/><Relationship Id="rId44" Type="http://schemas.openxmlformats.org/officeDocument/2006/relationships/hyperlink" Target="http://eurohealthnet.eu/" TargetMode="External"/><Relationship Id="rId52" Type="http://schemas.openxmlformats.org/officeDocument/2006/relationships/hyperlink" Target="http://fra.europa.eu/sites/default/files/fra_uploads/fra-2016-libe_missing_children_21_april_2016_background_note.pdf" TargetMode="External"/><Relationship Id="rId60" Type="http://schemas.openxmlformats.org/officeDocument/2006/relationships/hyperlink" Target="http://hudoc.echr.coe.int/eng?i=001-162697"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youthforum.org/pressrelease/joint-pr-more-solidarity-and-interaction-between-generations-needed-to-challenge-age-stereotypes-and-ingrained-ageism/" TargetMode="External"/><Relationship Id="rId22" Type="http://schemas.openxmlformats.org/officeDocument/2006/relationships/hyperlink" Target="http://efus.eu/en/topics/risks-forms-of-crime/hate-crime/news-just-safer-cities-for-all/efus/10930/" TargetMode="External"/><Relationship Id="rId27" Type="http://schemas.openxmlformats.org/officeDocument/2006/relationships/hyperlink" Target="http://www.equineteurope.org/FRA-report-practical-guidance-on-combating-hate-crime" TargetMode="External"/><Relationship Id="rId30" Type="http://schemas.openxmlformats.org/officeDocument/2006/relationships/hyperlink" Target="https://wcd.coe.int/ViewDoc.jsp?p=&amp;Ref=CommDH-PR015(2016)&amp;Language=lanEnglish&amp;Ver=original&amp;Site=DC&amp;BackColorInternet=F5CA75&amp;BackColorIntranet=F5CA75&amp;BackColorLogged=A9BACE&amp;direct=true" TargetMode="External"/><Relationship Id="rId35" Type="http://schemas.openxmlformats.org/officeDocument/2006/relationships/hyperlink" Target="http://eige.europa.eu/rdc/eige-publications/analysis-victims-rights-directive-gender-perspective" TargetMode="External"/><Relationship Id="rId43" Type="http://schemas.openxmlformats.org/officeDocument/2006/relationships/hyperlink" Target="http://www.ilga-europe.org/resources/news/latest-news/new-pilot-project-reducing-lgbti-health-inequalities" TargetMode="External"/><Relationship Id="rId48" Type="http://schemas.openxmlformats.org/officeDocument/2006/relationships/hyperlink" Target="http://www.coe.int/t/DG3/DISABILITY/consultation2016_en.asp" TargetMode="External"/><Relationship Id="rId56" Type="http://schemas.openxmlformats.org/officeDocument/2006/relationships/hyperlink" Target="http://www.eesc.europa.eu/?i=portal.en.refugee-crisis" TargetMode="External"/><Relationship Id="rId8" Type="http://schemas.openxmlformats.org/officeDocument/2006/relationships/image" Target="media/image1.png"/><Relationship Id="rId51" Type="http://schemas.openxmlformats.org/officeDocument/2006/relationships/hyperlink" Target="http://www.eesc.europa.eu/?i=portal.en.events-and-activities-un-crpd-implementation-programme&amp;_cldee=bGF1cmEubWFyY2hldHRpQGVxdWluZXRldXJvcGUub3Jn&amp;urlid=5" TargetMode="External"/><Relationship Id="rId3" Type="http://schemas.openxmlformats.org/officeDocument/2006/relationships/styles" Target="styles.xml"/><Relationship Id="rId12" Type="http://schemas.openxmlformats.org/officeDocument/2006/relationships/hyperlink" Target="http://www.age-platform.eu/index.php" TargetMode="External"/><Relationship Id="rId17" Type="http://schemas.openxmlformats.org/officeDocument/2006/relationships/hyperlink" Target="https://www.healthy-workplaces.eu/" TargetMode="External"/><Relationship Id="rId25" Type="http://schemas.openxmlformats.org/officeDocument/2006/relationships/hyperlink" Target="http://ec.europa.eu/social/main.jsp?catId=737&amp;langId=en&amp;pubId=7884&amp;visible=0&amp;" TargetMode="External"/><Relationship Id="rId33" Type="http://schemas.openxmlformats.org/officeDocument/2006/relationships/hyperlink" Target="http://ec.europa.eu/justice/grants1/calls/2015_action_grants/just_2015_rgen_ag_role_en.htm" TargetMode="External"/><Relationship Id="rId38" Type="http://schemas.openxmlformats.org/officeDocument/2006/relationships/hyperlink" Target="https://search.coe.int/cm/Pages/result_details.aspx?ObjectID=09000016805c5a1d" TargetMode="External"/><Relationship Id="rId46" Type="http://schemas.openxmlformats.org/officeDocument/2006/relationships/hyperlink" Target="http://www.ilga-europe.org/resources/news/latest-news/capacity-building-seminar-asylum" TargetMode="External"/><Relationship Id="rId59" Type="http://schemas.openxmlformats.org/officeDocument/2006/relationships/hyperlink" Target="http://www.coe.int/en/web/sogi/-/nouvell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207C-9FDF-450F-9570-BAB637EA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8</Pages>
  <Words>3252</Words>
  <Characters>17886</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225</cp:revision>
  <cp:lastPrinted>2016-04-08T14:09:00Z</cp:lastPrinted>
  <dcterms:created xsi:type="dcterms:W3CDTF">2015-06-12T12:43:00Z</dcterms:created>
  <dcterms:modified xsi:type="dcterms:W3CDTF">2016-05-04T16:33:00Z</dcterms:modified>
</cp:coreProperties>
</file>