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0D27" w14:textId="27E91F86" w:rsidR="00F66D27" w:rsidRPr="002257C4" w:rsidRDefault="002257C4" w:rsidP="000263B4">
      <w:pPr>
        <w:spacing w:line="240" w:lineRule="auto"/>
        <w:jc w:val="both"/>
        <w:rPr>
          <w:b/>
          <w:noProof/>
          <w:sz w:val="28"/>
          <w:lang w:val="en-GB" w:eastAsia="fr-BE"/>
        </w:rPr>
      </w:pPr>
      <w:r>
        <w:rPr>
          <w:b/>
          <w:noProof/>
          <w:sz w:val="28"/>
          <w:lang w:eastAsia="fr-BE"/>
        </w:rPr>
        <w:drawing>
          <wp:anchor distT="0" distB="0" distL="114300" distR="114300" simplePos="0" relativeHeight="251658240" behindDoc="0" locked="0" layoutInCell="1" allowOverlap="1" wp14:anchorId="3136AB47" wp14:editId="4A7F1B52">
            <wp:simplePos x="0" y="0"/>
            <wp:positionH relativeFrom="margin">
              <wp:posOffset>-685800</wp:posOffset>
            </wp:positionH>
            <wp:positionV relativeFrom="margin">
              <wp:posOffset>-914400</wp:posOffset>
            </wp:positionV>
            <wp:extent cx="7543800" cy="2033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033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lang w:val="en-GB" w:eastAsia="fr-BE"/>
        </w:rPr>
        <w:br/>
      </w:r>
      <w:r w:rsidR="00F31126" w:rsidRPr="006075A4">
        <w:rPr>
          <w:b/>
          <w:lang w:val="en-GB"/>
        </w:rPr>
        <w:t xml:space="preserve">Dear Equinet Members, </w:t>
      </w:r>
      <w:r w:rsidR="00F31126" w:rsidRPr="006075A4">
        <w:rPr>
          <w:b/>
          <w:lang w:val="en-GB"/>
        </w:rPr>
        <w:tab/>
      </w:r>
      <w:r w:rsidR="00F31126" w:rsidRPr="006075A4">
        <w:rPr>
          <w:b/>
          <w:lang w:val="en-GB"/>
        </w:rPr>
        <w:br/>
      </w:r>
      <w:r w:rsidR="00F31126" w:rsidRPr="006075A4">
        <w:rPr>
          <w:lang w:val="en-GB"/>
        </w:rPr>
        <w:t xml:space="preserve">This Members’ Bulletin gathers </w:t>
      </w:r>
      <w:r w:rsidR="00F31126" w:rsidRPr="006075A4">
        <w:rPr>
          <w:b/>
          <w:lang w:val="en-GB"/>
        </w:rPr>
        <w:t>the latest European Union (EU) and international developments</w:t>
      </w:r>
      <w:r w:rsidR="00F31126" w:rsidRPr="006075A4">
        <w:rPr>
          <w:lang w:val="en-GB"/>
        </w:rPr>
        <w:t xml:space="preserve">. It aims to give you an </w:t>
      </w:r>
      <w:r w:rsidR="00F31126" w:rsidRPr="006075A4">
        <w:rPr>
          <w:b/>
          <w:lang w:val="en-GB"/>
        </w:rPr>
        <w:t>overview of relevant policy and legal developments</w:t>
      </w:r>
      <w:r w:rsidR="00F31126" w:rsidRPr="006075A4">
        <w:rPr>
          <w:lang w:val="en-GB"/>
        </w:rPr>
        <w:t xml:space="preserve">, as well as latest calls for interest, funding opportunities and upcoming events. We very much hope this members’ bulletin will be useful in your day-to-day work and we would be grateful if you could </w:t>
      </w:r>
      <w:r w:rsidR="00F31126" w:rsidRPr="006075A4">
        <w:rPr>
          <w:b/>
          <w:lang w:val="en-GB"/>
        </w:rPr>
        <w:t>disseminate it among your colleagues</w:t>
      </w:r>
      <w:r w:rsidR="00F31126" w:rsidRPr="006075A4">
        <w:rPr>
          <w:lang w:val="en-GB"/>
        </w:rPr>
        <w:t xml:space="preserve">. Your feedback is also greatly appreciated. Should you have any comments or further questions, </w:t>
      </w:r>
      <w:r w:rsidR="00F31126" w:rsidRPr="006075A4">
        <w:rPr>
          <w:b/>
          <w:lang w:val="en-GB"/>
        </w:rPr>
        <w:t>please do not hesitate to contact Jessica Machacova, Equinet Project Officer</w:t>
      </w:r>
      <w:r w:rsidR="00F31126" w:rsidRPr="006075A4">
        <w:rPr>
          <w:lang w:val="en-GB"/>
        </w:rPr>
        <w:t xml:space="preserve"> (</w:t>
      </w:r>
      <w:hyperlink r:id="rId9" w:history="1">
        <w:r w:rsidR="00F31126" w:rsidRPr="006075A4">
          <w:rPr>
            <w:rStyle w:val="Hyperlink"/>
            <w:lang w:val="en-GB"/>
          </w:rPr>
          <w:t>Jessica.machacova@equineteurope.org</w:t>
        </w:r>
      </w:hyperlink>
      <w:r w:rsidR="00F31126"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77777777" w:rsidR="002C3BF0" w:rsidRPr="002257C4" w:rsidRDefault="002C3BF0" w:rsidP="002257C4">
      <w:pPr>
        <w:shd w:val="clear" w:color="auto" w:fill="E2EFD9" w:themeFill="accent6" w:themeFillTint="33"/>
        <w:spacing w:line="240" w:lineRule="auto"/>
        <w:jc w:val="center"/>
        <w:rPr>
          <w:b/>
          <w:sz w:val="28"/>
          <w:lang w:val="en-GB"/>
        </w:rPr>
      </w:pPr>
      <w:r w:rsidRPr="002257C4">
        <w:rPr>
          <w:b/>
          <w:sz w:val="28"/>
          <w:lang w:val="en-GB"/>
        </w:rPr>
        <w:t>Equinet Members’ Bulletin on latest EU and internal developments – Table of contents</w:t>
      </w:r>
    </w:p>
    <w:p w14:paraId="5891F305" w14:textId="77777777" w:rsidR="002C3BF0" w:rsidRPr="006075A4" w:rsidRDefault="002C3BF0" w:rsidP="000263B4">
      <w:pPr>
        <w:spacing w:line="240" w:lineRule="auto"/>
        <w:jc w:val="both"/>
        <w:rPr>
          <w:b/>
          <w:i/>
          <w:color w:val="FF0000"/>
          <w:lang w:val="en-GB"/>
        </w:rPr>
      </w:pPr>
      <w:r w:rsidRPr="006075A4">
        <w:rPr>
          <w:b/>
          <w:i/>
          <w:color w:val="FF0000"/>
          <w:lang w:val="en-GB"/>
        </w:rPr>
        <w:t>(Ctrl + Click to follow the link)</w:t>
      </w:r>
    </w:p>
    <w:p w14:paraId="77B3E3E9" w14:textId="1D5C05A0" w:rsidR="00A3740D" w:rsidRDefault="00A3740D" w:rsidP="00A3740D">
      <w:pPr>
        <w:spacing w:line="240" w:lineRule="auto"/>
        <w:rPr>
          <w:b/>
          <w:lang w:val="en-GB"/>
        </w:rPr>
      </w:pPr>
      <w:bookmarkStart w:id="0" w:name="_Toc418770742"/>
      <w:bookmarkStart w:id="1" w:name="_Ref418783893"/>
      <w:bookmarkStart w:id="2" w:name="_Ref418783894"/>
      <w:bookmarkStart w:id="3" w:name="_Ref421267367"/>
      <w:r w:rsidRPr="00A3740D">
        <w:rPr>
          <w:b/>
          <w:lang w:val="en-GB"/>
        </w:rPr>
        <w:t>Highlight:</w:t>
      </w:r>
      <w:r w:rsidR="00DE3EC3" w:rsidRPr="00DE3EC3">
        <w:rPr>
          <w:lang w:val="en-US"/>
        </w:rPr>
        <w:t xml:space="preserve"> </w:t>
      </w:r>
      <w:r w:rsidR="00DE3EC3" w:rsidRPr="00DE3EC3">
        <w:rPr>
          <w:b/>
          <w:color w:val="0070C0"/>
          <w:u w:val="single"/>
        </w:rPr>
        <w:fldChar w:fldCharType="begin"/>
      </w:r>
      <w:r w:rsidR="00DE3EC3" w:rsidRPr="00DE3EC3">
        <w:rPr>
          <w:b/>
          <w:color w:val="0070C0"/>
          <w:u w:val="single"/>
          <w:lang w:val="en-US"/>
        </w:rPr>
        <w:instrText xml:space="preserve"> REF _Ref445397616 \h  \* MERGEFORMAT </w:instrText>
      </w:r>
      <w:r w:rsidR="00DE3EC3" w:rsidRPr="00DE3EC3">
        <w:rPr>
          <w:b/>
          <w:color w:val="0070C0"/>
          <w:u w:val="single"/>
        </w:rPr>
      </w:r>
      <w:r w:rsidR="00DE3EC3" w:rsidRPr="00DE3EC3">
        <w:rPr>
          <w:b/>
          <w:color w:val="0070C0"/>
          <w:u w:val="single"/>
        </w:rPr>
        <w:fldChar w:fldCharType="separate"/>
      </w:r>
      <w:r w:rsidR="00DE3EC3" w:rsidRPr="00DE3EC3">
        <w:rPr>
          <w:b/>
          <w:color w:val="0070C0"/>
          <w:u w:val="single"/>
          <w:lang w:val="en-GB"/>
        </w:rPr>
        <w:t>Highlight: Snapshots of the International Women’s Rights Day 2016</w:t>
      </w:r>
      <w:r w:rsidR="00DE3EC3" w:rsidRPr="00DE3EC3">
        <w:rPr>
          <w:b/>
          <w:color w:val="0070C0"/>
          <w:u w:val="single"/>
        </w:rPr>
        <w:fldChar w:fldCharType="end"/>
      </w:r>
      <w:r w:rsidR="00DE3EC3" w:rsidRPr="00DE3EC3">
        <w:rPr>
          <w:b/>
          <w:color w:val="0070C0"/>
          <w:u w:val="single"/>
          <w:lang w:val="en-GB"/>
        </w:rPr>
        <w:t xml:space="preserve"> </w:t>
      </w:r>
    </w:p>
    <w:p w14:paraId="4B3B67FE" w14:textId="5C1AD52D" w:rsidR="00A3740D" w:rsidRPr="00A3740D" w:rsidRDefault="00C0290D" w:rsidP="00A3740D">
      <w:pPr>
        <w:spacing w:line="240" w:lineRule="auto"/>
        <w:rPr>
          <w:b/>
          <w:lang w:val="en-GB"/>
        </w:rPr>
      </w:pPr>
      <w:hyperlink w:anchor="_General_information" w:history="1">
        <w:r w:rsidR="00A3740D" w:rsidRPr="00A3740D">
          <w:rPr>
            <w:rStyle w:val="Hyperlink"/>
            <w:b/>
            <w:lang w:val="en-GB"/>
          </w:rPr>
          <w:t>General Information</w:t>
        </w:r>
      </w:hyperlink>
    </w:p>
    <w:p w14:paraId="51EAE062" w14:textId="3AAF03BE" w:rsidR="00C07F99" w:rsidRDefault="00C07F99" w:rsidP="00C0290D">
      <w:pPr>
        <w:pStyle w:val="ListParagraph"/>
        <w:numPr>
          <w:ilvl w:val="0"/>
          <w:numId w:val="4"/>
        </w:numPr>
        <w:spacing w:line="240" w:lineRule="auto"/>
        <w:rPr>
          <w:lang w:val="en-GB"/>
        </w:rPr>
      </w:pPr>
      <w:r>
        <w:rPr>
          <w:lang w:val="en-GB"/>
        </w:rPr>
        <w:t>Policy developments</w:t>
      </w:r>
    </w:p>
    <w:p w14:paraId="559FC724" w14:textId="633D0FE4" w:rsidR="00A3740D" w:rsidRPr="00A3740D" w:rsidRDefault="00A3740D" w:rsidP="00C0290D">
      <w:pPr>
        <w:pStyle w:val="ListParagraph"/>
        <w:numPr>
          <w:ilvl w:val="0"/>
          <w:numId w:val="4"/>
        </w:numPr>
        <w:spacing w:line="240" w:lineRule="auto"/>
        <w:rPr>
          <w:lang w:val="en-GB"/>
        </w:rPr>
      </w:pPr>
      <w:r w:rsidRPr="00A3740D">
        <w:rPr>
          <w:lang w:val="en-GB"/>
        </w:rPr>
        <w:t>Publications, funding opportunities and events</w:t>
      </w:r>
    </w:p>
    <w:p w14:paraId="0CB80D8D" w14:textId="2F58C7AC" w:rsidR="00A3740D" w:rsidRDefault="00C0290D" w:rsidP="00A3740D">
      <w:pPr>
        <w:spacing w:line="240" w:lineRule="auto"/>
        <w:rPr>
          <w:b/>
          <w:lang w:val="en-GB"/>
        </w:rPr>
      </w:pPr>
      <w:hyperlink w:anchor="_Religion_and_Belief" w:history="1">
        <w:r w:rsidR="00A3740D" w:rsidRPr="00A3740D">
          <w:rPr>
            <w:rStyle w:val="Hyperlink"/>
            <w:b/>
            <w:lang w:val="en-GB"/>
          </w:rPr>
          <w:t>Race/ethnic origin</w:t>
        </w:r>
      </w:hyperlink>
    </w:p>
    <w:p w14:paraId="502DAB28" w14:textId="7AD7FC8E" w:rsidR="00A3740D" w:rsidRDefault="00DE3EC3" w:rsidP="00C0290D">
      <w:pPr>
        <w:pStyle w:val="ListParagraph"/>
        <w:numPr>
          <w:ilvl w:val="0"/>
          <w:numId w:val="4"/>
        </w:numPr>
        <w:spacing w:line="240" w:lineRule="auto"/>
        <w:rPr>
          <w:lang w:val="en-GB"/>
        </w:rPr>
      </w:pPr>
      <w:r>
        <w:rPr>
          <w:lang w:val="en-GB"/>
        </w:rPr>
        <w:t xml:space="preserve">Policy </w:t>
      </w:r>
      <w:r w:rsidR="00A3740D">
        <w:rPr>
          <w:lang w:val="en-GB"/>
        </w:rPr>
        <w:t>developments</w:t>
      </w:r>
    </w:p>
    <w:p w14:paraId="65EB3218" w14:textId="4A2D8F64" w:rsidR="00A3740D" w:rsidRDefault="00A3740D" w:rsidP="00C0290D">
      <w:pPr>
        <w:pStyle w:val="ListParagraph"/>
        <w:numPr>
          <w:ilvl w:val="0"/>
          <w:numId w:val="4"/>
        </w:numPr>
        <w:spacing w:line="240" w:lineRule="auto"/>
        <w:rPr>
          <w:lang w:val="en-GB"/>
        </w:rPr>
      </w:pPr>
      <w:r w:rsidRPr="00A3740D">
        <w:rPr>
          <w:lang w:val="en-GB"/>
        </w:rPr>
        <w:t>Publications, funding opportunities and events</w:t>
      </w:r>
    </w:p>
    <w:p w14:paraId="6E40FADB" w14:textId="7E84DD64" w:rsidR="00033C74" w:rsidRPr="00033C74" w:rsidRDefault="00C0290D" w:rsidP="00033C74">
      <w:pPr>
        <w:spacing w:line="240" w:lineRule="auto"/>
        <w:rPr>
          <w:b/>
          <w:lang w:val="en-GB"/>
        </w:rPr>
      </w:pPr>
      <w:hyperlink w:anchor="_Religion_and_Belief" w:history="1">
        <w:r w:rsidR="00033C74" w:rsidRPr="00033C74">
          <w:rPr>
            <w:rStyle w:val="Hyperlink"/>
            <w:b/>
            <w:lang w:val="en-GB"/>
          </w:rPr>
          <w:t>Religion and Belief</w:t>
        </w:r>
      </w:hyperlink>
    </w:p>
    <w:p w14:paraId="37742543" w14:textId="4758DADA" w:rsidR="00033C74" w:rsidRPr="00033C74" w:rsidRDefault="00033C74" w:rsidP="00C0290D">
      <w:pPr>
        <w:pStyle w:val="ListParagraph"/>
        <w:numPr>
          <w:ilvl w:val="0"/>
          <w:numId w:val="7"/>
        </w:numPr>
        <w:spacing w:line="240" w:lineRule="auto"/>
        <w:rPr>
          <w:lang w:val="en-GB"/>
        </w:rPr>
      </w:pPr>
      <w:r>
        <w:rPr>
          <w:lang w:val="en-GB"/>
        </w:rPr>
        <w:t>Policy developments</w:t>
      </w:r>
    </w:p>
    <w:p w14:paraId="58CCC96C" w14:textId="44F80E67" w:rsidR="00A3740D" w:rsidRDefault="00C0290D" w:rsidP="00A3740D">
      <w:pPr>
        <w:spacing w:line="240" w:lineRule="auto"/>
        <w:rPr>
          <w:b/>
          <w:lang w:val="en-GB"/>
        </w:rPr>
      </w:pPr>
      <w:hyperlink w:anchor="_Sexual_Orientation_and" w:history="1">
        <w:r w:rsidR="00A3740D" w:rsidRPr="00A3740D">
          <w:rPr>
            <w:rStyle w:val="Hyperlink"/>
            <w:b/>
            <w:lang w:val="en-GB"/>
          </w:rPr>
          <w:t>Sexual orientation and gender identity</w:t>
        </w:r>
      </w:hyperlink>
    </w:p>
    <w:p w14:paraId="50E2C32C" w14:textId="0E6A2E72" w:rsidR="00A3740D" w:rsidRDefault="00DE3EC3" w:rsidP="00C0290D">
      <w:pPr>
        <w:pStyle w:val="ListParagraph"/>
        <w:numPr>
          <w:ilvl w:val="0"/>
          <w:numId w:val="4"/>
        </w:numPr>
        <w:spacing w:line="240" w:lineRule="auto"/>
        <w:rPr>
          <w:lang w:val="en-GB"/>
        </w:rPr>
      </w:pPr>
      <w:r>
        <w:rPr>
          <w:lang w:val="en-GB"/>
        </w:rPr>
        <w:t>Policy</w:t>
      </w:r>
      <w:r w:rsidR="00A3740D">
        <w:rPr>
          <w:lang w:val="en-GB"/>
        </w:rPr>
        <w:t xml:space="preserve"> developments</w:t>
      </w:r>
    </w:p>
    <w:p w14:paraId="4358144B" w14:textId="7C38E915" w:rsidR="00A3740D" w:rsidRPr="00A3740D" w:rsidRDefault="00A3740D" w:rsidP="00C0290D">
      <w:pPr>
        <w:pStyle w:val="ListParagraph"/>
        <w:numPr>
          <w:ilvl w:val="0"/>
          <w:numId w:val="4"/>
        </w:numPr>
        <w:spacing w:line="240" w:lineRule="auto"/>
        <w:rPr>
          <w:lang w:val="en-GB"/>
        </w:rPr>
      </w:pPr>
      <w:r w:rsidRPr="00A3740D">
        <w:rPr>
          <w:lang w:val="en-GB"/>
        </w:rPr>
        <w:t>Publications, funding opportunities and events</w:t>
      </w:r>
    </w:p>
    <w:p w14:paraId="7B4D58A9" w14:textId="5573A9A0" w:rsidR="00A3740D" w:rsidRDefault="00C0290D" w:rsidP="00A3740D">
      <w:pPr>
        <w:spacing w:line="240" w:lineRule="auto"/>
        <w:rPr>
          <w:b/>
          <w:lang w:val="en-GB"/>
        </w:rPr>
      </w:pPr>
      <w:hyperlink w:anchor="_Disability" w:history="1">
        <w:r w:rsidR="00A3740D" w:rsidRPr="00A3740D">
          <w:rPr>
            <w:rStyle w:val="Hyperlink"/>
            <w:b/>
            <w:lang w:val="en-GB"/>
          </w:rPr>
          <w:t>Disability</w:t>
        </w:r>
      </w:hyperlink>
    </w:p>
    <w:p w14:paraId="20EB2D7B" w14:textId="52248C78" w:rsidR="00A3740D" w:rsidRDefault="00DE3EC3" w:rsidP="00C0290D">
      <w:pPr>
        <w:pStyle w:val="ListParagraph"/>
        <w:numPr>
          <w:ilvl w:val="0"/>
          <w:numId w:val="4"/>
        </w:numPr>
        <w:spacing w:line="240" w:lineRule="auto"/>
        <w:rPr>
          <w:lang w:val="en-GB"/>
        </w:rPr>
      </w:pPr>
      <w:r>
        <w:rPr>
          <w:lang w:val="en-GB"/>
        </w:rPr>
        <w:t xml:space="preserve">Policy </w:t>
      </w:r>
      <w:r w:rsidR="00A3740D">
        <w:rPr>
          <w:lang w:val="en-GB"/>
        </w:rPr>
        <w:t>developments</w:t>
      </w:r>
    </w:p>
    <w:p w14:paraId="2E6C7CED" w14:textId="79F98723" w:rsidR="00DE3EC3" w:rsidRPr="00DE3EC3" w:rsidRDefault="00DE3EC3" w:rsidP="00C0290D">
      <w:pPr>
        <w:pStyle w:val="ListParagraph"/>
        <w:numPr>
          <w:ilvl w:val="0"/>
          <w:numId w:val="4"/>
        </w:numPr>
        <w:spacing w:line="240" w:lineRule="auto"/>
        <w:rPr>
          <w:lang w:val="en-GB"/>
        </w:rPr>
      </w:pPr>
      <w:r w:rsidRPr="00A3740D">
        <w:rPr>
          <w:lang w:val="en-GB"/>
        </w:rPr>
        <w:t>Publications, funding opportunities and events</w:t>
      </w:r>
    </w:p>
    <w:p w14:paraId="673096D6" w14:textId="12B9097F" w:rsidR="00A3740D" w:rsidRDefault="00C0290D" w:rsidP="00A3740D">
      <w:pPr>
        <w:spacing w:line="240" w:lineRule="auto"/>
        <w:rPr>
          <w:b/>
          <w:lang w:val="en-GB"/>
        </w:rPr>
      </w:pPr>
      <w:hyperlink w:anchor="_Age" w:history="1">
        <w:r w:rsidR="00A3740D" w:rsidRPr="00A3740D">
          <w:rPr>
            <w:rStyle w:val="Hyperlink"/>
            <w:b/>
            <w:lang w:val="en-GB"/>
          </w:rPr>
          <w:t>Age</w:t>
        </w:r>
      </w:hyperlink>
    </w:p>
    <w:p w14:paraId="23DCBA2A" w14:textId="758E57F4" w:rsidR="00A3740D" w:rsidRPr="00A3740D" w:rsidRDefault="00A3740D" w:rsidP="00C0290D">
      <w:pPr>
        <w:pStyle w:val="ListParagraph"/>
        <w:numPr>
          <w:ilvl w:val="0"/>
          <w:numId w:val="4"/>
        </w:numPr>
        <w:spacing w:line="240" w:lineRule="auto"/>
        <w:rPr>
          <w:lang w:val="en-GB"/>
        </w:rPr>
      </w:pPr>
      <w:r w:rsidRPr="00A3740D">
        <w:rPr>
          <w:lang w:val="en-GB"/>
        </w:rPr>
        <w:t>Publications, funding opportunities and events</w:t>
      </w:r>
    </w:p>
    <w:p w14:paraId="3D48A1D5" w14:textId="7BDA321F" w:rsidR="00A3740D" w:rsidRDefault="00C0290D" w:rsidP="00A3740D">
      <w:pPr>
        <w:spacing w:line="240" w:lineRule="auto"/>
        <w:rPr>
          <w:b/>
          <w:lang w:val="en-GB"/>
        </w:rPr>
      </w:pPr>
      <w:hyperlink w:anchor="_Other" w:history="1">
        <w:r w:rsidR="00A3740D" w:rsidRPr="00A3740D">
          <w:rPr>
            <w:rStyle w:val="Hyperlink"/>
            <w:b/>
            <w:lang w:val="en-GB"/>
          </w:rPr>
          <w:t>Other</w:t>
        </w:r>
      </w:hyperlink>
    </w:p>
    <w:p w14:paraId="26753063" w14:textId="4FDD1D09" w:rsidR="00A3740D" w:rsidRPr="00A3740D" w:rsidRDefault="00A3740D" w:rsidP="00C0290D">
      <w:pPr>
        <w:pStyle w:val="ListParagraph"/>
        <w:numPr>
          <w:ilvl w:val="0"/>
          <w:numId w:val="4"/>
        </w:numPr>
        <w:spacing w:line="240" w:lineRule="auto"/>
        <w:rPr>
          <w:lang w:val="en-GB"/>
        </w:rPr>
      </w:pPr>
      <w:r w:rsidRPr="00A3740D">
        <w:rPr>
          <w:lang w:val="en-GB"/>
        </w:rPr>
        <w:t>Publications, funding opportunities and events</w:t>
      </w:r>
    </w:p>
    <w:p w14:paraId="141A70DE" w14:textId="4B91F2BB" w:rsidR="00A3740D" w:rsidRPr="00A3740D" w:rsidRDefault="00C0290D" w:rsidP="00A3740D">
      <w:pPr>
        <w:spacing w:line="240" w:lineRule="auto"/>
        <w:rPr>
          <w:b/>
          <w:lang w:val="en-GB"/>
        </w:rPr>
      </w:pPr>
      <w:hyperlink w:anchor="_Recent_case-law" w:history="1">
        <w:r w:rsidR="00A3740D" w:rsidRPr="00A3740D">
          <w:rPr>
            <w:rStyle w:val="Hyperlink"/>
            <w:b/>
            <w:lang w:val="en-GB"/>
          </w:rPr>
          <w:t>Recent case-law</w:t>
        </w:r>
      </w:hyperlink>
    </w:p>
    <w:p w14:paraId="129ECC52" w14:textId="01CB0B86" w:rsidR="00A3740D" w:rsidRDefault="00A3740D" w:rsidP="00C0290D">
      <w:pPr>
        <w:pStyle w:val="ListParagraph"/>
        <w:numPr>
          <w:ilvl w:val="0"/>
          <w:numId w:val="3"/>
        </w:numPr>
        <w:spacing w:line="240" w:lineRule="auto"/>
        <w:rPr>
          <w:lang w:val="en-GB"/>
        </w:rPr>
      </w:pPr>
      <w:r>
        <w:rPr>
          <w:lang w:val="en-GB"/>
        </w:rPr>
        <w:lastRenderedPageBreak/>
        <w:t>European Court of Justice (ECJ)</w:t>
      </w:r>
    </w:p>
    <w:p w14:paraId="240C2A9A" w14:textId="6585C248" w:rsidR="00A3740D" w:rsidRDefault="00A3740D" w:rsidP="00C0290D">
      <w:pPr>
        <w:pStyle w:val="ListParagraph"/>
        <w:numPr>
          <w:ilvl w:val="0"/>
          <w:numId w:val="3"/>
        </w:numPr>
        <w:spacing w:line="240" w:lineRule="auto"/>
        <w:rPr>
          <w:lang w:val="en-GB"/>
        </w:rPr>
      </w:pPr>
      <w:r>
        <w:rPr>
          <w:lang w:val="en-GB"/>
        </w:rPr>
        <w:t>European Court of Human Rights (ECtHR)</w:t>
      </w:r>
    </w:p>
    <w:p w14:paraId="57F52527" w14:textId="77777777" w:rsidR="00D47BC3" w:rsidRDefault="00D47BC3" w:rsidP="00D47BC3">
      <w:pPr>
        <w:rPr>
          <w:lang w:val="en-GB"/>
        </w:rPr>
      </w:pPr>
      <w:bookmarkStart w:id="4" w:name="_Highlight:_International_Women’s"/>
      <w:bookmarkStart w:id="5" w:name="_Ref445397616"/>
      <w:bookmarkEnd w:id="4"/>
    </w:p>
    <w:p w14:paraId="729F2F71" w14:textId="77777777" w:rsidR="00D47BC3" w:rsidRDefault="00D47BC3" w:rsidP="00D47BC3">
      <w:pPr>
        <w:rPr>
          <w:lang w:val="en-GB"/>
        </w:rPr>
      </w:pPr>
    </w:p>
    <w:p w14:paraId="3B48D390" w14:textId="5B3D410B" w:rsidR="001140DC" w:rsidRPr="00D47BC3" w:rsidRDefault="00922F1E" w:rsidP="00D47BC3">
      <w:pPr>
        <w:pStyle w:val="Heading1"/>
        <w:rPr>
          <w:color w:val="2E74B5" w:themeColor="accent1" w:themeShade="BF"/>
          <w:lang w:val="en-GB"/>
        </w:rPr>
      </w:pPr>
      <w:r w:rsidRPr="002257C4">
        <w:rPr>
          <w:lang w:val="en-GB"/>
        </w:rPr>
        <w:t>Highlight</w:t>
      </w:r>
      <w:bookmarkEnd w:id="0"/>
      <w:bookmarkEnd w:id="1"/>
      <w:bookmarkEnd w:id="2"/>
      <w:bookmarkEnd w:id="3"/>
      <w:r w:rsidR="00F93FE2" w:rsidRPr="002257C4">
        <w:rPr>
          <w:lang w:val="en-GB"/>
        </w:rPr>
        <w:t>:</w:t>
      </w:r>
      <w:r w:rsidR="0095164B" w:rsidRPr="002257C4">
        <w:rPr>
          <w:lang w:val="en-GB"/>
        </w:rPr>
        <w:t xml:space="preserve"> </w:t>
      </w:r>
      <w:r w:rsidR="002257C4" w:rsidRPr="002257C4">
        <w:rPr>
          <w:lang w:val="en-GB"/>
        </w:rPr>
        <w:t xml:space="preserve">Snapshots of the </w:t>
      </w:r>
      <w:r w:rsidR="0095164B" w:rsidRPr="002257C4">
        <w:rPr>
          <w:lang w:val="en-GB"/>
        </w:rPr>
        <w:t>International Women’s Rights Day</w:t>
      </w:r>
      <w:r w:rsidR="002257C4" w:rsidRPr="002257C4">
        <w:rPr>
          <w:lang w:val="en-GB"/>
        </w:rPr>
        <w:t xml:space="preserve"> 2016</w:t>
      </w:r>
      <w:bookmarkEnd w:id="5"/>
    </w:p>
    <w:p w14:paraId="4BF929FA" w14:textId="77777777" w:rsidR="002257C4" w:rsidRPr="002257C4" w:rsidRDefault="002257C4" w:rsidP="002257C4">
      <w:pPr>
        <w:rPr>
          <w:lang w:val="en-GB"/>
        </w:rPr>
      </w:pPr>
    </w:p>
    <w:p w14:paraId="3232F6D6" w14:textId="456DF915" w:rsidR="002257C4" w:rsidRPr="002257C4" w:rsidRDefault="002257C4" w:rsidP="002257C4">
      <w:pPr>
        <w:pStyle w:val="Heading2"/>
        <w:rPr>
          <w:lang w:val="en-GB"/>
        </w:rPr>
      </w:pPr>
      <w:r>
        <w:rPr>
          <w:lang w:val="en-GB"/>
        </w:rPr>
        <w:t>EU and international updates on gender e</w:t>
      </w:r>
      <w:r w:rsidR="00E60B0F">
        <w:rPr>
          <w:lang w:val="en-GB"/>
        </w:rPr>
        <w:t>quality</w:t>
      </w:r>
      <w:r>
        <w:rPr>
          <w:lang w:val="en-GB"/>
        </w:rPr>
        <w:t xml:space="preserve"> and women’s rights</w:t>
      </w:r>
      <w:r>
        <w:rPr>
          <w:lang w:val="en-GB"/>
        </w:rPr>
        <w:br/>
      </w:r>
    </w:p>
    <w:p w14:paraId="47944EF1" w14:textId="365EC56D" w:rsidR="00E60B0F" w:rsidRDefault="00E60B0F" w:rsidP="003334CD">
      <w:pPr>
        <w:jc w:val="both"/>
        <w:rPr>
          <w:lang w:val="en-GB"/>
        </w:rPr>
      </w:pPr>
      <w:r w:rsidRPr="00E60B0F">
        <w:rPr>
          <w:lang w:val="en-GB"/>
        </w:rPr>
        <w:t xml:space="preserve">Equinet has </w:t>
      </w:r>
      <w:r>
        <w:rPr>
          <w:lang w:val="en-GB"/>
        </w:rPr>
        <w:t xml:space="preserve">compiled </w:t>
      </w:r>
      <w:r w:rsidRPr="002257C4">
        <w:rPr>
          <w:b/>
          <w:lang w:val="en-GB"/>
        </w:rPr>
        <w:t xml:space="preserve">a list of the latest publications and material issued on gender equality </w:t>
      </w:r>
      <w:r w:rsidR="002257C4">
        <w:rPr>
          <w:b/>
          <w:lang w:val="en-GB"/>
        </w:rPr>
        <w:t xml:space="preserve">and women’s rights </w:t>
      </w:r>
      <w:r w:rsidRPr="002257C4">
        <w:rPr>
          <w:b/>
          <w:lang w:val="en-GB"/>
        </w:rPr>
        <w:t>at European and national level</w:t>
      </w:r>
      <w:r>
        <w:rPr>
          <w:lang w:val="en-GB"/>
        </w:rPr>
        <w:t xml:space="preserve">, which can be found </w:t>
      </w:r>
      <w:hyperlink r:id="rId10" w:history="1">
        <w:r w:rsidRPr="002257C4">
          <w:rPr>
            <w:rStyle w:val="Hyperlink"/>
            <w:lang w:val="en-GB"/>
          </w:rPr>
          <w:t>on Equinet’s website</w:t>
        </w:r>
      </w:hyperlink>
      <w:r>
        <w:rPr>
          <w:lang w:val="en-GB"/>
        </w:rPr>
        <w:t>.</w:t>
      </w:r>
      <w:r w:rsidR="00135F22">
        <w:rPr>
          <w:lang w:val="en-GB"/>
        </w:rPr>
        <w:t xml:space="preserve"> </w:t>
      </w:r>
      <w:r w:rsidR="002257C4">
        <w:rPr>
          <w:lang w:val="en-GB"/>
        </w:rPr>
        <w:t>Main updates</w:t>
      </w:r>
      <w:r w:rsidR="00135F22">
        <w:rPr>
          <w:lang w:val="en-GB"/>
        </w:rPr>
        <w:t xml:space="preserve"> include:</w:t>
      </w:r>
    </w:p>
    <w:p w14:paraId="3ED5A3BE" w14:textId="3068B433" w:rsidR="00135F22" w:rsidRPr="002257C4" w:rsidRDefault="00135F22" w:rsidP="00C0290D">
      <w:pPr>
        <w:pStyle w:val="ListParagraph"/>
        <w:numPr>
          <w:ilvl w:val="0"/>
          <w:numId w:val="4"/>
        </w:numPr>
        <w:jc w:val="both"/>
        <w:rPr>
          <w:b/>
          <w:color w:val="002060"/>
          <w:lang w:val="en-GB"/>
        </w:rPr>
      </w:pPr>
      <w:r w:rsidRPr="002257C4">
        <w:rPr>
          <w:b/>
          <w:color w:val="002060"/>
          <w:lang w:val="en-GB"/>
        </w:rPr>
        <w:t>European Commission’s proposal for EU accession to the Istanbul Convention</w:t>
      </w:r>
    </w:p>
    <w:p w14:paraId="414E05B4" w14:textId="58A9D479" w:rsidR="00135F22" w:rsidRDefault="00135F22" w:rsidP="003334CD">
      <w:pPr>
        <w:jc w:val="both"/>
        <w:rPr>
          <w:lang w:val="en-GB"/>
        </w:rPr>
      </w:pPr>
      <w:r>
        <w:rPr>
          <w:lang w:val="en-GB"/>
        </w:rPr>
        <w:t xml:space="preserve">Reaffirming the </w:t>
      </w:r>
      <w:r w:rsidRPr="00135F22">
        <w:rPr>
          <w:lang w:val="en-GB"/>
        </w:rPr>
        <w:t>European Union’s</w:t>
      </w:r>
      <w:r w:rsidR="00AC7F4D">
        <w:rPr>
          <w:lang w:val="en-GB"/>
        </w:rPr>
        <w:t xml:space="preserve"> (EU)</w:t>
      </w:r>
      <w:r w:rsidRPr="00135F22">
        <w:rPr>
          <w:lang w:val="en-GB"/>
        </w:rPr>
        <w:t xml:space="preserve"> solid commitment to fight gender-based violence</w:t>
      </w:r>
      <w:r>
        <w:rPr>
          <w:lang w:val="en-GB"/>
        </w:rPr>
        <w:t>, t</w:t>
      </w:r>
      <w:r w:rsidRPr="00135F22">
        <w:rPr>
          <w:lang w:val="en-GB"/>
        </w:rPr>
        <w:t xml:space="preserve">he European Commission has </w:t>
      </w:r>
      <w:hyperlink r:id="rId11" w:history="1">
        <w:r w:rsidRPr="00135F22">
          <w:rPr>
            <w:rStyle w:val="Hyperlink"/>
            <w:lang w:val="en-GB"/>
          </w:rPr>
          <w:t>proposed</w:t>
        </w:r>
      </w:hyperlink>
      <w:r w:rsidRPr="00135F22">
        <w:rPr>
          <w:lang w:val="en-GB"/>
        </w:rPr>
        <w:t xml:space="preserve"> for </w:t>
      </w:r>
      <w:r>
        <w:rPr>
          <w:lang w:val="en-GB"/>
        </w:rPr>
        <w:t>the EU</w:t>
      </w:r>
      <w:r w:rsidRPr="00135F22">
        <w:rPr>
          <w:lang w:val="en-GB"/>
        </w:rPr>
        <w:t xml:space="preserve"> to </w:t>
      </w:r>
      <w:r w:rsidR="002257C4">
        <w:rPr>
          <w:b/>
          <w:lang w:val="en-GB"/>
        </w:rPr>
        <w:t xml:space="preserve">ratify the 2011 Council of Europe </w:t>
      </w:r>
      <w:hyperlink r:id="rId12" w:history="1">
        <w:r w:rsidR="002257C4" w:rsidRPr="002257C4">
          <w:rPr>
            <w:rStyle w:val="Hyperlink"/>
            <w:b/>
            <w:lang w:val="en-GB"/>
          </w:rPr>
          <w:t>Convention on preventing and combating violence against women and domestic violence</w:t>
        </w:r>
      </w:hyperlink>
      <w:r w:rsidR="002257C4">
        <w:rPr>
          <w:b/>
          <w:lang w:val="en-GB"/>
        </w:rPr>
        <w:t xml:space="preserve"> </w:t>
      </w:r>
      <w:r w:rsidR="002257C4" w:rsidRPr="00AC7F4D">
        <w:rPr>
          <w:lang w:val="en-GB"/>
        </w:rPr>
        <w:t>(so called</w:t>
      </w:r>
      <w:r w:rsidR="002257C4">
        <w:rPr>
          <w:b/>
          <w:lang w:val="en-GB"/>
        </w:rPr>
        <w:t xml:space="preserve"> Istanbul Convention</w:t>
      </w:r>
      <w:r w:rsidR="002257C4" w:rsidRPr="00AC7F4D">
        <w:rPr>
          <w:lang w:val="en-GB"/>
        </w:rPr>
        <w:t>).</w:t>
      </w:r>
      <w:r w:rsidR="002257C4">
        <w:rPr>
          <w:lang w:val="en-GB"/>
        </w:rPr>
        <w:t xml:space="preserve"> </w:t>
      </w:r>
    </w:p>
    <w:p w14:paraId="789255EA" w14:textId="0649063E" w:rsidR="009A27B5" w:rsidRPr="00AC7F4D" w:rsidRDefault="00D47BC3" w:rsidP="00C0290D">
      <w:pPr>
        <w:pStyle w:val="ListParagraph"/>
        <w:numPr>
          <w:ilvl w:val="0"/>
          <w:numId w:val="4"/>
        </w:numPr>
        <w:jc w:val="both"/>
        <w:rPr>
          <w:b/>
          <w:color w:val="002060"/>
          <w:lang w:val="en-GB"/>
        </w:rPr>
      </w:pPr>
      <w:r>
        <w:rPr>
          <w:noProof/>
          <w:lang w:eastAsia="fr-BE"/>
        </w:rPr>
        <w:drawing>
          <wp:anchor distT="0" distB="0" distL="114300" distR="114300" simplePos="0" relativeHeight="251655680" behindDoc="0" locked="0" layoutInCell="1" allowOverlap="1" wp14:anchorId="6FAE5CD8" wp14:editId="15BB9107">
            <wp:simplePos x="0" y="0"/>
            <wp:positionH relativeFrom="margin">
              <wp:posOffset>4845685</wp:posOffset>
            </wp:positionH>
            <wp:positionV relativeFrom="margin">
              <wp:posOffset>3841115</wp:posOffset>
            </wp:positionV>
            <wp:extent cx="1428750" cy="1428750"/>
            <wp:effectExtent l="19050" t="19050" r="19050" b="19050"/>
            <wp:wrapSquare wrapText="bothSides"/>
            <wp:docPr id="2" name="Picture 2" descr="http://www.equineteurope.org/local/cache-vignettes/L150xH150/arton812-d2b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50/arton812-d2bd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solidFill>
                        <a:schemeClr val="tx1"/>
                      </a:solidFill>
                    </a:ln>
                  </pic:spPr>
                </pic:pic>
              </a:graphicData>
            </a:graphic>
          </wp:anchor>
        </w:drawing>
      </w:r>
      <w:r w:rsidR="009A27B5" w:rsidRPr="00AC7F4D">
        <w:rPr>
          <w:b/>
          <w:color w:val="002060"/>
          <w:lang w:val="en-GB"/>
        </w:rPr>
        <w:t xml:space="preserve">European Commission’s 2015 </w:t>
      </w:r>
      <w:r w:rsidR="00AC7F4D">
        <w:rPr>
          <w:b/>
          <w:color w:val="002060"/>
          <w:lang w:val="en-GB"/>
        </w:rPr>
        <w:t xml:space="preserve">annual </w:t>
      </w:r>
      <w:r w:rsidR="009A27B5" w:rsidRPr="00AC7F4D">
        <w:rPr>
          <w:b/>
          <w:color w:val="002060"/>
          <w:lang w:val="en-GB"/>
        </w:rPr>
        <w:t>report on ’Equality between Women and Men’</w:t>
      </w:r>
    </w:p>
    <w:p w14:paraId="37731008" w14:textId="1CF366F4" w:rsidR="009A27B5" w:rsidRDefault="009A27B5" w:rsidP="003334CD">
      <w:pPr>
        <w:jc w:val="both"/>
        <w:rPr>
          <w:lang w:val="en-GB"/>
        </w:rPr>
      </w:pPr>
      <w:r>
        <w:rPr>
          <w:lang w:val="en-GB"/>
        </w:rPr>
        <w:t xml:space="preserve">The </w:t>
      </w:r>
      <w:r w:rsidRPr="009A27B5">
        <w:rPr>
          <w:lang w:val="en-GB"/>
        </w:rPr>
        <w:t xml:space="preserve">European Commission </w:t>
      </w:r>
      <w:r w:rsidRPr="000C7863">
        <w:rPr>
          <w:lang w:val="en-GB"/>
        </w:rPr>
        <w:t>published</w:t>
      </w:r>
      <w:r w:rsidRPr="009A27B5">
        <w:rPr>
          <w:lang w:val="en-GB"/>
        </w:rPr>
        <w:t xml:space="preserve"> its </w:t>
      </w:r>
      <w:hyperlink r:id="rId14" w:history="1">
        <w:r w:rsidRPr="000C7863">
          <w:rPr>
            <w:rStyle w:val="Hyperlink"/>
            <w:b/>
            <w:lang w:val="en-GB"/>
          </w:rPr>
          <w:t>annual report on ’Equality between Women and Men’</w:t>
        </w:r>
      </w:hyperlink>
      <w:r w:rsidRPr="009A27B5">
        <w:rPr>
          <w:lang w:val="en-GB"/>
        </w:rPr>
        <w:t xml:space="preserve">, containing the most up-to date data on gender equality in the </w:t>
      </w:r>
      <w:r w:rsidR="00AC7F4D">
        <w:rPr>
          <w:lang w:val="en-GB"/>
        </w:rPr>
        <w:t>EU</w:t>
      </w:r>
      <w:r w:rsidRPr="009A27B5">
        <w:rPr>
          <w:lang w:val="en-GB"/>
        </w:rPr>
        <w:t xml:space="preserve"> and its Member States</w:t>
      </w:r>
      <w:r>
        <w:rPr>
          <w:lang w:val="en-GB"/>
        </w:rPr>
        <w:t xml:space="preserve">. The report covers promising practices and challenges to the promotion of gender equality in different areas, including employment and work-life balance, decision making and representation, asylum and migration. </w:t>
      </w:r>
    </w:p>
    <w:p w14:paraId="5B956491" w14:textId="0CA0B7B3" w:rsidR="004B0ABE" w:rsidRDefault="004B0ABE" w:rsidP="00C0290D">
      <w:pPr>
        <w:pStyle w:val="ListParagraph"/>
        <w:numPr>
          <w:ilvl w:val="0"/>
          <w:numId w:val="4"/>
        </w:numPr>
        <w:jc w:val="both"/>
        <w:rPr>
          <w:b/>
          <w:color w:val="002060"/>
          <w:lang w:val="en-GB"/>
        </w:rPr>
      </w:pPr>
      <w:r w:rsidRPr="004B0ABE">
        <w:rPr>
          <w:b/>
          <w:color w:val="002060"/>
          <w:lang w:val="en-GB"/>
        </w:rPr>
        <w:t>European Commission: two new calls for proposals on gender equality</w:t>
      </w:r>
    </w:p>
    <w:p w14:paraId="0B715DCE" w14:textId="77777777" w:rsidR="004B0ABE" w:rsidRPr="004B0ABE" w:rsidRDefault="004B0ABE" w:rsidP="004B0ABE">
      <w:pPr>
        <w:pStyle w:val="ListParagraph"/>
        <w:jc w:val="both"/>
        <w:rPr>
          <w:b/>
          <w:color w:val="002060"/>
          <w:lang w:val="en-GB"/>
        </w:rPr>
      </w:pPr>
    </w:p>
    <w:p w14:paraId="047184A6" w14:textId="45DE7FA2" w:rsidR="004B0ABE" w:rsidRDefault="004B0ABE" w:rsidP="00C0290D">
      <w:pPr>
        <w:pStyle w:val="ListParagraph"/>
        <w:numPr>
          <w:ilvl w:val="0"/>
          <w:numId w:val="5"/>
        </w:numPr>
        <w:jc w:val="both"/>
        <w:rPr>
          <w:lang w:val="en-GB"/>
        </w:rPr>
      </w:pPr>
      <w:r>
        <w:rPr>
          <w:lang w:val="en-GB"/>
        </w:rPr>
        <w:t>C</w:t>
      </w:r>
      <w:r w:rsidRPr="004B0ABE">
        <w:rPr>
          <w:lang w:val="en-GB"/>
        </w:rPr>
        <w:t xml:space="preserve">all for proposal for action grants </w:t>
      </w:r>
      <w:r w:rsidRPr="004B0ABE">
        <w:rPr>
          <w:b/>
          <w:lang w:val="en-GB"/>
        </w:rPr>
        <w:t>to support transnational projects to promote good practices on gender roles and to overcome gender stereotypes in education, training and in the workplace</w:t>
      </w:r>
      <w:r w:rsidRPr="004B0ABE">
        <w:rPr>
          <w:lang w:val="en-GB"/>
        </w:rPr>
        <w:t xml:space="preserve">. More information can be found </w:t>
      </w:r>
      <w:hyperlink r:id="rId15" w:history="1">
        <w:r w:rsidRPr="004B0ABE">
          <w:rPr>
            <w:rStyle w:val="Hyperlink"/>
            <w:lang w:val="en-GB"/>
          </w:rPr>
          <w:t>here</w:t>
        </w:r>
      </w:hyperlink>
      <w:r>
        <w:rPr>
          <w:lang w:val="en-GB"/>
        </w:rPr>
        <w:t xml:space="preserve"> (deadline: 27</w:t>
      </w:r>
      <w:r w:rsidRPr="004B0ABE">
        <w:rPr>
          <w:vertAlign w:val="superscript"/>
          <w:lang w:val="en-GB"/>
        </w:rPr>
        <w:t>th</w:t>
      </w:r>
      <w:r>
        <w:rPr>
          <w:lang w:val="en-GB"/>
        </w:rPr>
        <w:t xml:space="preserve"> May 2016). </w:t>
      </w:r>
    </w:p>
    <w:p w14:paraId="22F85B5C" w14:textId="77777777" w:rsidR="004B0ABE" w:rsidRDefault="004B0ABE" w:rsidP="004B0ABE">
      <w:pPr>
        <w:pStyle w:val="ListParagraph"/>
        <w:jc w:val="both"/>
        <w:rPr>
          <w:lang w:val="en-GB"/>
        </w:rPr>
      </w:pPr>
    </w:p>
    <w:p w14:paraId="240AA477" w14:textId="1B311A6B" w:rsidR="004B0ABE" w:rsidRPr="004B0ABE" w:rsidRDefault="004B0ABE" w:rsidP="00C0290D">
      <w:pPr>
        <w:pStyle w:val="ListParagraph"/>
        <w:numPr>
          <w:ilvl w:val="0"/>
          <w:numId w:val="5"/>
        </w:numPr>
        <w:jc w:val="both"/>
        <w:rPr>
          <w:lang w:val="en-GB"/>
        </w:rPr>
      </w:pPr>
      <w:r w:rsidRPr="004B0ABE">
        <w:rPr>
          <w:lang w:val="en-GB"/>
        </w:rPr>
        <w:t xml:space="preserve">Daphne call - Action grants </w:t>
      </w:r>
      <w:r w:rsidRPr="004B0ABE">
        <w:rPr>
          <w:b/>
          <w:lang w:val="en-GB"/>
        </w:rPr>
        <w:t>to support national or transnational projects on multi-agency and multi-disciplinary cooperation to respond to violence against women and/or children, and on tackling underreporting</w:t>
      </w:r>
      <w:r w:rsidRPr="004B0ABE">
        <w:rPr>
          <w:lang w:val="en-GB"/>
        </w:rPr>
        <w:t xml:space="preserve">. More information can be found </w:t>
      </w:r>
      <w:hyperlink r:id="rId16" w:history="1">
        <w:r w:rsidRPr="004B0ABE">
          <w:rPr>
            <w:rStyle w:val="Hyperlink"/>
            <w:lang w:val="en-GB"/>
          </w:rPr>
          <w:t>here</w:t>
        </w:r>
      </w:hyperlink>
      <w:r w:rsidRPr="004B0ABE">
        <w:rPr>
          <w:lang w:val="en-GB"/>
        </w:rPr>
        <w:t xml:space="preserve"> (deadline: </w:t>
      </w:r>
      <w:r>
        <w:rPr>
          <w:lang w:val="en-GB"/>
        </w:rPr>
        <w:t>1</w:t>
      </w:r>
      <w:r w:rsidRPr="004B0ABE">
        <w:rPr>
          <w:vertAlign w:val="superscript"/>
          <w:lang w:val="en-GB"/>
        </w:rPr>
        <w:t>st</w:t>
      </w:r>
      <w:r>
        <w:rPr>
          <w:lang w:val="en-GB"/>
        </w:rPr>
        <w:t xml:space="preserve"> June 2016). </w:t>
      </w:r>
      <w:r>
        <w:rPr>
          <w:lang w:val="en-GB"/>
        </w:rPr>
        <w:tab/>
      </w:r>
      <w:r>
        <w:rPr>
          <w:lang w:val="en-GB"/>
        </w:rPr>
        <w:br/>
      </w:r>
    </w:p>
    <w:p w14:paraId="20F6DA29" w14:textId="6976859D" w:rsidR="009A27B5" w:rsidRPr="00AC7F4D" w:rsidRDefault="00AC7F4D" w:rsidP="00C0290D">
      <w:pPr>
        <w:pStyle w:val="ListParagraph"/>
        <w:numPr>
          <w:ilvl w:val="0"/>
          <w:numId w:val="4"/>
        </w:numPr>
        <w:jc w:val="both"/>
        <w:rPr>
          <w:b/>
          <w:lang w:val="en-GB"/>
        </w:rPr>
      </w:pPr>
      <w:r>
        <w:rPr>
          <w:b/>
          <w:color w:val="002060"/>
          <w:lang w:val="en-GB"/>
        </w:rPr>
        <w:t>European Parliament: Adoption of the r</w:t>
      </w:r>
      <w:r w:rsidR="00D52E39" w:rsidRPr="00AC7F4D">
        <w:rPr>
          <w:b/>
          <w:color w:val="002060"/>
          <w:lang w:val="en-GB"/>
        </w:rPr>
        <w:t xml:space="preserve">eport on the situation of women refugees </w:t>
      </w:r>
      <w:r>
        <w:rPr>
          <w:b/>
          <w:color w:val="002060"/>
          <w:lang w:val="en-GB"/>
        </w:rPr>
        <w:t>and asylum seekers in the EU</w:t>
      </w:r>
    </w:p>
    <w:p w14:paraId="61768C79" w14:textId="3D678B9B" w:rsidR="00D52E39" w:rsidRDefault="00070718" w:rsidP="003334CD">
      <w:pPr>
        <w:jc w:val="both"/>
        <w:rPr>
          <w:lang w:val="en-GB"/>
        </w:rPr>
      </w:pPr>
      <w:r>
        <w:rPr>
          <w:lang w:val="en-GB"/>
        </w:rPr>
        <w:t xml:space="preserve">The European parliament </w:t>
      </w:r>
      <w:r w:rsidR="00AC7F4D" w:rsidRPr="00E1239F">
        <w:rPr>
          <w:lang w:val="en-US"/>
        </w:rPr>
        <w:t>adopted</w:t>
      </w:r>
      <w:r>
        <w:rPr>
          <w:lang w:val="en-GB"/>
        </w:rPr>
        <w:t xml:space="preserve"> the </w:t>
      </w:r>
      <w:hyperlink r:id="rId17" w:history="1">
        <w:r w:rsidR="002C2F53">
          <w:rPr>
            <w:rStyle w:val="Hyperlink"/>
            <w:b/>
            <w:lang w:val="en-GB"/>
          </w:rPr>
          <w:t>report</w:t>
        </w:r>
        <w:r w:rsidRPr="00E1239F">
          <w:rPr>
            <w:rStyle w:val="Hyperlink"/>
            <w:b/>
            <w:lang w:val="en-GB"/>
          </w:rPr>
          <w:t xml:space="preserve"> on the situation of women refugee and asylum seeker in the EU</w:t>
        </w:r>
      </w:hyperlink>
      <w:r>
        <w:rPr>
          <w:lang w:val="en-GB"/>
        </w:rPr>
        <w:t xml:space="preserve">. The report provides recommendation to ensure a gender-sensitive perspective to </w:t>
      </w:r>
      <w:r w:rsidR="00094672" w:rsidRPr="00094672">
        <w:rPr>
          <w:lang w:val="en-GB"/>
        </w:rPr>
        <w:t>improve the security and sa</w:t>
      </w:r>
      <w:r w:rsidR="00094672">
        <w:rPr>
          <w:lang w:val="en-GB"/>
        </w:rPr>
        <w:t>fety of women and girl refugees and asylum-seekers.</w:t>
      </w:r>
    </w:p>
    <w:p w14:paraId="53B3667E" w14:textId="77777777" w:rsidR="00FC4E2D" w:rsidRPr="00AC7F4D" w:rsidRDefault="00754940" w:rsidP="00C0290D">
      <w:pPr>
        <w:pStyle w:val="ListParagraph"/>
        <w:numPr>
          <w:ilvl w:val="0"/>
          <w:numId w:val="4"/>
        </w:numPr>
        <w:jc w:val="both"/>
        <w:rPr>
          <w:b/>
          <w:color w:val="002060"/>
          <w:lang w:val="en-GB"/>
        </w:rPr>
      </w:pPr>
      <w:r w:rsidRPr="00AC7F4D">
        <w:rPr>
          <w:b/>
          <w:color w:val="002060"/>
          <w:lang w:val="en-GB"/>
        </w:rPr>
        <w:t>New database on gender statistics by the European Instit</w:t>
      </w:r>
      <w:r w:rsidR="00FC4E2D" w:rsidRPr="00AC7F4D">
        <w:rPr>
          <w:b/>
          <w:color w:val="002060"/>
          <w:lang w:val="en-GB"/>
        </w:rPr>
        <w:t xml:space="preserve">ute for Gender Equality (EIGE) </w:t>
      </w:r>
    </w:p>
    <w:p w14:paraId="1D44F4CD" w14:textId="240A1FC3" w:rsidR="00B46448" w:rsidRDefault="00FC4E2D" w:rsidP="003334CD">
      <w:pPr>
        <w:jc w:val="both"/>
        <w:rPr>
          <w:lang w:val="en-GB"/>
        </w:rPr>
      </w:pPr>
      <w:r w:rsidRPr="00FC4E2D">
        <w:rPr>
          <w:lang w:val="en-GB"/>
        </w:rPr>
        <w:t xml:space="preserve">EIGE </w:t>
      </w:r>
      <w:r w:rsidRPr="002C2F53">
        <w:rPr>
          <w:lang w:val="en-GB"/>
        </w:rPr>
        <w:t>launched</w:t>
      </w:r>
      <w:r w:rsidRPr="00FC4E2D">
        <w:rPr>
          <w:lang w:val="en-GB"/>
        </w:rPr>
        <w:t xml:space="preserve"> its </w:t>
      </w:r>
      <w:hyperlink r:id="rId18" w:history="1">
        <w:r w:rsidRPr="002C2F53">
          <w:rPr>
            <w:rStyle w:val="Hyperlink"/>
            <w:b/>
            <w:lang w:val="en-GB"/>
          </w:rPr>
          <w:t>new Gender Statistics Database</w:t>
        </w:r>
      </w:hyperlink>
      <w:r w:rsidRPr="00FC4E2D">
        <w:rPr>
          <w:lang w:val="en-GB"/>
        </w:rPr>
        <w:t>, which provides automatically updated data to ensure an</w:t>
      </w:r>
      <w:r>
        <w:rPr>
          <w:lang w:val="en-GB"/>
        </w:rPr>
        <w:t xml:space="preserve"> accurate access to information </w:t>
      </w:r>
      <w:r w:rsidRPr="00FC4E2D">
        <w:rPr>
          <w:lang w:val="en-GB"/>
        </w:rPr>
        <w:t>on the situation of equality between women and men in the</w:t>
      </w:r>
      <w:r w:rsidR="00D47BC3">
        <w:rPr>
          <w:lang w:val="en-GB"/>
        </w:rPr>
        <w:t xml:space="preserve"> EU</w:t>
      </w:r>
    </w:p>
    <w:p w14:paraId="7937635E" w14:textId="5C8B2F45" w:rsidR="00680705" w:rsidRPr="00AC7F4D" w:rsidRDefault="00AC7F4D" w:rsidP="00C0290D">
      <w:pPr>
        <w:pStyle w:val="ListParagraph"/>
        <w:numPr>
          <w:ilvl w:val="0"/>
          <w:numId w:val="4"/>
        </w:numPr>
        <w:jc w:val="both"/>
        <w:rPr>
          <w:b/>
          <w:color w:val="002060"/>
          <w:lang w:val="en-GB"/>
        </w:rPr>
      </w:pPr>
      <w:r>
        <w:rPr>
          <w:b/>
          <w:color w:val="002060"/>
          <w:lang w:val="en-GB"/>
        </w:rPr>
        <w:lastRenderedPageBreak/>
        <w:t>European Union Agency for Fundamental Rights (FRA):</w:t>
      </w:r>
      <w:r w:rsidR="00094672" w:rsidRPr="00AC7F4D">
        <w:rPr>
          <w:b/>
          <w:color w:val="002060"/>
          <w:lang w:val="en-GB"/>
        </w:rPr>
        <w:t xml:space="preserve"> report on violence against women</w:t>
      </w:r>
    </w:p>
    <w:p w14:paraId="7F81430D" w14:textId="5900FBAB" w:rsidR="00845D30" w:rsidRDefault="00845D30" w:rsidP="003334CD">
      <w:pPr>
        <w:jc w:val="both"/>
        <w:rPr>
          <w:lang w:val="en-GB"/>
        </w:rPr>
      </w:pPr>
      <w:r>
        <w:rPr>
          <w:lang w:val="en-GB"/>
        </w:rPr>
        <w:t xml:space="preserve">In 2014, FRA </w:t>
      </w:r>
      <w:r w:rsidRPr="003A3173">
        <w:rPr>
          <w:lang w:val="en-GB"/>
        </w:rPr>
        <w:t>published</w:t>
      </w:r>
      <w:r>
        <w:rPr>
          <w:lang w:val="en-GB"/>
        </w:rPr>
        <w:t xml:space="preserve"> </w:t>
      </w:r>
      <w:r w:rsidRPr="00AC7F4D">
        <w:rPr>
          <w:b/>
          <w:lang w:val="en-GB"/>
        </w:rPr>
        <w:t xml:space="preserve">the first EU-wide </w:t>
      </w:r>
      <w:hyperlink r:id="rId19" w:history="1">
        <w:r w:rsidRPr="003A3173">
          <w:rPr>
            <w:rStyle w:val="Hyperlink"/>
            <w:b/>
            <w:lang w:val="en-GB"/>
          </w:rPr>
          <w:t>survey</w:t>
        </w:r>
      </w:hyperlink>
      <w:r w:rsidRPr="00AC7F4D">
        <w:rPr>
          <w:b/>
          <w:lang w:val="en-GB"/>
        </w:rPr>
        <w:t xml:space="preserve"> providing comparative data on violence against women</w:t>
      </w:r>
      <w:r>
        <w:rPr>
          <w:lang w:val="en-GB"/>
        </w:rPr>
        <w:t>. The research covers various instances of violence, including stalking, domestic violence and sexual harassment.</w:t>
      </w:r>
    </w:p>
    <w:p w14:paraId="2C591E90" w14:textId="2E39CED3" w:rsidR="00114F97" w:rsidRPr="00AC7F4D" w:rsidRDefault="00114F97" w:rsidP="00C0290D">
      <w:pPr>
        <w:pStyle w:val="ListParagraph"/>
        <w:numPr>
          <w:ilvl w:val="0"/>
          <w:numId w:val="4"/>
        </w:numPr>
        <w:jc w:val="both"/>
        <w:rPr>
          <w:b/>
          <w:color w:val="002060"/>
          <w:lang w:val="en-GB"/>
        </w:rPr>
      </w:pPr>
      <w:r w:rsidRPr="00AC7F4D">
        <w:rPr>
          <w:b/>
          <w:color w:val="002060"/>
          <w:lang w:val="en-GB"/>
        </w:rPr>
        <w:t>Council of Europe Commissioner for Human</w:t>
      </w:r>
      <w:r w:rsidR="00AC7F4D">
        <w:rPr>
          <w:b/>
          <w:color w:val="002060"/>
          <w:lang w:val="en-GB"/>
        </w:rPr>
        <w:t xml:space="preserve"> Rights: </w:t>
      </w:r>
      <w:r w:rsidR="00AC7F4D" w:rsidRPr="00AC7F4D">
        <w:rPr>
          <w:b/>
          <w:color w:val="002060"/>
          <w:lang w:val="en-GB"/>
        </w:rPr>
        <w:t>Human rights of refugee and migrant women and girls need to be better protected</w:t>
      </w:r>
    </w:p>
    <w:p w14:paraId="71F63A00" w14:textId="416093BD" w:rsidR="00114F97" w:rsidRDefault="009F48FE" w:rsidP="003334CD">
      <w:pPr>
        <w:jc w:val="both"/>
        <w:rPr>
          <w:lang w:val="en-GB"/>
        </w:rPr>
      </w:pPr>
      <w:r>
        <w:rPr>
          <w:lang w:val="en-GB"/>
        </w:rPr>
        <w:t xml:space="preserve">The Commissioner of Human Rights </w:t>
      </w:r>
      <w:r w:rsidR="00AC7F4D" w:rsidRPr="00AC7F4D">
        <w:rPr>
          <w:lang w:val="en-GB"/>
        </w:rPr>
        <w:t>Nils Muižnieks</w:t>
      </w:r>
      <w:r w:rsidR="00AC7F4D" w:rsidRPr="00AC7F4D">
        <w:rPr>
          <w:lang w:val="en-US"/>
        </w:rPr>
        <w:t xml:space="preserve"> </w:t>
      </w:r>
      <w:hyperlink r:id="rId20" w:history="1">
        <w:r w:rsidRPr="00611A6B">
          <w:rPr>
            <w:rStyle w:val="Hyperlink"/>
            <w:lang w:val="en-GB"/>
          </w:rPr>
          <w:t>issue</w:t>
        </w:r>
        <w:r w:rsidR="00B46448">
          <w:rPr>
            <w:rStyle w:val="Hyperlink"/>
            <w:lang w:val="en-GB"/>
          </w:rPr>
          <w:t>d a comment</w:t>
        </w:r>
      </w:hyperlink>
      <w:r>
        <w:rPr>
          <w:lang w:val="en-GB"/>
        </w:rPr>
        <w:t xml:space="preserve"> on the increasing female migration in the </w:t>
      </w:r>
      <w:r w:rsidR="00611A6B">
        <w:rPr>
          <w:lang w:val="en-GB"/>
        </w:rPr>
        <w:t>Med</w:t>
      </w:r>
      <w:r w:rsidR="00AC7F4D">
        <w:rPr>
          <w:lang w:val="en-GB"/>
        </w:rPr>
        <w:t xml:space="preserve">iterranean Sea and calling on European states to pay particular attention to the specific situation of migrant women and girls. </w:t>
      </w:r>
    </w:p>
    <w:p w14:paraId="63B19D3D" w14:textId="0D472522" w:rsidR="002E5A0D" w:rsidRPr="00AC7F4D" w:rsidRDefault="002E5A0D" w:rsidP="00C0290D">
      <w:pPr>
        <w:pStyle w:val="ListParagraph"/>
        <w:numPr>
          <w:ilvl w:val="0"/>
          <w:numId w:val="4"/>
        </w:numPr>
        <w:jc w:val="both"/>
        <w:rPr>
          <w:b/>
          <w:color w:val="002060"/>
          <w:lang w:val="en-GB"/>
        </w:rPr>
      </w:pPr>
      <w:r w:rsidRPr="00AC7F4D">
        <w:rPr>
          <w:b/>
          <w:color w:val="002060"/>
          <w:lang w:val="en-GB"/>
        </w:rPr>
        <w:t xml:space="preserve">European Women’s Lobby </w:t>
      </w:r>
      <w:r w:rsidR="00AC7F4D">
        <w:rPr>
          <w:b/>
          <w:color w:val="002060"/>
          <w:lang w:val="en-GB"/>
        </w:rPr>
        <w:t xml:space="preserve">: new </w:t>
      </w:r>
      <w:r w:rsidRPr="00AC7F4D">
        <w:rPr>
          <w:b/>
          <w:color w:val="002060"/>
          <w:lang w:val="en-GB"/>
        </w:rPr>
        <w:t>fact-sheet on violence against women</w:t>
      </w:r>
    </w:p>
    <w:p w14:paraId="4FB9CD96" w14:textId="6AFCF380" w:rsidR="002E5A0D" w:rsidRDefault="002E5A0D" w:rsidP="003334CD">
      <w:pPr>
        <w:jc w:val="both"/>
        <w:rPr>
          <w:lang w:val="en-GB"/>
        </w:rPr>
      </w:pPr>
      <w:r>
        <w:rPr>
          <w:lang w:val="en-GB"/>
        </w:rPr>
        <w:t>T</w:t>
      </w:r>
      <w:r w:rsidR="00AC7F4D">
        <w:rPr>
          <w:lang w:val="en-GB"/>
        </w:rPr>
        <w:t>he European Women’s Lobby published</w:t>
      </w:r>
      <w:r>
        <w:rPr>
          <w:lang w:val="en-GB"/>
        </w:rPr>
        <w:t xml:space="preserve"> a </w:t>
      </w:r>
      <w:hyperlink r:id="rId21" w:history="1">
        <w:r w:rsidRPr="00F34291">
          <w:rPr>
            <w:rStyle w:val="Hyperlink"/>
            <w:lang w:val="en-GB"/>
          </w:rPr>
          <w:t>fact-sheet</w:t>
        </w:r>
      </w:hyperlink>
      <w:r w:rsidR="00F34291">
        <w:rPr>
          <w:lang w:val="en-GB"/>
        </w:rPr>
        <w:t xml:space="preserve"> with data on violence against women and recommendations for its prevention.</w:t>
      </w:r>
    </w:p>
    <w:p w14:paraId="1A9EA748" w14:textId="63968A6B" w:rsidR="00AD3748" w:rsidRDefault="00AD3748" w:rsidP="00C0290D">
      <w:pPr>
        <w:pStyle w:val="ListParagraph"/>
        <w:numPr>
          <w:ilvl w:val="0"/>
          <w:numId w:val="4"/>
        </w:numPr>
        <w:jc w:val="both"/>
        <w:rPr>
          <w:b/>
          <w:color w:val="002060"/>
          <w:lang w:val="en-GB"/>
        </w:rPr>
      </w:pPr>
      <w:r w:rsidRPr="00AD3748">
        <w:rPr>
          <w:b/>
          <w:color w:val="002060"/>
          <w:lang w:val="en-GB"/>
        </w:rPr>
        <w:t>Call for Abstracts</w:t>
      </w:r>
      <w:r>
        <w:rPr>
          <w:b/>
          <w:color w:val="002060"/>
          <w:lang w:val="en-GB"/>
        </w:rPr>
        <w:t xml:space="preserve">: </w:t>
      </w:r>
      <w:r w:rsidRPr="00AD3748">
        <w:rPr>
          <w:b/>
          <w:color w:val="002060"/>
          <w:lang w:val="en-GB"/>
        </w:rPr>
        <w:t>7th World Congress on Women's Mental Health</w:t>
      </w:r>
    </w:p>
    <w:p w14:paraId="21491A71" w14:textId="5AA9BB03" w:rsidR="00AD3748" w:rsidRPr="00AD3748" w:rsidRDefault="00AD3748" w:rsidP="00AD3748">
      <w:pPr>
        <w:jc w:val="both"/>
        <w:rPr>
          <w:lang w:val="en-GB"/>
        </w:rPr>
      </w:pPr>
      <w:r>
        <w:rPr>
          <w:lang w:val="en-GB"/>
        </w:rPr>
        <w:t>The</w:t>
      </w:r>
      <w:r w:rsidRPr="00AD3748">
        <w:rPr>
          <w:lang w:val="en-GB"/>
        </w:rPr>
        <w:t xml:space="preserve"> International Association of Women's Mental Health </w:t>
      </w:r>
      <w:r>
        <w:rPr>
          <w:lang w:val="en-GB"/>
        </w:rPr>
        <w:t xml:space="preserve">opened the </w:t>
      </w:r>
      <w:hyperlink r:id="rId22" w:history="1">
        <w:r w:rsidRPr="00AD3748">
          <w:rPr>
            <w:rStyle w:val="Hyperlink"/>
            <w:lang w:val="en-GB"/>
          </w:rPr>
          <w:t>submission for abstracts</w:t>
        </w:r>
      </w:hyperlink>
      <w:r w:rsidRPr="00AD3748">
        <w:rPr>
          <w:lang w:val="en-GB"/>
        </w:rPr>
        <w:t xml:space="preserve"> for the 7th World Congress on Women's Mental Health 2017.</w:t>
      </w:r>
      <w:r>
        <w:rPr>
          <w:lang w:val="en-GB"/>
        </w:rPr>
        <w:t xml:space="preserve"> Deadline for submission: 30 June 2016.</w:t>
      </w:r>
    </w:p>
    <w:p w14:paraId="195881EA" w14:textId="2937638F" w:rsidR="00AC7F4D" w:rsidRPr="00AC7F4D" w:rsidRDefault="00094672" w:rsidP="00AC7F4D">
      <w:pPr>
        <w:pStyle w:val="Heading2"/>
        <w:rPr>
          <w:lang w:val="en-GB"/>
        </w:rPr>
      </w:pPr>
      <w:r>
        <w:rPr>
          <w:lang w:val="en-GB"/>
        </w:rPr>
        <w:t>Equinet’s work on gender equality</w:t>
      </w:r>
      <w:r w:rsidR="00AC7F4D">
        <w:rPr>
          <w:lang w:val="en-GB"/>
        </w:rPr>
        <w:br/>
      </w:r>
    </w:p>
    <w:p w14:paraId="5CD7393C" w14:textId="4CF328C2" w:rsidR="00094672" w:rsidRPr="00094672" w:rsidRDefault="00D47BC3" w:rsidP="003334CD">
      <w:pPr>
        <w:jc w:val="both"/>
        <w:rPr>
          <w:rFonts w:cs="Arial"/>
          <w:lang w:val="en-US"/>
        </w:rPr>
      </w:pPr>
      <w:r w:rsidRPr="004B0ABE">
        <w:rPr>
          <w:rStyle w:val="Hyperlink"/>
          <w:rFonts w:cs="Arial"/>
          <w:noProof/>
          <w:color w:val="0065A6"/>
          <w:lang w:eastAsia="fr-BE"/>
        </w:rPr>
        <w:drawing>
          <wp:anchor distT="0" distB="0" distL="114300" distR="114300" simplePos="0" relativeHeight="251660800" behindDoc="0" locked="0" layoutInCell="1" allowOverlap="1" wp14:anchorId="2E888C84" wp14:editId="021E39EB">
            <wp:simplePos x="0" y="0"/>
            <wp:positionH relativeFrom="margin">
              <wp:posOffset>4740910</wp:posOffset>
            </wp:positionH>
            <wp:positionV relativeFrom="margin">
              <wp:posOffset>4126865</wp:posOffset>
            </wp:positionV>
            <wp:extent cx="1428750" cy="2076450"/>
            <wp:effectExtent l="19050" t="19050" r="19050" b="19050"/>
            <wp:wrapSquare wrapText="bothSides"/>
            <wp:docPr id="3" name="Picture 3" descr="C:\Users\jema\Pictures\EQUINET\Hara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ma\Pictures\EQUINET\Harassmen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076450"/>
                    </a:xfrm>
                    <a:prstGeom prst="rect">
                      <a:avLst/>
                    </a:prstGeom>
                    <a:noFill/>
                    <a:ln>
                      <a:solidFill>
                        <a:schemeClr val="tx1"/>
                      </a:solidFill>
                    </a:ln>
                  </pic:spPr>
                </pic:pic>
              </a:graphicData>
            </a:graphic>
          </wp:anchor>
        </w:drawing>
      </w:r>
      <w:r w:rsidR="00094672" w:rsidRPr="00094672">
        <w:rPr>
          <w:lang w:val="en-GB"/>
        </w:rPr>
        <w:t>Carried out within the</w:t>
      </w:r>
      <w:r w:rsidR="00094672" w:rsidRPr="00094672">
        <w:rPr>
          <w:rFonts w:cs="Arial"/>
          <w:lang w:val="en-US"/>
        </w:rPr>
        <w:t xml:space="preserve"> Working Group on Gender Equality, </w:t>
      </w:r>
      <w:r w:rsidR="00094672" w:rsidRPr="004B0ABE">
        <w:rPr>
          <w:rFonts w:cs="Arial"/>
          <w:b/>
          <w:lang w:val="en-US"/>
        </w:rPr>
        <w:t>Equinet’s publications on the topic include:</w:t>
      </w:r>
    </w:p>
    <w:p w14:paraId="3EF64021" w14:textId="6EE4CEAA" w:rsidR="00094672" w:rsidRPr="00094672" w:rsidRDefault="00C0290D" w:rsidP="00C0290D">
      <w:pPr>
        <w:pStyle w:val="ListParagraph"/>
        <w:numPr>
          <w:ilvl w:val="0"/>
          <w:numId w:val="1"/>
        </w:numPr>
        <w:jc w:val="both"/>
        <w:rPr>
          <w:rFonts w:cs="Arial"/>
          <w:lang w:val="en-US"/>
        </w:rPr>
      </w:pPr>
      <w:hyperlink r:id="rId24" w:history="1">
        <w:r w:rsidR="00094672" w:rsidRPr="00094672">
          <w:rPr>
            <w:rStyle w:val="Hyperlink"/>
            <w:rFonts w:cs="Arial"/>
            <w:color w:val="0065A6"/>
            <w:lang w:val="en-US"/>
          </w:rPr>
          <w:t>The Persistence of Discrimination, Harassment and Inequality for Women</w:t>
        </w:r>
      </w:hyperlink>
    </w:p>
    <w:p w14:paraId="04C5CABA" w14:textId="77777777" w:rsidR="00094672" w:rsidRPr="00094672" w:rsidRDefault="00C0290D" w:rsidP="00C0290D">
      <w:pPr>
        <w:pStyle w:val="ListParagraph"/>
        <w:numPr>
          <w:ilvl w:val="0"/>
          <w:numId w:val="1"/>
        </w:numPr>
        <w:jc w:val="both"/>
        <w:rPr>
          <w:rFonts w:cs="Arial"/>
          <w:lang w:val="en-US"/>
        </w:rPr>
      </w:pPr>
      <w:hyperlink r:id="rId25" w:history="1">
        <w:r w:rsidR="00094672" w:rsidRPr="00094672">
          <w:rPr>
            <w:rStyle w:val="Hyperlink"/>
            <w:rFonts w:cs="Arial"/>
            <w:color w:val="0065A6"/>
            <w:lang w:val="en-US"/>
          </w:rPr>
          <w:t>Harassment on the Basis of Gender and Sexual Harassment: Supporting the Work of Equality Bodies</w:t>
        </w:r>
      </w:hyperlink>
    </w:p>
    <w:p w14:paraId="667A5302" w14:textId="77777777" w:rsidR="00094672" w:rsidRPr="00094672" w:rsidRDefault="00C0290D" w:rsidP="00C0290D">
      <w:pPr>
        <w:pStyle w:val="ListParagraph"/>
        <w:numPr>
          <w:ilvl w:val="0"/>
          <w:numId w:val="1"/>
        </w:numPr>
        <w:jc w:val="both"/>
        <w:rPr>
          <w:rFonts w:cs="Arial"/>
          <w:lang w:val="en-US"/>
        </w:rPr>
      </w:pPr>
      <w:hyperlink r:id="rId26" w:history="1">
        <w:r w:rsidR="00094672" w:rsidRPr="00094672">
          <w:rPr>
            <w:rStyle w:val="Hyperlink"/>
            <w:rFonts w:cs="Arial"/>
            <w:color w:val="0065A6"/>
            <w:lang w:val="en-US"/>
          </w:rPr>
          <w:t>Equality Bodies and the Gender Goods and Services Directive</w:t>
        </w:r>
      </w:hyperlink>
    </w:p>
    <w:p w14:paraId="23A6EC32" w14:textId="11732112" w:rsidR="00094672" w:rsidRPr="00094672" w:rsidRDefault="00C0290D" w:rsidP="00C0290D">
      <w:pPr>
        <w:pStyle w:val="ListParagraph"/>
        <w:numPr>
          <w:ilvl w:val="0"/>
          <w:numId w:val="1"/>
        </w:numPr>
        <w:jc w:val="both"/>
        <w:rPr>
          <w:rFonts w:cs="Arial"/>
          <w:lang w:val="en-US"/>
        </w:rPr>
      </w:pPr>
      <w:hyperlink r:id="rId27" w:history="1">
        <w:r w:rsidR="00094672" w:rsidRPr="00094672">
          <w:rPr>
            <w:rStyle w:val="Hyperlink"/>
            <w:rFonts w:cs="Arial"/>
            <w:color w:val="0065A6"/>
            <w:lang w:val="en-US"/>
          </w:rPr>
          <w:t>Equal Pay for Equal Work and Work of Equal Value: the Experience of Equality Bodies</w:t>
        </w:r>
      </w:hyperlink>
      <w:r w:rsidR="004B0ABE" w:rsidRPr="004B0AB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BFF3B24" w14:textId="77777777" w:rsidR="00094672" w:rsidRPr="004B0ABE" w:rsidRDefault="00094672" w:rsidP="003334CD">
      <w:pPr>
        <w:pStyle w:val="NormalWeb"/>
        <w:shd w:val="clear" w:color="auto" w:fill="FFFFFF"/>
        <w:spacing w:before="75" w:beforeAutospacing="0" w:after="75" w:afterAutospacing="0"/>
        <w:jc w:val="both"/>
        <w:rPr>
          <w:rFonts w:asciiTheme="minorHAnsi" w:hAnsiTheme="minorHAnsi" w:cs="Arial"/>
          <w:b/>
          <w:sz w:val="22"/>
          <w:szCs w:val="22"/>
          <w:lang w:val="en-US"/>
        </w:rPr>
      </w:pPr>
      <w:r w:rsidRPr="004B0ABE">
        <w:rPr>
          <w:rFonts w:asciiTheme="minorHAnsi" w:hAnsiTheme="minorHAnsi" w:cs="Arial"/>
          <w:b/>
          <w:sz w:val="22"/>
          <w:szCs w:val="22"/>
          <w:lang w:val="en-US"/>
        </w:rPr>
        <w:t>In 2016 the Working Group on Gender Equality will:</w:t>
      </w:r>
    </w:p>
    <w:p w14:paraId="226C7F56" w14:textId="77777777" w:rsidR="00094672" w:rsidRPr="00094672" w:rsidRDefault="00094672" w:rsidP="00C0290D">
      <w:pPr>
        <w:pStyle w:val="NormalWeb"/>
        <w:numPr>
          <w:ilvl w:val="0"/>
          <w:numId w:val="2"/>
        </w:numPr>
        <w:shd w:val="clear" w:color="auto" w:fill="FFFFFF"/>
        <w:spacing w:before="75" w:beforeAutospacing="0" w:after="75" w:afterAutospacing="0"/>
        <w:jc w:val="both"/>
        <w:rPr>
          <w:rFonts w:asciiTheme="minorHAnsi" w:hAnsiTheme="minorHAnsi" w:cs="Arial"/>
          <w:sz w:val="22"/>
          <w:szCs w:val="22"/>
          <w:lang w:val="en-US"/>
        </w:rPr>
      </w:pPr>
      <w:r w:rsidRPr="00094672">
        <w:rPr>
          <w:rFonts w:asciiTheme="minorHAnsi" w:hAnsiTheme="minorHAnsi" w:cs="Arial"/>
          <w:sz w:val="22"/>
          <w:szCs w:val="22"/>
          <w:lang w:val="en-US"/>
        </w:rPr>
        <w:t xml:space="preserve">Discuss the best strategies to deal with equal pay complaints, and </w:t>
      </w:r>
      <w:r w:rsidRPr="004B0ABE">
        <w:rPr>
          <w:rFonts w:asciiTheme="minorHAnsi" w:hAnsiTheme="minorHAnsi" w:cs="Arial"/>
          <w:b/>
          <w:sz w:val="22"/>
          <w:szCs w:val="22"/>
          <w:lang w:val="en-US"/>
        </w:rPr>
        <w:t>publish a handbook on how to build a case on equal pay</w:t>
      </w:r>
    </w:p>
    <w:p w14:paraId="4943DC94" w14:textId="77777777" w:rsidR="00094672" w:rsidRPr="004B0ABE" w:rsidRDefault="00094672" w:rsidP="00C0290D">
      <w:pPr>
        <w:pStyle w:val="NormalWeb"/>
        <w:numPr>
          <w:ilvl w:val="0"/>
          <w:numId w:val="2"/>
        </w:numPr>
        <w:shd w:val="clear" w:color="auto" w:fill="FFFFFF"/>
        <w:spacing w:before="75" w:beforeAutospacing="0" w:after="75" w:afterAutospacing="0"/>
        <w:jc w:val="both"/>
        <w:rPr>
          <w:rFonts w:asciiTheme="minorHAnsi" w:hAnsiTheme="minorHAnsi" w:cs="Arial"/>
          <w:b/>
          <w:sz w:val="22"/>
          <w:szCs w:val="22"/>
          <w:lang w:val="en-US"/>
        </w:rPr>
      </w:pPr>
      <w:r w:rsidRPr="00094672">
        <w:rPr>
          <w:rFonts w:asciiTheme="minorHAnsi" w:hAnsiTheme="minorHAnsi" w:cs="Arial"/>
          <w:sz w:val="22"/>
          <w:szCs w:val="22"/>
          <w:lang w:val="en-US"/>
        </w:rPr>
        <w:t xml:space="preserve">Outline the experience of equality bodies in relation to gender equality and education, and contribute to the </w:t>
      </w:r>
      <w:r w:rsidRPr="004B0ABE">
        <w:rPr>
          <w:rFonts w:asciiTheme="minorHAnsi" w:hAnsiTheme="minorHAnsi" w:cs="Arial"/>
          <w:b/>
          <w:sz w:val="22"/>
          <w:szCs w:val="22"/>
          <w:lang w:val="en-US"/>
        </w:rPr>
        <w:t>preparation and organization of the Seminar ‘Gender Equality and Education’</w:t>
      </w:r>
    </w:p>
    <w:p w14:paraId="509171CB" w14:textId="77777777" w:rsidR="00094672" w:rsidRPr="004B0ABE" w:rsidRDefault="00094672" w:rsidP="00C0290D">
      <w:pPr>
        <w:pStyle w:val="NormalWeb"/>
        <w:numPr>
          <w:ilvl w:val="0"/>
          <w:numId w:val="2"/>
        </w:numPr>
        <w:shd w:val="clear" w:color="auto" w:fill="FFFFFF"/>
        <w:spacing w:before="75" w:beforeAutospacing="0" w:after="75" w:afterAutospacing="0"/>
        <w:jc w:val="both"/>
        <w:rPr>
          <w:rFonts w:asciiTheme="minorHAnsi" w:hAnsiTheme="minorHAnsi" w:cs="Arial"/>
          <w:b/>
          <w:sz w:val="22"/>
          <w:szCs w:val="22"/>
          <w:lang w:val="en-US"/>
        </w:rPr>
      </w:pPr>
      <w:r w:rsidRPr="00094672">
        <w:rPr>
          <w:rFonts w:asciiTheme="minorHAnsi" w:hAnsiTheme="minorHAnsi" w:cs="Arial"/>
          <w:sz w:val="22"/>
          <w:szCs w:val="22"/>
          <w:lang w:val="en-US"/>
        </w:rPr>
        <w:t xml:space="preserve">Assist the Working Group Policy Formation in preparing a </w:t>
      </w:r>
      <w:r w:rsidRPr="004B0ABE">
        <w:rPr>
          <w:rFonts w:asciiTheme="minorHAnsi" w:hAnsiTheme="minorHAnsi" w:cs="Arial"/>
          <w:b/>
          <w:sz w:val="22"/>
          <w:szCs w:val="22"/>
          <w:lang w:val="en-US"/>
        </w:rPr>
        <w:t>paper on intersectionality with a focus on gender</w:t>
      </w:r>
    </w:p>
    <w:p w14:paraId="465C6457" w14:textId="76C76863" w:rsidR="00094672" w:rsidRPr="00094672" w:rsidRDefault="00094672" w:rsidP="00C0290D">
      <w:pPr>
        <w:pStyle w:val="NormalWeb"/>
        <w:numPr>
          <w:ilvl w:val="0"/>
          <w:numId w:val="2"/>
        </w:numPr>
        <w:shd w:val="clear" w:color="auto" w:fill="FFFFFF"/>
        <w:spacing w:before="75" w:beforeAutospacing="0" w:after="75" w:afterAutospacing="0"/>
        <w:jc w:val="both"/>
        <w:rPr>
          <w:rFonts w:asciiTheme="minorHAnsi" w:hAnsiTheme="minorHAnsi" w:cs="Arial"/>
          <w:sz w:val="22"/>
          <w:szCs w:val="22"/>
          <w:lang w:val="en-US"/>
        </w:rPr>
      </w:pPr>
      <w:r w:rsidRPr="00094672">
        <w:rPr>
          <w:rFonts w:asciiTheme="minorHAnsi" w:hAnsiTheme="minorHAnsi" w:cs="Arial"/>
          <w:sz w:val="22"/>
          <w:szCs w:val="22"/>
          <w:lang w:val="en-US"/>
        </w:rPr>
        <w:t xml:space="preserve">Relay the experience of equality bodies and contribute to the preparation and organization of the </w:t>
      </w:r>
      <w:r w:rsidRPr="00D926DA">
        <w:rPr>
          <w:rFonts w:asciiTheme="minorHAnsi" w:hAnsiTheme="minorHAnsi" w:cs="Arial"/>
          <w:b/>
          <w:sz w:val="22"/>
          <w:szCs w:val="22"/>
          <w:lang w:val="en-US"/>
        </w:rPr>
        <w:t>Equinet conference on ‘Gender equality: an intersectional perspective’.</w:t>
      </w:r>
    </w:p>
    <w:p w14:paraId="74E60A53" w14:textId="77777777" w:rsidR="00A73FA9" w:rsidRPr="006075A4" w:rsidRDefault="00A73FA9" w:rsidP="000263B4">
      <w:pPr>
        <w:pStyle w:val="Heading2"/>
        <w:spacing w:line="240" w:lineRule="auto"/>
        <w:rPr>
          <w:lang w:val="en-GB"/>
        </w:rPr>
      </w:pPr>
    </w:p>
    <w:p w14:paraId="3826F7AE" w14:textId="77777777" w:rsidR="00A73FA9" w:rsidRPr="006075A4" w:rsidRDefault="00A73FA9" w:rsidP="000263B4">
      <w:pPr>
        <w:pBdr>
          <w:bottom w:val="dotted" w:sz="36" w:space="1" w:color="auto"/>
        </w:pBdr>
        <w:spacing w:line="240" w:lineRule="auto"/>
        <w:rPr>
          <w:lang w:val="en-GB"/>
        </w:rPr>
      </w:pPr>
    </w:p>
    <w:p w14:paraId="55ED3A05" w14:textId="7E3A8427" w:rsidR="0095164B" w:rsidRPr="004D1EB3" w:rsidRDefault="00F93FE2" w:rsidP="004D1EB3">
      <w:pPr>
        <w:rPr>
          <w:rFonts w:ascii="Tahoma" w:eastAsiaTheme="majorEastAsia" w:hAnsi="Tahoma" w:cstheme="majorBidi"/>
          <w:b/>
          <w:color w:val="2E74B5" w:themeColor="accent1" w:themeShade="BF"/>
          <w:sz w:val="32"/>
          <w:szCs w:val="32"/>
          <w:lang w:val="en-GB"/>
        </w:rPr>
      </w:pPr>
      <w:bookmarkStart w:id="6" w:name="_Toc418770746"/>
      <w:bookmarkStart w:id="7" w:name="_Ref418784288"/>
      <w:bookmarkStart w:id="8" w:name="_Ref421267472"/>
      <w:r>
        <w:rPr>
          <w:lang w:val="en-GB"/>
        </w:rPr>
        <w:br w:type="page"/>
      </w:r>
      <w:bookmarkStart w:id="9" w:name="_Toc418770747"/>
      <w:bookmarkStart w:id="10" w:name="_Ref418784309"/>
      <w:bookmarkEnd w:id="6"/>
      <w:bookmarkEnd w:id="7"/>
      <w:bookmarkEnd w:id="8"/>
    </w:p>
    <w:p w14:paraId="290D8B05" w14:textId="08C364A4" w:rsidR="00997A8C" w:rsidRDefault="00997A8C" w:rsidP="00307D94">
      <w:pPr>
        <w:pStyle w:val="Heading1"/>
        <w:pBdr>
          <w:top w:val="dotted" w:sz="4" w:space="1" w:color="auto"/>
          <w:bottom w:val="dotted" w:sz="4" w:space="1" w:color="auto"/>
        </w:pBdr>
        <w:rPr>
          <w:lang w:val="en-GB"/>
        </w:rPr>
      </w:pPr>
      <w:bookmarkStart w:id="11" w:name="_General_information"/>
      <w:bookmarkStart w:id="12" w:name="_Ref421267521"/>
      <w:bookmarkStart w:id="13" w:name="_Ref442453617"/>
      <w:bookmarkEnd w:id="11"/>
      <w:r w:rsidRPr="006075A4">
        <w:rPr>
          <w:lang w:val="en-GB"/>
        </w:rPr>
        <w:lastRenderedPageBreak/>
        <w:t>General information</w:t>
      </w:r>
      <w:bookmarkEnd w:id="12"/>
    </w:p>
    <w:p w14:paraId="52006B2E" w14:textId="77777777" w:rsidR="00307D94" w:rsidRDefault="00307D94" w:rsidP="00D926DA">
      <w:pPr>
        <w:rPr>
          <w:lang w:val="en-GB"/>
        </w:rPr>
      </w:pPr>
      <w:bookmarkStart w:id="14" w:name="_Thematic_developments"/>
      <w:bookmarkEnd w:id="14"/>
    </w:p>
    <w:p w14:paraId="28D15F57" w14:textId="4791779B" w:rsidR="00D47BC3" w:rsidRDefault="00C07F99" w:rsidP="00C0290D">
      <w:pPr>
        <w:pStyle w:val="Heading2"/>
        <w:rPr>
          <w:lang w:val="en-GB"/>
        </w:rPr>
      </w:pPr>
      <w:r>
        <w:rPr>
          <w:lang w:val="en-GB"/>
        </w:rPr>
        <w:t>Policy developments</w:t>
      </w:r>
      <w:r w:rsidR="00C0290D">
        <w:rPr>
          <w:lang w:val="en-GB"/>
        </w:rPr>
        <w:br/>
      </w:r>
      <w:bookmarkStart w:id="15" w:name="_GoBack"/>
      <w:bookmarkEnd w:id="15"/>
    </w:p>
    <w:p w14:paraId="04D649E6" w14:textId="22CE4630" w:rsidR="00C0290D" w:rsidRPr="00C0290D" w:rsidRDefault="00C0290D" w:rsidP="00C0290D">
      <w:pPr>
        <w:pStyle w:val="ListParagraph"/>
        <w:numPr>
          <w:ilvl w:val="0"/>
          <w:numId w:val="8"/>
        </w:numPr>
        <w:rPr>
          <w:b/>
          <w:color w:val="1F3864" w:themeColor="accent5" w:themeShade="80"/>
          <w:lang w:val="en-GB"/>
        </w:rPr>
      </w:pPr>
      <w:r w:rsidRPr="00C0290D">
        <w:rPr>
          <w:b/>
          <w:color w:val="1F3864" w:themeColor="accent5" w:themeShade="80"/>
          <w:lang w:val="en-GB"/>
        </w:rPr>
        <w:t>Launch of the European Commission public consultation on the European Pillar of Social Rights</w:t>
      </w:r>
    </w:p>
    <w:p w14:paraId="190A1A8B" w14:textId="77777777" w:rsidR="00D47BC3" w:rsidRDefault="00BC7E33" w:rsidP="00D47BC3">
      <w:pPr>
        <w:jc w:val="both"/>
        <w:rPr>
          <w:lang w:val="en-GB"/>
        </w:rPr>
      </w:pPr>
      <w:r>
        <w:rPr>
          <w:lang w:val="en-GB"/>
        </w:rPr>
        <w:t xml:space="preserve">The European Commission launched </w:t>
      </w:r>
      <w:r w:rsidRPr="00BC7E33">
        <w:rPr>
          <w:lang w:val="en-GB"/>
        </w:rPr>
        <w:t xml:space="preserve">a </w:t>
      </w:r>
      <w:hyperlink r:id="rId28" w:history="1">
        <w:r w:rsidRPr="00DE4E66">
          <w:rPr>
            <w:rStyle w:val="Hyperlink"/>
            <w:b/>
            <w:lang w:val="en-GB"/>
          </w:rPr>
          <w:t>public consultation</w:t>
        </w:r>
      </w:hyperlink>
      <w:r w:rsidRPr="00BC7E33">
        <w:rPr>
          <w:lang w:val="en-GB"/>
        </w:rPr>
        <w:t xml:space="preserve"> on the </w:t>
      </w:r>
      <w:r w:rsidRPr="00B43DB6">
        <w:rPr>
          <w:lang w:val="en-GB"/>
        </w:rPr>
        <w:t>European Pillar of Social Rights</w:t>
      </w:r>
      <w:r>
        <w:rPr>
          <w:lang w:val="en-GB"/>
        </w:rPr>
        <w:t xml:space="preserve">. </w:t>
      </w:r>
      <w:r w:rsidR="00DE4E66">
        <w:rPr>
          <w:lang w:val="en-GB"/>
        </w:rPr>
        <w:t xml:space="preserve">The consultation will run </w:t>
      </w:r>
      <w:r w:rsidR="00DE4E66" w:rsidRPr="00D47BC3">
        <w:rPr>
          <w:b/>
          <w:lang w:val="en-GB"/>
        </w:rPr>
        <w:t>until 31 December 2016</w:t>
      </w:r>
      <w:r w:rsidR="00DE4E66">
        <w:rPr>
          <w:lang w:val="en-GB"/>
        </w:rPr>
        <w:t xml:space="preserve"> and will </w:t>
      </w:r>
      <w:r w:rsidR="00DE4E66" w:rsidRPr="00DE4E66">
        <w:rPr>
          <w:lang w:val="en-GB"/>
        </w:rPr>
        <w:t>feed into the final text on the Pillar.</w:t>
      </w:r>
      <w:r w:rsidR="00DE4E66">
        <w:rPr>
          <w:lang w:val="en-GB"/>
        </w:rPr>
        <w:t xml:space="preserve"> </w:t>
      </w:r>
      <w:r w:rsidR="00DE4E66" w:rsidRPr="00DE4E66">
        <w:rPr>
          <w:lang w:val="en-GB"/>
        </w:rPr>
        <w:t>The aim of the European Pillar of Social Rights is to set out a number of essential principles to support well-functioning and fair labour markets and welfare systems, to adequately protect European citizens against risks and to enable them to fully participate in society.</w:t>
      </w:r>
      <w:r w:rsidR="00BD5727">
        <w:rPr>
          <w:lang w:val="en-GB"/>
        </w:rPr>
        <w:t xml:space="preserve"> </w:t>
      </w:r>
    </w:p>
    <w:p w14:paraId="7CA6B031" w14:textId="33A90B22" w:rsidR="00C07F99" w:rsidRDefault="00BD5727" w:rsidP="00D47BC3">
      <w:pPr>
        <w:jc w:val="both"/>
        <w:rPr>
          <w:lang w:val="en-GB"/>
        </w:rPr>
      </w:pPr>
      <w:r>
        <w:rPr>
          <w:lang w:val="en-GB"/>
        </w:rPr>
        <w:t>One of the three chapters of the</w:t>
      </w:r>
      <w:r w:rsidRPr="00BD5727">
        <w:rPr>
          <w:lang w:val="en-GB"/>
        </w:rPr>
        <w:t xml:space="preserve"> First preliminary outline of a European Pillar of Social Rights</w:t>
      </w:r>
      <w:r>
        <w:rPr>
          <w:lang w:val="en-GB"/>
        </w:rPr>
        <w:t xml:space="preserve"> published on the same occasion </w:t>
      </w:r>
      <w:r w:rsidRPr="00D47BC3">
        <w:rPr>
          <w:b/>
          <w:lang w:val="en-GB"/>
        </w:rPr>
        <w:t>addresses equal opportunities and access to the labour market</w:t>
      </w:r>
      <w:r>
        <w:rPr>
          <w:lang w:val="en-GB"/>
        </w:rPr>
        <w:t xml:space="preserve">, including sections on </w:t>
      </w:r>
      <w:r w:rsidRPr="00BD5727">
        <w:rPr>
          <w:lang w:val="en-GB"/>
        </w:rPr>
        <w:t>Gender equality and work-life balance</w:t>
      </w:r>
      <w:r>
        <w:rPr>
          <w:lang w:val="en-GB"/>
        </w:rPr>
        <w:t xml:space="preserve"> and on</w:t>
      </w:r>
      <w:r w:rsidRPr="00BD5727">
        <w:rPr>
          <w:lang w:val="en-GB"/>
        </w:rPr>
        <w:t xml:space="preserve"> Equal opportunities</w:t>
      </w:r>
      <w:r>
        <w:rPr>
          <w:lang w:val="en-GB"/>
        </w:rPr>
        <w:t>.</w:t>
      </w:r>
    </w:p>
    <w:p w14:paraId="53995A0D" w14:textId="4AF8A193" w:rsidR="00735BC7" w:rsidRPr="00997A8C" w:rsidRDefault="00735BC7" w:rsidP="003334CD">
      <w:pPr>
        <w:pStyle w:val="Heading2"/>
        <w:jc w:val="both"/>
        <w:rPr>
          <w:lang w:val="en-GB"/>
        </w:rPr>
      </w:pPr>
      <w:bookmarkStart w:id="16" w:name="_Publications,_funding_opportunities"/>
      <w:bookmarkEnd w:id="16"/>
      <w:r w:rsidRPr="00735BC7">
        <w:rPr>
          <w:lang w:val="en-GB"/>
        </w:rPr>
        <w:t>Publications, funding opportunities and events</w:t>
      </w:r>
      <w:bookmarkEnd w:id="13"/>
    </w:p>
    <w:p w14:paraId="34EA36BC" w14:textId="77777777" w:rsidR="00307D94" w:rsidRDefault="00307D94" w:rsidP="00307D94">
      <w:pPr>
        <w:spacing w:line="240" w:lineRule="auto"/>
        <w:jc w:val="both"/>
        <w:rPr>
          <w:b/>
          <w:color w:val="FFFFFF" w:themeColor="background1"/>
          <w:shd w:val="clear" w:color="auto" w:fill="7030A0"/>
          <w:lang w:val="en-GB"/>
        </w:rPr>
      </w:pPr>
    </w:p>
    <w:p w14:paraId="561BAC2D" w14:textId="135DD78D" w:rsidR="0095164B" w:rsidRDefault="00735BC7" w:rsidP="00307D94">
      <w:pPr>
        <w:spacing w:line="240" w:lineRule="auto"/>
        <w:jc w:val="both"/>
        <w:rPr>
          <w:rFonts w:ascii="Calibri" w:eastAsia="Calibri" w:hAnsi="Calibri" w:cs="Times New Roman"/>
          <w:lang w:val="en-GB"/>
        </w:rPr>
      </w:pPr>
      <w:r>
        <w:rPr>
          <w:b/>
          <w:color w:val="FFFFFF" w:themeColor="background1"/>
          <w:shd w:val="clear" w:color="auto" w:fill="7030A0"/>
          <w:lang w:val="en-GB"/>
        </w:rPr>
        <w:t>PUBLICATION</w:t>
      </w:r>
      <w:r>
        <w:rPr>
          <w:rFonts w:ascii="Calibri" w:eastAsia="Calibri" w:hAnsi="Calibri" w:cs="Times New Roman"/>
          <w:lang w:val="en-GB"/>
        </w:rPr>
        <w:t xml:space="preserve"> </w:t>
      </w:r>
      <w:r w:rsidRPr="00735BC7">
        <w:rPr>
          <w:rFonts w:ascii="Calibri" w:eastAsia="Calibri" w:hAnsi="Calibri" w:cs="Times New Roman"/>
          <w:lang w:val="en-GB"/>
        </w:rPr>
        <w:t>-</w:t>
      </w:r>
      <w:r>
        <w:rPr>
          <w:rFonts w:ascii="Calibri" w:eastAsia="Calibri" w:hAnsi="Calibri" w:cs="Times New Roman"/>
          <w:lang w:val="en-GB"/>
        </w:rPr>
        <w:t xml:space="preserve"> </w:t>
      </w:r>
      <w:r w:rsidRPr="00735BC7">
        <w:rPr>
          <w:rFonts w:ascii="Calibri" w:eastAsia="Calibri" w:hAnsi="Calibri" w:cs="Times New Roman"/>
          <w:b/>
          <w:lang w:val="en-GB"/>
        </w:rPr>
        <w:t>European Parliament</w:t>
      </w:r>
      <w:r>
        <w:rPr>
          <w:rFonts w:ascii="Calibri" w:eastAsia="Calibri" w:hAnsi="Calibri" w:cs="Times New Roman"/>
          <w:lang w:val="en-GB"/>
        </w:rPr>
        <w:t xml:space="preserve"> - </w:t>
      </w:r>
      <w:hyperlink r:id="rId29" w:history="1">
        <w:r w:rsidRPr="00735BC7">
          <w:rPr>
            <w:rStyle w:val="Hyperlink"/>
            <w:rFonts w:ascii="Calibri" w:eastAsia="Calibri" w:hAnsi="Calibri" w:cs="Times New Roman"/>
            <w:lang w:val="en-GB"/>
          </w:rPr>
          <w:t>The interpretation of Article 51 of the EU Charter of Fundamental</w:t>
        </w:r>
      </w:hyperlink>
    </w:p>
    <w:p w14:paraId="5C42A261" w14:textId="77777777" w:rsidR="00307D94" w:rsidRDefault="004E6851" w:rsidP="00307D94">
      <w:pPr>
        <w:jc w:val="both"/>
        <w:rPr>
          <w:b/>
          <w:shd w:val="clear" w:color="auto" w:fill="FFC000"/>
          <w:lang w:val="en-GB"/>
        </w:rPr>
      </w:pPr>
      <w:r w:rsidRPr="004E6851">
        <w:rPr>
          <w:rFonts w:eastAsia="Calibri" w:cs="Times New Roman"/>
          <w:lang w:val="en-GB"/>
        </w:rPr>
        <w:t xml:space="preserve">This study explores the </w:t>
      </w:r>
      <w:r w:rsidRPr="009E42A3">
        <w:rPr>
          <w:rFonts w:eastAsia="Calibri" w:cs="Times New Roman"/>
          <w:b/>
          <w:lang w:val="en-GB"/>
        </w:rPr>
        <w:t>application of the EU Charter of Fundamental Rights to national measures</w:t>
      </w:r>
      <w:r w:rsidRPr="004E6851">
        <w:rPr>
          <w:rFonts w:eastAsia="Calibri" w:cs="Times New Roman"/>
          <w:lang w:val="en-GB"/>
        </w:rPr>
        <w:t xml:space="preserve"> and what </w:t>
      </w:r>
      <w:r w:rsidRPr="004E6851">
        <w:rPr>
          <w:rFonts w:cs="Arial"/>
          <w:shd w:val="clear" w:color="auto" w:fill="FBFBFB"/>
          <w:lang w:val="en-US"/>
        </w:rPr>
        <w:t>approach should be taken at EU level when examining national implementing measures of EU law raising fundamental rights issues.</w:t>
      </w:r>
      <w:r w:rsidR="00307D94" w:rsidRPr="00307D94">
        <w:rPr>
          <w:b/>
          <w:shd w:val="clear" w:color="auto" w:fill="FFC000"/>
          <w:lang w:val="en-GB"/>
        </w:rPr>
        <w:t xml:space="preserve"> </w:t>
      </w:r>
    </w:p>
    <w:p w14:paraId="2DED4C37" w14:textId="1CFC9949" w:rsidR="00307D94" w:rsidRPr="00F34291" w:rsidRDefault="009E42A3" w:rsidP="00307D94">
      <w:pPr>
        <w:jc w:val="both"/>
        <w:rPr>
          <w:b/>
          <w:color w:val="002060"/>
          <w:lang w:val="en-GB"/>
        </w:rPr>
      </w:pPr>
      <w:r>
        <w:rPr>
          <w:b/>
          <w:shd w:val="clear" w:color="auto" w:fill="FFC000"/>
          <w:lang w:val="en-GB"/>
        </w:rPr>
        <w:t xml:space="preserve">EVENT </w:t>
      </w:r>
      <w:r w:rsidR="00307D94">
        <w:rPr>
          <w:b/>
          <w:shd w:val="clear" w:color="auto" w:fill="FFC000"/>
          <w:lang w:val="en-GB"/>
        </w:rPr>
        <w:t>REPORT</w:t>
      </w:r>
      <w:r w:rsidRPr="009E42A3">
        <w:rPr>
          <w:b/>
          <w:lang w:val="en-GB"/>
        </w:rPr>
        <w:t xml:space="preserve"> </w:t>
      </w:r>
      <w:r w:rsidR="00307D94" w:rsidRPr="00307D94">
        <w:rPr>
          <w:b/>
          <w:lang w:val="en-GB"/>
        </w:rPr>
        <w:t xml:space="preserve">- </w:t>
      </w:r>
      <w:r w:rsidRPr="009E42A3">
        <w:rPr>
          <w:b/>
          <w:lang w:val="en-GB"/>
        </w:rPr>
        <w:t xml:space="preserve">European Union Agency for Fundamental Rights </w:t>
      </w:r>
      <w:r>
        <w:rPr>
          <w:b/>
          <w:lang w:val="en-GB"/>
        </w:rPr>
        <w:t>(</w:t>
      </w:r>
      <w:r w:rsidR="00307D94" w:rsidRPr="00307D94">
        <w:rPr>
          <w:b/>
          <w:lang w:val="en-GB"/>
        </w:rPr>
        <w:t>FRA</w:t>
      </w:r>
      <w:r>
        <w:rPr>
          <w:b/>
          <w:lang w:val="en-GB"/>
        </w:rPr>
        <w:t>) - N</w:t>
      </w:r>
      <w:r w:rsidR="00307D94" w:rsidRPr="00307D94">
        <w:rPr>
          <w:b/>
          <w:lang w:val="en-GB"/>
        </w:rPr>
        <w:t>ational stakeholders meeting report</w:t>
      </w:r>
    </w:p>
    <w:p w14:paraId="0391A2D1" w14:textId="77777777" w:rsidR="00307D94" w:rsidRPr="00F34291" w:rsidRDefault="00307D94" w:rsidP="00307D94">
      <w:pPr>
        <w:jc w:val="both"/>
        <w:rPr>
          <w:lang w:val="en-GB"/>
        </w:rPr>
      </w:pPr>
      <w:r>
        <w:rPr>
          <w:lang w:val="en-GB"/>
        </w:rPr>
        <w:t>On 19</w:t>
      </w:r>
      <w:r w:rsidRPr="00307D94">
        <w:rPr>
          <w:vertAlign w:val="superscript"/>
          <w:lang w:val="en-GB"/>
        </w:rPr>
        <w:t>th</w:t>
      </w:r>
      <w:r>
        <w:rPr>
          <w:lang w:val="en-GB"/>
        </w:rPr>
        <w:t xml:space="preserve"> and 20</w:t>
      </w:r>
      <w:r w:rsidRPr="00307D94">
        <w:rPr>
          <w:vertAlign w:val="superscript"/>
          <w:lang w:val="en-GB"/>
        </w:rPr>
        <w:t>th</w:t>
      </w:r>
      <w:r>
        <w:rPr>
          <w:lang w:val="en-GB"/>
        </w:rPr>
        <w:t xml:space="preserve"> November 2015, </w:t>
      </w:r>
      <w:r w:rsidRPr="00F34291">
        <w:rPr>
          <w:lang w:val="en-GB"/>
        </w:rPr>
        <w:t xml:space="preserve">Equinet and equality bodies gathered in Vienna to attend the FRA’s stakeholders meeting on </w:t>
      </w:r>
      <w:r w:rsidRPr="00307D94">
        <w:rPr>
          <w:b/>
          <w:lang w:val="en-GB"/>
        </w:rPr>
        <w:t>'Connecting FRA Bodies and Networks to help strengthen and protect Fundamental Rights nationally'</w:t>
      </w:r>
      <w:r w:rsidRPr="00F34291">
        <w:rPr>
          <w:lang w:val="en-GB"/>
        </w:rPr>
        <w:t>.</w:t>
      </w:r>
      <w:r>
        <w:rPr>
          <w:lang w:val="en-GB"/>
        </w:rPr>
        <w:t xml:space="preserve"> The event report can be found </w:t>
      </w:r>
      <w:hyperlink r:id="rId30" w:history="1">
        <w:r w:rsidRPr="00F34291">
          <w:rPr>
            <w:rStyle w:val="Hyperlink"/>
            <w:lang w:val="en-GB"/>
          </w:rPr>
          <w:t>here</w:t>
        </w:r>
      </w:hyperlink>
      <w:r>
        <w:rPr>
          <w:lang w:val="en-GB"/>
        </w:rPr>
        <w:t>.</w:t>
      </w:r>
    </w:p>
    <w:p w14:paraId="051FCE52" w14:textId="5836AA62" w:rsidR="00307D94" w:rsidRPr="00307D94" w:rsidRDefault="00307D94" w:rsidP="00307D94">
      <w:pPr>
        <w:jc w:val="both"/>
        <w:rPr>
          <w:b/>
          <w:lang w:val="en-GB"/>
        </w:rPr>
      </w:pPr>
      <w:r w:rsidRPr="00307D94">
        <w:rPr>
          <w:b/>
          <w:shd w:val="clear" w:color="auto" w:fill="FFFF00"/>
          <w:lang w:val="en-GB"/>
        </w:rPr>
        <w:t>EVENT</w:t>
      </w:r>
      <w:r w:rsidRPr="00307D94">
        <w:rPr>
          <w:b/>
          <w:lang w:val="en-GB"/>
        </w:rPr>
        <w:t xml:space="preserve"> </w:t>
      </w:r>
      <w:r w:rsidR="009E42A3">
        <w:rPr>
          <w:b/>
          <w:lang w:val="en-GB"/>
        </w:rPr>
        <w:t>–</w:t>
      </w:r>
      <w:r w:rsidRPr="00307D94">
        <w:rPr>
          <w:b/>
          <w:lang w:val="en-GB"/>
        </w:rPr>
        <w:t xml:space="preserve"> </w:t>
      </w:r>
      <w:r w:rsidR="009E42A3" w:rsidRPr="009E42A3">
        <w:rPr>
          <w:b/>
          <w:lang w:val="en-GB"/>
        </w:rPr>
        <w:t xml:space="preserve">European Union Agency for Fundamental Rights </w:t>
      </w:r>
      <w:r w:rsidR="009E42A3">
        <w:rPr>
          <w:b/>
          <w:lang w:val="en-GB"/>
        </w:rPr>
        <w:t>(</w:t>
      </w:r>
      <w:r w:rsidR="009E42A3" w:rsidRPr="00307D94">
        <w:rPr>
          <w:b/>
          <w:lang w:val="en-GB"/>
        </w:rPr>
        <w:t>FRA</w:t>
      </w:r>
      <w:r w:rsidR="009E42A3">
        <w:rPr>
          <w:b/>
          <w:lang w:val="en-GB"/>
        </w:rPr>
        <w:t>) - F</w:t>
      </w:r>
      <w:r w:rsidRPr="00307D94">
        <w:rPr>
          <w:b/>
          <w:lang w:val="en-GB"/>
        </w:rPr>
        <w:t>undamental Rights Forum: connect.reflect.act</w:t>
      </w:r>
      <w:r w:rsidR="009E42A3">
        <w:rPr>
          <w:b/>
          <w:lang w:val="en-GB"/>
        </w:rPr>
        <w:t xml:space="preserve"> (20</w:t>
      </w:r>
      <w:r w:rsidR="009E42A3" w:rsidRPr="009E42A3">
        <w:rPr>
          <w:b/>
          <w:vertAlign w:val="superscript"/>
          <w:lang w:val="en-GB"/>
        </w:rPr>
        <w:t>th</w:t>
      </w:r>
      <w:r w:rsidR="009E42A3">
        <w:rPr>
          <w:b/>
          <w:lang w:val="en-GB"/>
        </w:rPr>
        <w:t xml:space="preserve"> and 23</w:t>
      </w:r>
      <w:r w:rsidR="009E42A3" w:rsidRPr="009E42A3">
        <w:rPr>
          <w:b/>
          <w:vertAlign w:val="superscript"/>
          <w:lang w:val="en-GB"/>
        </w:rPr>
        <w:t>rd</w:t>
      </w:r>
      <w:r w:rsidR="009E42A3">
        <w:rPr>
          <w:b/>
          <w:lang w:val="en-GB"/>
        </w:rPr>
        <w:t xml:space="preserve"> June 2016)</w:t>
      </w:r>
    </w:p>
    <w:p w14:paraId="3C24D56D" w14:textId="79701770" w:rsidR="00EF446F" w:rsidRDefault="00307D94" w:rsidP="009E42A3">
      <w:pPr>
        <w:jc w:val="both"/>
        <w:rPr>
          <w:lang w:val="en-GB"/>
        </w:rPr>
      </w:pPr>
      <w:r>
        <w:rPr>
          <w:lang w:val="en-GB"/>
        </w:rPr>
        <w:t xml:space="preserve">From 20 to 23 June 2016, FRA is organising </w:t>
      </w:r>
      <w:r w:rsidRPr="009E42A3">
        <w:rPr>
          <w:b/>
          <w:lang w:val="en-GB"/>
        </w:rPr>
        <w:t>the first Fundamental Right</w:t>
      </w:r>
      <w:r w:rsidR="00B46448">
        <w:rPr>
          <w:b/>
          <w:lang w:val="en-GB"/>
        </w:rPr>
        <w:t>s</w:t>
      </w:r>
      <w:r w:rsidRPr="009E42A3">
        <w:rPr>
          <w:b/>
          <w:lang w:val="en-GB"/>
        </w:rPr>
        <w:t xml:space="preserve"> Forum</w:t>
      </w:r>
      <w:r>
        <w:rPr>
          <w:lang w:val="en-GB"/>
        </w:rPr>
        <w:t xml:space="preserve"> to </w:t>
      </w:r>
      <w:r w:rsidRPr="004D1EB3">
        <w:rPr>
          <w:lang w:val="en-GB"/>
        </w:rPr>
        <w:t>connect practitioners, grassroots workers, thinkers and high-level decision makers in an inclusive and open platform</w:t>
      </w:r>
      <w:r>
        <w:rPr>
          <w:lang w:val="en-GB"/>
        </w:rPr>
        <w:t>. The Fo</w:t>
      </w:r>
      <w:r w:rsidR="009E42A3">
        <w:rPr>
          <w:lang w:val="en-GB"/>
        </w:rPr>
        <w:t>rum will have three main themes:</w:t>
      </w:r>
      <w:r>
        <w:rPr>
          <w:lang w:val="en-GB"/>
        </w:rPr>
        <w:t xml:space="preserve"> </w:t>
      </w:r>
      <w:r w:rsidRPr="009E42A3">
        <w:rPr>
          <w:b/>
          <w:lang w:val="en-GB"/>
        </w:rPr>
        <w:t>inclusion, refugee protection and the digital age</w:t>
      </w:r>
      <w:r w:rsidR="009E42A3">
        <w:rPr>
          <w:lang w:val="en-GB"/>
        </w:rPr>
        <w:t>. M</w:t>
      </w:r>
      <w:r>
        <w:rPr>
          <w:lang w:val="en-GB"/>
        </w:rPr>
        <w:t xml:space="preserve">ore information, including the event brochure, can be found </w:t>
      </w:r>
      <w:hyperlink r:id="rId31" w:history="1">
        <w:r w:rsidRPr="004D1EB3">
          <w:rPr>
            <w:rStyle w:val="Hyperlink"/>
            <w:lang w:val="en-GB"/>
          </w:rPr>
          <w:t>here</w:t>
        </w:r>
      </w:hyperlink>
      <w:r>
        <w:rPr>
          <w:lang w:val="en-GB"/>
        </w:rPr>
        <w:t>.</w:t>
      </w:r>
    </w:p>
    <w:p w14:paraId="2663A751" w14:textId="77777777" w:rsidR="009E42A3" w:rsidRDefault="009E42A3" w:rsidP="009E42A3">
      <w:pPr>
        <w:jc w:val="both"/>
        <w:rPr>
          <w:lang w:val="en-GB"/>
        </w:rPr>
      </w:pPr>
    </w:p>
    <w:p w14:paraId="0343640D" w14:textId="77777777" w:rsidR="00D47BC3" w:rsidRDefault="00D47BC3" w:rsidP="009E42A3">
      <w:pPr>
        <w:jc w:val="both"/>
        <w:rPr>
          <w:lang w:val="en-GB"/>
        </w:rPr>
      </w:pPr>
    </w:p>
    <w:p w14:paraId="4F2A5C42" w14:textId="77777777" w:rsidR="00D47BC3" w:rsidRDefault="00D47BC3" w:rsidP="009E42A3">
      <w:pPr>
        <w:jc w:val="both"/>
        <w:rPr>
          <w:lang w:val="en-GB"/>
        </w:rPr>
      </w:pPr>
    </w:p>
    <w:p w14:paraId="2722241F" w14:textId="77777777" w:rsidR="00D47BC3" w:rsidRDefault="00D47BC3" w:rsidP="009E42A3">
      <w:pPr>
        <w:jc w:val="both"/>
        <w:rPr>
          <w:lang w:val="en-GB"/>
        </w:rPr>
      </w:pPr>
    </w:p>
    <w:p w14:paraId="63D0926D" w14:textId="77777777" w:rsidR="00D47BC3" w:rsidRDefault="00D47BC3" w:rsidP="009E42A3">
      <w:pPr>
        <w:jc w:val="both"/>
        <w:rPr>
          <w:lang w:val="en-GB"/>
        </w:rPr>
      </w:pPr>
    </w:p>
    <w:p w14:paraId="538E3F48" w14:textId="77777777" w:rsidR="00D47BC3" w:rsidRDefault="00D47BC3" w:rsidP="009E42A3">
      <w:pPr>
        <w:jc w:val="both"/>
        <w:rPr>
          <w:lang w:val="en-GB"/>
        </w:rPr>
      </w:pPr>
    </w:p>
    <w:p w14:paraId="4279531E" w14:textId="09FBE7BE" w:rsidR="00C842B1" w:rsidRPr="006075A4" w:rsidRDefault="00F93FE2" w:rsidP="009E42A3">
      <w:pPr>
        <w:pStyle w:val="Heading1"/>
        <w:pBdr>
          <w:top w:val="dotted" w:sz="4" w:space="1" w:color="auto"/>
          <w:bottom w:val="dotted" w:sz="4" w:space="1" w:color="auto"/>
        </w:pBdr>
        <w:rPr>
          <w:lang w:val="en-GB"/>
        </w:rPr>
      </w:pPr>
      <w:bookmarkStart w:id="17" w:name="_Toc418770748"/>
      <w:bookmarkStart w:id="18" w:name="_Ref418784315"/>
      <w:bookmarkStart w:id="19" w:name="_Ref418784316"/>
      <w:bookmarkEnd w:id="9"/>
      <w:bookmarkEnd w:id="10"/>
      <w:r>
        <w:rPr>
          <w:lang w:val="en-GB"/>
        </w:rPr>
        <w:t>Race/ethnic origin</w:t>
      </w:r>
    </w:p>
    <w:p w14:paraId="1FF61614" w14:textId="77777777" w:rsidR="009E42A3" w:rsidRDefault="009E42A3" w:rsidP="00D926DA">
      <w:pPr>
        <w:rPr>
          <w:lang w:val="en-GB"/>
        </w:rPr>
      </w:pPr>
      <w:bookmarkStart w:id="20" w:name="_Ref421267530"/>
    </w:p>
    <w:p w14:paraId="0A693BAE" w14:textId="30E4F8FD" w:rsidR="009E42A3" w:rsidRPr="009E42A3" w:rsidRDefault="00DE3EC3" w:rsidP="009E42A3">
      <w:pPr>
        <w:pStyle w:val="Heading2"/>
        <w:jc w:val="both"/>
        <w:rPr>
          <w:lang w:val="en-GB"/>
        </w:rPr>
      </w:pPr>
      <w:r>
        <w:rPr>
          <w:lang w:val="en-GB"/>
        </w:rPr>
        <w:t>Policy</w:t>
      </w:r>
      <w:r w:rsidR="00EF446F">
        <w:rPr>
          <w:lang w:val="en-GB"/>
        </w:rPr>
        <w:t xml:space="preserve"> developments</w:t>
      </w:r>
      <w:r w:rsidR="009E42A3">
        <w:rPr>
          <w:lang w:val="en-GB"/>
        </w:rPr>
        <w:tab/>
      </w:r>
      <w:r w:rsidR="009E42A3">
        <w:rPr>
          <w:lang w:val="en-GB"/>
        </w:rPr>
        <w:br/>
      </w:r>
    </w:p>
    <w:p w14:paraId="358226DD" w14:textId="649B4BED" w:rsidR="00D95D5E" w:rsidRPr="009E42A3" w:rsidRDefault="009E42A3" w:rsidP="00C0290D">
      <w:pPr>
        <w:pStyle w:val="ListParagraph"/>
        <w:numPr>
          <w:ilvl w:val="0"/>
          <w:numId w:val="6"/>
        </w:numPr>
        <w:jc w:val="both"/>
        <w:rPr>
          <w:b/>
          <w:color w:val="002060"/>
          <w:lang w:val="en-GB"/>
        </w:rPr>
      </w:pPr>
      <w:r>
        <w:rPr>
          <w:b/>
          <w:color w:val="002060"/>
          <w:lang w:val="en-GB"/>
        </w:rPr>
        <w:t>12</w:t>
      </w:r>
      <w:r w:rsidRPr="009E42A3">
        <w:rPr>
          <w:b/>
          <w:color w:val="002060"/>
          <w:vertAlign w:val="superscript"/>
          <w:lang w:val="en-GB"/>
        </w:rPr>
        <w:t>th</w:t>
      </w:r>
      <w:r>
        <w:rPr>
          <w:b/>
          <w:color w:val="002060"/>
          <w:lang w:val="en-GB"/>
        </w:rPr>
        <w:t xml:space="preserve"> – 21</w:t>
      </w:r>
      <w:r w:rsidRPr="009E42A3">
        <w:rPr>
          <w:b/>
          <w:color w:val="002060"/>
          <w:vertAlign w:val="superscript"/>
          <w:lang w:val="en-GB"/>
        </w:rPr>
        <w:t>st</w:t>
      </w:r>
      <w:r>
        <w:rPr>
          <w:b/>
          <w:color w:val="002060"/>
          <w:lang w:val="en-GB"/>
        </w:rPr>
        <w:t xml:space="preserve"> March 2016: </w:t>
      </w:r>
      <w:r w:rsidR="004141B8" w:rsidRPr="009E42A3">
        <w:rPr>
          <w:b/>
          <w:color w:val="002060"/>
          <w:lang w:val="en-GB"/>
        </w:rPr>
        <w:t>European Action Week against Racism</w:t>
      </w:r>
    </w:p>
    <w:p w14:paraId="77B0DAE6" w14:textId="4DADF39A" w:rsidR="00D95D5E" w:rsidRDefault="00D95D5E" w:rsidP="003334CD">
      <w:pPr>
        <w:jc w:val="both"/>
        <w:rPr>
          <w:lang w:val="en-GB"/>
        </w:rPr>
      </w:pPr>
      <w:r>
        <w:rPr>
          <w:lang w:val="en-GB"/>
        </w:rPr>
        <w:t xml:space="preserve">Every year, </w:t>
      </w:r>
      <w:hyperlink r:id="rId32" w:history="1">
        <w:r>
          <w:rPr>
            <w:rStyle w:val="Hyperlink"/>
            <w:lang w:val="en-GB"/>
          </w:rPr>
          <w:t>UNITED for intercultural action</w:t>
        </w:r>
      </w:hyperlink>
      <w:r w:rsidR="009E42A3">
        <w:rPr>
          <w:lang w:val="en-GB"/>
        </w:rPr>
        <w:t xml:space="preserve"> organises</w:t>
      </w:r>
      <w:r>
        <w:rPr>
          <w:lang w:val="en-GB"/>
        </w:rPr>
        <w:t xml:space="preserve"> the </w:t>
      </w:r>
      <w:hyperlink r:id="rId33" w:history="1">
        <w:r>
          <w:rPr>
            <w:rStyle w:val="Hyperlink"/>
            <w:lang w:val="en-GB"/>
          </w:rPr>
          <w:t>European Action Week against Racism</w:t>
        </w:r>
      </w:hyperlink>
      <w:r>
        <w:rPr>
          <w:lang w:val="en-GB"/>
        </w:rPr>
        <w:t xml:space="preserve">. This year, </w:t>
      </w:r>
      <w:r w:rsidRPr="00D418BF">
        <w:rPr>
          <w:bCs/>
          <w:lang w:val="en-GB"/>
        </w:rPr>
        <w:t>the campaign will start on 12</w:t>
      </w:r>
      <w:r w:rsidRPr="00D418BF">
        <w:rPr>
          <w:bCs/>
          <w:vertAlign w:val="superscript"/>
          <w:lang w:val="en-GB"/>
        </w:rPr>
        <w:t>th</w:t>
      </w:r>
      <w:r w:rsidRPr="00D418BF">
        <w:rPr>
          <w:bCs/>
          <w:lang w:val="en-GB"/>
        </w:rPr>
        <w:t xml:space="preserve"> March and finish on 21</w:t>
      </w:r>
      <w:r w:rsidRPr="00D418BF">
        <w:rPr>
          <w:bCs/>
          <w:vertAlign w:val="superscript"/>
          <w:lang w:val="en-GB"/>
        </w:rPr>
        <w:t>st</w:t>
      </w:r>
      <w:r w:rsidRPr="00D418BF">
        <w:rPr>
          <w:bCs/>
          <w:lang w:val="en-GB"/>
        </w:rPr>
        <w:t xml:space="preserve"> March</w:t>
      </w:r>
      <w:r w:rsidRPr="00D418BF">
        <w:rPr>
          <w:lang w:val="en-GB"/>
        </w:rPr>
        <w:t>. You can find more information about t</w:t>
      </w:r>
      <w:r>
        <w:rPr>
          <w:lang w:val="en-GB"/>
        </w:rPr>
        <w:t xml:space="preserve">he campaign </w:t>
      </w:r>
      <w:hyperlink r:id="rId34" w:history="1">
        <w:r>
          <w:rPr>
            <w:rStyle w:val="Hyperlink"/>
            <w:lang w:val="en-GB"/>
          </w:rPr>
          <w:t>here</w:t>
        </w:r>
      </w:hyperlink>
      <w:r>
        <w:rPr>
          <w:lang w:val="en-GB"/>
        </w:rPr>
        <w:t xml:space="preserve">. </w:t>
      </w:r>
      <w:r w:rsidR="004141B8">
        <w:rPr>
          <w:lang w:val="en-GB"/>
        </w:rPr>
        <w:t xml:space="preserve">Equinet will also </w:t>
      </w:r>
      <w:r w:rsidR="00D926DA">
        <w:rPr>
          <w:lang w:val="en-GB"/>
        </w:rPr>
        <w:t>run</w:t>
      </w:r>
      <w:r w:rsidR="004141B8" w:rsidRPr="009E42A3">
        <w:rPr>
          <w:b/>
          <w:lang w:val="en-GB"/>
        </w:rPr>
        <w:t xml:space="preserve"> a campaign on social media</w:t>
      </w:r>
      <w:r w:rsidR="004141B8">
        <w:rPr>
          <w:lang w:val="en-GB"/>
        </w:rPr>
        <w:t xml:space="preserve"> to raise awareness on its members’ work to prevent and fight racism. </w:t>
      </w:r>
    </w:p>
    <w:p w14:paraId="6B8CBEC1" w14:textId="495DBF34" w:rsidR="00501C96" w:rsidRPr="009E42A3" w:rsidRDefault="009E42A3" w:rsidP="00C0290D">
      <w:pPr>
        <w:pStyle w:val="ListParagraph"/>
        <w:numPr>
          <w:ilvl w:val="0"/>
          <w:numId w:val="6"/>
        </w:numPr>
        <w:jc w:val="both"/>
        <w:rPr>
          <w:b/>
          <w:color w:val="002060"/>
          <w:lang w:val="en-GB"/>
        </w:rPr>
      </w:pPr>
      <w:r>
        <w:rPr>
          <w:b/>
          <w:color w:val="002060"/>
          <w:lang w:val="en-GB"/>
        </w:rPr>
        <w:t xml:space="preserve">Council of Europe Commissioner for Human Rights - </w:t>
      </w:r>
      <w:r w:rsidR="00501C96" w:rsidRPr="009E42A3">
        <w:rPr>
          <w:b/>
          <w:color w:val="002060"/>
          <w:lang w:val="en-GB"/>
        </w:rPr>
        <w:t>Letters on the forced eviction</w:t>
      </w:r>
      <w:r w:rsidR="00CC57B6" w:rsidRPr="009E42A3">
        <w:rPr>
          <w:b/>
          <w:color w:val="002060"/>
          <w:lang w:val="en-GB"/>
        </w:rPr>
        <w:t>s</w:t>
      </w:r>
      <w:r w:rsidR="00501C96" w:rsidRPr="009E42A3">
        <w:rPr>
          <w:b/>
          <w:color w:val="002060"/>
          <w:lang w:val="en-GB"/>
        </w:rPr>
        <w:t xml:space="preserve"> of Roma</w:t>
      </w:r>
    </w:p>
    <w:p w14:paraId="292643D2" w14:textId="429A5346" w:rsidR="00D95D5E" w:rsidRDefault="003334CD" w:rsidP="009E42A3">
      <w:pPr>
        <w:jc w:val="both"/>
        <w:rPr>
          <w:bCs/>
          <w:lang w:val="en-US"/>
        </w:rPr>
      </w:pPr>
      <w:r w:rsidRPr="003334CD">
        <w:rPr>
          <w:bCs/>
          <w:lang w:val="en-US"/>
        </w:rPr>
        <w:t xml:space="preserve">Council of Europe Commissioner for Human Rights, Nils Muižnieks, </w:t>
      </w:r>
      <w:r w:rsidR="009E42A3">
        <w:rPr>
          <w:b/>
          <w:bCs/>
          <w:lang w:val="en-US"/>
        </w:rPr>
        <w:t>sent</w:t>
      </w:r>
      <w:r w:rsidRPr="009E42A3">
        <w:rPr>
          <w:b/>
          <w:bCs/>
          <w:lang w:val="en-US"/>
        </w:rPr>
        <w:t xml:space="preserve"> letters to seven states</w:t>
      </w:r>
      <w:r w:rsidR="009E42A3">
        <w:rPr>
          <w:bCs/>
          <w:lang w:val="en-US"/>
        </w:rPr>
        <w:t xml:space="preserve"> (</w:t>
      </w:r>
      <w:r w:rsidR="009E42A3" w:rsidRPr="009E42A3">
        <w:rPr>
          <w:bCs/>
          <w:lang w:val="en-US"/>
        </w:rPr>
        <w:t>Albania, Bulgaria, France, Hungary, Italy, Serbia and Sweden</w:t>
      </w:r>
      <w:r w:rsidR="009E42A3">
        <w:rPr>
          <w:bCs/>
          <w:lang w:val="en-US"/>
        </w:rPr>
        <w:t xml:space="preserve">) </w:t>
      </w:r>
      <w:r w:rsidRPr="00DE3EC3">
        <w:rPr>
          <w:b/>
          <w:bCs/>
          <w:lang w:val="en-US"/>
        </w:rPr>
        <w:t>urg</w:t>
      </w:r>
      <w:r w:rsidRPr="009E42A3">
        <w:rPr>
          <w:b/>
          <w:bCs/>
          <w:lang w:val="en-US"/>
        </w:rPr>
        <w:t>ing the interruption of forced evictions of Roma people</w:t>
      </w:r>
      <w:r w:rsidRPr="003334CD">
        <w:rPr>
          <w:bCs/>
          <w:lang w:val="en-US"/>
        </w:rPr>
        <w:t xml:space="preserve">. </w:t>
      </w:r>
      <w:r w:rsidR="009E42A3">
        <w:rPr>
          <w:bCs/>
          <w:lang w:val="en-US"/>
        </w:rPr>
        <w:t xml:space="preserve">The </w:t>
      </w:r>
      <w:r w:rsidRPr="003334CD">
        <w:rPr>
          <w:bCs/>
          <w:lang w:val="en-US"/>
        </w:rPr>
        <w:t xml:space="preserve">letters can be found </w:t>
      </w:r>
      <w:hyperlink r:id="rId35" w:history="1">
        <w:r w:rsidRPr="003334CD">
          <w:rPr>
            <w:rStyle w:val="Hyperlink"/>
            <w:bCs/>
            <w:lang w:val="en-US"/>
          </w:rPr>
          <w:t>here</w:t>
        </w:r>
      </w:hyperlink>
      <w:r w:rsidRPr="003334CD">
        <w:rPr>
          <w:bCs/>
          <w:lang w:val="en-US"/>
        </w:rPr>
        <w:t>.</w:t>
      </w:r>
    </w:p>
    <w:p w14:paraId="5B8AB947" w14:textId="5C240DA3" w:rsidR="003F59DF" w:rsidRPr="003F59DF" w:rsidRDefault="003F59DF" w:rsidP="00C0290D">
      <w:pPr>
        <w:pStyle w:val="ListParagraph"/>
        <w:numPr>
          <w:ilvl w:val="0"/>
          <w:numId w:val="6"/>
        </w:numPr>
        <w:jc w:val="both"/>
        <w:rPr>
          <w:b/>
          <w:bCs/>
          <w:color w:val="002060"/>
          <w:lang w:val="en-GB"/>
        </w:rPr>
      </w:pPr>
      <w:r w:rsidRPr="003F59DF">
        <w:rPr>
          <w:b/>
          <w:bCs/>
          <w:color w:val="002060"/>
          <w:lang w:val="en-GB"/>
        </w:rPr>
        <w:t>Thematic Action Plan on the Inclusion of Roma and Travellers</w:t>
      </w:r>
    </w:p>
    <w:p w14:paraId="6E2C176E" w14:textId="38BE5855" w:rsidR="003F59DF" w:rsidRPr="003F59DF" w:rsidRDefault="003F59DF" w:rsidP="003F59DF">
      <w:pPr>
        <w:jc w:val="both"/>
        <w:rPr>
          <w:bCs/>
          <w:lang w:val="en-GB"/>
        </w:rPr>
      </w:pPr>
      <w:r w:rsidRPr="003F59DF">
        <w:rPr>
          <w:bCs/>
          <w:lang w:val="en-GB"/>
        </w:rPr>
        <w:t xml:space="preserve">Council of Europe’s Committee of Ministers approved </w:t>
      </w:r>
      <w:r>
        <w:rPr>
          <w:bCs/>
          <w:lang w:val="en-GB"/>
        </w:rPr>
        <w:t xml:space="preserve">the new </w:t>
      </w:r>
      <w:hyperlink r:id="rId36" w:history="1">
        <w:r w:rsidRPr="003F59DF">
          <w:rPr>
            <w:rStyle w:val="Hyperlink"/>
            <w:bCs/>
            <w:lang w:val="en-GB"/>
          </w:rPr>
          <w:t>thematic action plan</w:t>
        </w:r>
      </w:hyperlink>
      <w:r>
        <w:rPr>
          <w:bCs/>
          <w:lang w:val="en-GB"/>
        </w:rPr>
        <w:t xml:space="preserve"> to </w:t>
      </w:r>
      <w:r w:rsidRPr="003F59DF">
        <w:rPr>
          <w:b/>
          <w:bCs/>
          <w:lang w:val="en-GB"/>
        </w:rPr>
        <w:t>promote innovative programmes</w:t>
      </w:r>
      <w:r w:rsidRPr="003F59DF">
        <w:rPr>
          <w:bCs/>
          <w:lang w:val="en-GB"/>
        </w:rPr>
        <w:t xml:space="preserve"> to empower Roma and Traveller women and girls and protect the most vulnerable groups.</w:t>
      </w:r>
      <w:r w:rsidRPr="003F59DF">
        <w:rPr>
          <w:lang w:val="en-US"/>
        </w:rPr>
        <w:t xml:space="preserve"> </w:t>
      </w:r>
      <w:r>
        <w:rPr>
          <w:lang w:val="en-US"/>
        </w:rPr>
        <w:t xml:space="preserve">The </w:t>
      </w:r>
      <w:r w:rsidRPr="003F59DF">
        <w:rPr>
          <w:bCs/>
          <w:lang w:val="en-GB"/>
        </w:rPr>
        <w:t>plan (2016-2019) will include awareness raising activities at a local level to help curb early or forced marriages, domestic violence, trafficking and forced begging in Roma communities by addressing negative consequences of such activities. It will foster school attendance and help prevent early school-leaving and absenteeism, particularly of girls.</w:t>
      </w:r>
    </w:p>
    <w:p w14:paraId="201E6540" w14:textId="77777777" w:rsidR="00D926DA" w:rsidRPr="009E42A3" w:rsidRDefault="00D926DA" w:rsidP="009E42A3">
      <w:pPr>
        <w:jc w:val="both"/>
        <w:rPr>
          <w:bCs/>
          <w:lang w:val="en-US"/>
        </w:rPr>
      </w:pPr>
    </w:p>
    <w:p w14:paraId="2776F2F9" w14:textId="77777777" w:rsidR="00EF446F" w:rsidRDefault="00EF446F" w:rsidP="003334CD">
      <w:pPr>
        <w:pStyle w:val="Heading2"/>
        <w:jc w:val="both"/>
        <w:rPr>
          <w:lang w:val="en-GB"/>
        </w:rPr>
      </w:pPr>
      <w:r>
        <w:rPr>
          <w:lang w:val="en-GB"/>
        </w:rPr>
        <w:t>Publications, funding opportunities and events</w:t>
      </w:r>
    </w:p>
    <w:p w14:paraId="79CED96E" w14:textId="11F0A31A" w:rsidR="007A61FC" w:rsidRPr="00D418BF" w:rsidRDefault="009E42A3" w:rsidP="00EF446F">
      <w:pPr>
        <w:rPr>
          <w:b/>
          <w:lang w:val="en-GB"/>
        </w:rPr>
      </w:pPr>
      <w:r>
        <w:rPr>
          <w:b/>
          <w:color w:val="FFFFFF" w:themeColor="background1"/>
          <w:shd w:val="clear" w:color="auto" w:fill="7030A0"/>
          <w:lang w:val="en-GB"/>
        </w:rPr>
        <w:br/>
      </w:r>
      <w:r w:rsidR="00D418BF">
        <w:rPr>
          <w:b/>
          <w:color w:val="FFFFFF" w:themeColor="background1"/>
          <w:shd w:val="clear" w:color="auto" w:fill="7030A0"/>
          <w:lang w:val="en-GB"/>
        </w:rPr>
        <w:t>PUBLICATION</w:t>
      </w:r>
      <w:r w:rsidR="00D418BF">
        <w:rPr>
          <w:rFonts w:ascii="Calibri" w:eastAsia="Calibri" w:hAnsi="Calibri" w:cs="Times New Roman"/>
          <w:lang w:val="en-GB"/>
        </w:rPr>
        <w:t xml:space="preserve"> </w:t>
      </w:r>
      <w:r w:rsidR="00D418BF" w:rsidRPr="00735BC7">
        <w:rPr>
          <w:rFonts w:ascii="Calibri" w:eastAsia="Calibri" w:hAnsi="Calibri" w:cs="Times New Roman"/>
          <w:lang w:val="en-GB"/>
        </w:rPr>
        <w:t>-</w:t>
      </w:r>
      <w:r w:rsidR="00D418BF">
        <w:rPr>
          <w:rFonts w:ascii="Calibri" w:eastAsia="Calibri" w:hAnsi="Calibri" w:cs="Times New Roman"/>
          <w:lang w:val="en-GB"/>
        </w:rPr>
        <w:t xml:space="preserve"> </w:t>
      </w:r>
      <w:r w:rsidR="00D418BF" w:rsidRPr="00D418BF">
        <w:rPr>
          <w:rFonts w:ascii="Calibri" w:eastAsia="Calibri" w:hAnsi="Calibri" w:cs="Times New Roman"/>
          <w:b/>
          <w:lang w:val="en-GB"/>
        </w:rPr>
        <w:t xml:space="preserve">European Network against Racism (ENAR) </w:t>
      </w:r>
      <w:r w:rsidR="00D418BF">
        <w:rPr>
          <w:rFonts w:ascii="Calibri" w:eastAsia="Calibri" w:hAnsi="Calibri" w:cs="Times New Roman"/>
          <w:lang w:val="en-GB"/>
        </w:rPr>
        <w:t xml:space="preserve">- </w:t>
      </w:r>
      <w:hyperlink r:id="rId37" w:history="1">
        <w:r w:rsidR="00D418BF" w:rsidRPr="00D418BF">
          <w:rPr>
            <w:rStyle w:val="Hyperlink"/>
            <w:rFonts w:ascii="Calibri" w:eastAsia="Calibri" w:hAnsi="Calibri" w:cs="Times New Roman"/>
            <w:lang w:val="en-GB"/>
          </w:rPr>
          <w:t>Impact in 2015 and plans for 2016</w:t>
        </w:r>
      </w:hyperlink>
    </w:p>
    <w:p w14:paraId="0EDAC546" w14:textId="0EE5B27A" w:rsidR="007A61FC" w:rsidRDefault="00D013AD" w:rsidP="009E42A3">
      <w:pPr>
        <w:rPr>
          <w:lang w:val="en-GB"/>
        </w:rPr>
      </w:pPr>
      <w:r>
        <w:rPr>
          <w:b/>
          <w:color w:val="FFFFFF" w:themeColor="background1"/>
          <w:shd w:val="clear" w:color="auto" w:fill="7030A0"/>
          <w:lang w:val="en-GB"/>
        </w:rPr>
        <w:t>PUBLICATION</w:t>
      </w:r>
      <w:r>
        <w:rPr>
          <w:rFonts w:ascii="Calibri" w:eastAsia="Calibri" w:hAnsi="Calibri" w:cs="Times New Roman"/>
          <w:lang w:val="en-GB"/>
        </w:rPr>
        <w:t xml:space="preserve"> </w:t>
      </w:r>
      <w:r w:rsidRPr="00735BC7">
        <w:rPr>
          <w:rFonts w:ascii="Calibri" w:eastAsia="Calibri" w:hAnsi="Calibri" w:cs="Times New Roman"/>
          <w:lang w:val="en-GB"/>
        </w:rPr>
        <w:t>-</w:t>
      </w:r>
      <w:r>
        <w:rPr>
          <w:rFonts w:ascii="Calibri" w:eastAsia="Calibri" w:hAnsi="Calibri" w:cs="Times New Roman"/>
          <w:lang w:val="en-GB"/>
        </w:rPr>
        <w:t xml:space="preserve"> </w:t>
      </w:r>
      <w:r w:rsidRPr="00D013AD">
        <w:rPr>
          <w:rFonts w:ascii="Calibri" w:eastAsia="Calibri" w:hAnsi="Calibri" w:cs="Times New Roman"/>
          <w:b/>
          <w:lang w:val="en-GB"/>
        </w:rPr>
        <w:t>European Commission against Racism and Intolerance (ECRI)</w:t>
      </w:r>
      <w:r w:rsidR="009E42A3">
        <w:rPr>
          <w:rFonts w:ascii="Calibri" w:eastAsia="Calibri" w:hAnsi="Calibri" w:cs="Times New Roman"/>
          <w:b/>
          <w:lang w:val="en-GB"/>
        </w:rPr>
        <w:t xml:space="preserve"> </w:t>
      </w:r>
      <w:r w:rsidR="009E42A3">
        <w:rPr>
          <w:lang w:val="en-GB"/>
        </w:rPr>
        <w:t>- R</w:t>
      </w:r>
      <w:r w:rsidR="00074333">
        <w:rPr>
          <w:lang w:val="en-GB"/>
        </w:rPr>
        <w:t xml:space="preserve">eports </w:t>
      </w:r>
      <w:r w:rsidR="009E42A3">
        <w:rPr>
          <w:lang w:val="en-GB"/>
        </w:rPr>
        <w:t>on</w:t>
      </w:r>
      <w:r w:rsidR="00074333">
        <w:rPr>
          <w:lang w:val="en-GB"/>
        </w:rPr>
        <w:t xml:space="preserve"> </w:t>
      </w:r>
      <w:hyperlink r:id="rId38" w:history="1">
        <w:r w:rsidR="00074333" w:rsidRPr="00074333">
          <w:rPr>
            <w:rStyle w:val="Hyperlink"/>
            <w:lang w:val="en-GB"/>
          </w:rPr>
          <w:t>France</w:t>
        </w:r>
      </w:hyperlink>
      <w:r w:rsidR="00074333">
        <w:rPr>
          <w:lang w:val="en-GB"/>
        </w:rPr>
        <w:t xml:space="preserve">, </w:t>
      </w:r>
      <w:hyperlink r:id="rId39" w:history="1">
        <w:r w:rsidR="00074333" w:rsidRPr="00074333">
          <w:rPr>
            <w:rStyle w:val="Hyperlink"/>
            <w:lang w:val="en-GB"/>
          </w:rPr>
          <w:t>Monaco</w:t>
        </w:r>
      </w:hyperlink>
      <w:r w:rsidR="00074333">
        <w:rPr>
          <w:lang w:val="en-GB"/>
        </w:rPr>
        <w:t xml:space="preserve">, </w:t>
      </w:r>
      <w:hyperlink r:id="rId40" w:history="1">
        <w:r w:rsidR="00074333" w:rsidRPr="00074333">
          <w:rPr>
            <w:rStyle w:val="Hyperlink"/>
            <w:lang w:val="en-GB"/>
          </w:rPr>
          <w:t>Liechtenstein and Ireland</w:t>
        </w:r>
      </w:hyperlink>
      <w:r w:rsidR="00074333">
        <w:rPr>
          <w:lang w:val="en-GB"/>
        </w:rPr>
        <w:t>.</w:t>
      </w:r>
    </w:p>
    <w:p w14:paraId="71E8D783" w14:textId="77777777" w:rsidR="004B0ABE" w:rsidRDefault="004B0ABE" w:rsidP="004B0ABE">
      <w:pPr>
        <w:spacing w:line="240" w:lineRule="auto"/>
        <w:jc w:val="both"/>
        <w:rPr>
          <w:lang w:val="en-GB"/>
        </w:rPr>
      </w:pPr>
      <w:r>
        <w:rPr>
          <w:b/>
          <w:color w:val="FFFFFF" w:themeColor="background1"/>
          <w:shd w:val="clear" w:color="auto" w:fill="00B050"/>
          <w:lang w:val="en-GB"/>
        </w:rPr>
        <w:t>FUNDING OPPORTUNITY</w:t>
      </w:r>
      <w:r>
        <w:rPr>
          <w:color w:val="FFFFFF" w:themeColor="background1"/>
          <w:lang w:val="en-GB"/>
        </w:rPr>
        <w:t xml:space="preserve"> </w:t>
      </w:r>
      <w:r>
        <w:rPr>
          <w:lang w:val="en-GB"/>
        </w:rPr>
        <w:t xml:space="preserve">– </w:t>
      </w:r>
      <w:r>
        <w:rPr>
          <w:b/>
          <w:lang w:val="en-GB"/>
        </w:rPr>
        <w:t>European Commission</w:t>
      </w:r>
      <w:r>
        <w:rPr>
          <w:lang w:val="en-GB"/>
        </w:rPr>
        <w:t xml:space="preserve"> - </w:t>
      </w:r>
      <w:hyperlink r:id="rId41" w:history="1">
        <w:r>
          <w:rPr>
            <w:rStyle w:val="Hyperlink"/>
            <w:lang w:val="en-GB"/>
          </w:rPr>
          <w:t>Action grants to support national and transnational projects on non-discrimination and Roma integration</w:t>
        </w:r>
      </w:hyperlink>
      <w:r>
        <w:rPr>
          <w:lang w:val="en-GB"/>
        </w:rPr>
        <w:t xml:space="preserve"> (Deadline: 12</w:t>
      </w:r>
      <w:r>
        <w:rPr>
          <w:vertAlign w:val="superscript"/>
          <w:lang w:val="en-GB"/>
        </w:rPr>
        <w:t>th</w:t>
      </w:r>
      <w:r>
        <w:rPr>
          <w:lang w:val="en-GB"/>
        </w:rPr>
        <w:t xml:space="preserve"> April 2016)</w:t>
      </w:r>
    </w:p>
    <w:p w14:paraId="01A49AF2" w14:textId="77777777" w:rsidR="004B0ABE" w:rsidRDefault="004B0ABE" w:rsidP="00EF446F">
      <w:pPr>
        <w:rPr>
          <w:lang w:val="en-GB"/>
        </w:rPr>
      </w:pPr>
    </w:p>
    <w:p w14:paraId="3F229C6B" w14:textId="77777777" w:rsidR="00E409BB" w:rsidRDefault="00E409BB" w:rsidP="00EF446F">
      <w:pPr>
        <w:rPr>
          <w:lang w:val="en-GB"/>
        </w:rPr>
      </w:pPr>
    </w:p>
    <w:p w14:paraId="7B9E67F1" w14:textId="77777777" w:rsidR="00E409BB" w:rsidRDefault="00E409BB" w:rsidP="00E409BB">
      <w:pPr>
        <w:pStyle w:val="Heading1"/>
        <w:pBdr>
          <w:top w:val="dotted" w:sz="4" w:space="1" w:color="auto"/>
          <w:bottom w:val="dotted" w:sz="4" w:space="1" w:color="auto"/>
        </w:pBdr>
        <w:spacing w:line="240" w:lineRule="auto"/>
        <w:rPr>
          <w:lang w:val="en-GB"/>
        </w:rPr>
      </w:pPr>
      <w:bookmarkStart w:id="21" w:name="_Religion_and_Belief"/>
      <w:bookmarkStart w:id="22" w:name="_Ref442453631"/>
      <w:bookmarkStart w:id="23" w:name="_Ref421267533"/>
      <w:bookmarkStart w:id="24" w:name="_Ref418784327"/>
      <w:bookmarkStart w:id="25" w:name="_Toc418770749"/>
      <w:bookmarkEnd w:id="21"/>
      <w:r>
        <w:rPr>
          <w:lang w:val="en-GB"/>
        </w:rPr>
        <w:t>Religion and Belief</w:t>
      </w:r>
      <w:bookmarkEnd w:id="22"/>
      <w:bookmarkEnd w:id="23"/>
      <w:bookmarkEnd w:id="24"/>
      <w:bookmarkEnd w:id="25"/>
    </w:p>
    <w:p w14:paraId="2DD783ED" w14:textId="77777777" w:rsidR="00E409BB" w:rsidRDefault="00E409BB" w:rsidP="00EF446F">
      <w:pPr>
        <w:rPr>
          <w:lang w:val="en-GB"/>
        </w:rPr>
      </w:pPr>
    </w:p>
    <w:p w14:paraId="07068709" w14:textId="75DC41C6" w:rsidR="00E409BB" w:rsidRDefault="00E409BB" w:rsidP="00E409BB">
      <w:pPr>
        <w:pStyle w:val="Heading2"/>
        <w:rPr>
          <w:lang w:val="en-GB"/>
        </w:rPr>
      </w:pPr>
      <w:r>
        <w:rPr>
          <w:lang w:val="en-GB"/>
        </w:rPr>
        <w:t>Policy developments</w:t>
      </w:r>
      <w:r>
        <w:rPr>
          <w:lang w:val="en-GB"/>
        </w:rPr>
        <w:tab/>
      </w:r>
    </w:p>
    <w:p w14:paraId="1DD448D6" w14:textId="0460633F" w:rsidR="00E409BB" w:rsidRPr="00060AE9" w:rsidRDefault="00E409BB" w:rsidP="00C0290D">
      <w:pPr>
        <w:pStyle w:val="ListParagraph"/>
        <w:numPr>
          <w:ilvl w:val="0"/>
          <w:numId w:val="6"/>
        </w:numPr>
        <w:rPr>
          <w:b/>
          <w:color w:val="002060"/>
          <w:lang w:val="en-GB"/>
        </w:rPr>
      </w:pPr>
      <w:r w:rsidRPr="00060AE9">
        <w:rPr>
          <w:b/>
          <w:color w:val="002060"/>
          <w:lang w:val="en-GB"/>
        </w:rPr>
        <w:t>ENAR project on the impact of Islamophobia on Muslim women</w:t>
      </w:r>
    </w:p>
    <w:p w14:paraId="00CC2A6D" w14:textId="257BB5CE" w:rsidR="00E409BB" w:rsidRPr="00060AE9" w:rsidRDefault="00060AE9" w:rsidP="00E409BB">
      <w:pPr>
        <w:rPr>
          <w:lang w:val="en-GB"/>
        </w:rPr>
      </w:pPr>
      <w:r w:rsidRPr="00060AE9">
        <w:rPr>
          <w:lang w:val="en-GB"/>
        </w:rPr>
        <w:t xml:space="preserve">ENAR launched a project to document the disproportionate effect of Islamophobia on women and develop alliances between the anti-racism and feminist movements in order to better address the intersectional discrimination affecting Muslim women. More information can be found </w:t>
      </w:r>
      <w:hyperlink r:id="rId42" w:history="1">
        <w:r w:rsidRPr="00060AE9">
          <w:rPr>
            <w:rStyle w:val="Hyperlink"/>
            <w:lang w:val="en-GB"/>
          </w:rPr>
          <w:t>here</w:t>
        </w:r>
      </w:hyperlink>
      <w:r w:rsidRPr="00060AE9">
        <w:rPr>
          <w:lang w:val="en-GB"/>
        </w:rPr>
        <w:t>.</w:t>
      </w:r>
    </w:p>
    <w:p w14:paraId="2669B615" w14:textId="77777777" w:rsidR="00060AE9" w:rsidRPr="00E409BB" w:rsidRDefault="00060AE9" w:rsidP="00E409BB">
      <w:pPr>
        <w:rPr>
          <w:color w:val="002060"/>
          <w:lang w:val="en-GB"/>
        </w:rPr>
      </w:pPr>
    </w:p>
    <w:p w14:paraId="4376734D" w14:textId="4C99ED22" w:rsidR="00624AFF" w:rsidRPr="006075A4" w:rsidRDefault="00D05673" w:rsidP="00FE5DDF">
      <w:pPr>
        <w:pStyle w:val="Heading1"/>
        <w:pBdr>
          <w:top w:val="dotted" w:sz="4" w:space="1" w:color="auto"/>
          <w:bottom w:val="dotted" w:sz="4" w:space="1" w:color="auto"/>
        </w:pBdr>
        <w:rPr>
          <w:rFonts w:ascii="Calibri" w:eastAsia="Calibri" w:hAnsi="Calibri" w:cs="Times New Roman"/>
          <w:color w:val="auto"/>
          <w:sz w:val="22"/>
          <w:szCs w:val="22"/>
          <w:lang w:val="en-GB"/>
        </w:rPr>
      </w:pPr>
      <w:bookmarkStart w:id="26" w:name="_Sexual_Orientation_and"/>
      <w:bookmarkEnd w:id="26"/>
      <w:r w:rsidRPr="006075A4">
        <w:rPr>
          <w:lang w:val="en-GB"/>
        </w:rPr>
        <w:t>Sexual Orientation and Gender Identity</w:t>
      </w:r>
      <w:bookmarkEnd w:id="17"/>
      <w:bookmarkEnd w:id="18"/>
      <w:bookmarkEnd w:id="19"/>
      <w:bookmarkEnd w:id="20"/>
    </w:p>
    <w:p w14:paraId="482B013A" w14:textId="77777777" w:rsidR="00FE5DDF" w:rsidRDefault="00FE5DDF" w:rsidP="00D926DA">
      <w:pPr>
        <w:rPr>
          <w:lang w:val="en-GB"/>
        </w:rPr>
      </w:pPr>
    </w:p>
    <w:p w14:paraId="004777A9" w14:textId="5FE2A4CE" w:rsidR="00FE5DDF" w:rsidRPr="00FE5DDF" w:rsidRDefault="00EF446F" w:rsidP="00FE5DDF">
      <w:pPr>
        <w:pStyle w:val="Heading2"/>
        <w:rPr>
          <w:lang w:val="en-GB"/>
        </w:rPr>
      </w:pPr>
      <w:r>
        <w:rPr>
          <w:lang w:val="en-GB"/>
        </w:rPr>
        <w:t>Publications, funding opportunities and events</w:t>
      </w:r>
      <w:r w:rsidR="00FE5DDF">
        <w:rPr>
          <w:lang w:val="en-GB"/>
        </w:rPr>
        <w:br/>
      </w:r>
    </w:p>
    <w:p w14:paraId="4909CD37" w14:textId="3CBECF62" w:rsidR="00847B78" w:rsidRPr="00847B78" w:rsidRDefault="00847B78" w:rsidP="00847B78">
      <w:pPr>
        <w:rPr>
          <w:lang w:val="en-GB"/>
        </w:rPr>
      </w:pPr>
      <w:r>
        <w:rPr>
          <w:b/>
          <w:color w:val="FFFFFF" w:themeColor="background1"/>
          <w:shd w:val="clear" w:color="auto" w:fill="7030A0"/>
          <w:lang w:val="en-GB"/>
        </w:rPr>
        <w:t>PUBLICATION</w:t>
      </w:r>
      <w:r>
        <w:rPr>
          <w:rFonts w:ascii="Calibri" w:eastAsia="Calibri" w:hAnsi="Calibri" w:cs="Times New Roman"/>
          <w:lang w:val="en-GB"/>
        </w:rPr>
        <w:t xml:space="preserve"> - </w:t>
      </w:r>
      <w:r w:rsidRPr="00847B78">
        <w:rPr>
          <w:rFonts w:ascii="Calibri" w:eastAsia="Calibri" w:hAnsi="Calibri" w:cs="Times New Roman"/>
          <w:b/>
          <w:lang w:val="en-GB"/>
        </w:rPr>
        <w:t>ILGA Europe</w:t>
      </w:r>
      <w:r>
        <w:rPr>
          <w:rFonts w:ascii="Calibri" w:eastAsia="Calibri" w:hAnsi="Calibri" w:cs="Times New Roman"/>
          <w:lang w:val="en-GB"/>
        </w:rPr>
        <w:t xml:space="preserve"> - </w:t>
      </w:r>
      <w:hyperlink r:id="rId43" w:history="1">
        <w:r w:rsidRPr="00847B78">
          <w:rPr>
            <w:rStyle w:val="Hyperlink"/>
            <w:rFonts w:ascii="Calibri" w:eastAsia="Calibri" w:hAnsi="Calibri" w:cs="Times New Roman"/>
            <w:lang w:val="en-GB"/>
          </w:rPr>
          <w:t>Standing up for Human Rights of Intersex People</w:t>
        </w:r>
      </w:hyperlink>
    </w:p>
    <w:p w14:paraId="515B22CB" w14:textId="256745A5" w:rsidR="00847B78" w:rsidRDefault="00D418BF" w:rsidP="00FE5DDF">
      <w:pPr>
        <w:rPr>
          <w:rFonts w:cs="Arial"/>
          <w:shd w:val="clear" w:color="auto" w:fill="FFFFFF"/>
          <w:lang w:val="en-US"/>
        </w:rPr>
      </w:pPr>
      <w:r w:rsidRPr="00847B78">
        <w:rPr>
          <w:lang w:val="en-GB"/>
        </w:rPr>
        <w:t xml:space="preserve">ILGA Europe prepared </w:t>
      </w:r>
      <w:r w:rsidRPr="00FE5DDF">
        <w:rPr>
          <w:b/>
          <w:lang w:val="en-GB"/>
        </w:rPr>
        <w:t>a toolkit</w:t>
      </w:r>
      <w:r w:rsidR="00847B78" w:rsidRPr="00847B78">
        <w:rPr>
          <w:lang w:val="en-GB"/>
        </w:rPr>
        <w:t xml:space="preserve"> to explain </w:t>
      </w:r>
      <w:r w:rsidRPr="00847B78">
        <w:rPr>
          <w:rFonts w:cs="Arial"/>
          <w:shd w:val="clear" w:color="auto" w:fill="FFFFFF"/>
          <w:lang w:val="en-US"/>
        </w:rPr>
        <w:t>the major challenges intersex people face in different areas of life, set out intersex people’s demands, provide information about current political developments, as well as give advice on how to become a great intersex ally.</w:t>
      </w:r>
    </w:p>
    <w:p w14:paraId="15C3B22E" w14:textId="77777777" w:rsidR="003A3173" w:rsidRDefault="003A3173" w:rsidP="00FE5DDF">
      <w:pPr>
        <w:rPr>
          <w:rFonts w:cs="Arial"/>
          <w:shd w:val="clear" w:color="auto" w:fill="FFFFFF"/>
          <w:lang w:val="en-US"/>
        </w:rPr>
      </w:pPr>
    </w:p>
    <w:p w14:paraId="0F974723" w14:textId="5B0A8287" w:rsidR="003A3173" w:rsidRPr="00FE5DDF" w:rsidRDefault="003A3173" w:rsidP="00FE5DDF">
      <w:pPr>
        <w:rPr>
          <w:lang w:val="en-US"/>
        </w:rPr>
      </w:pPr>
      <w:r>
        <w:rPr>
          <w:b/>
          <w:color w:val="FFFFFF" w:themeColor="background1"/>
          <w:shd w:val="clear" w:color="auto" w:fill="7030A0"/>
          <w:lang w:val="en-GB"/>
        </w:rPr>
        <w:t>PUBLICATION</w:t>
      </w:r>
      <w:r>
        <w:rPr>
          <w:rFonts w:ascii="Calibri" w:eastAsia="Calibri" w:hAnsi="Calibri" w:cs="Times New Roman"/>
          <w:lang w:val="en-GB"/>
        </w:rPr>
        <w:t xml:space="preserve"> - </w:t>
      </w:r>
      <w:r w:rsidRPr="003A3173">
        <w:rPr>
          <w:b/>
          <w:lang w:val="en-US"/>
        </w:rPr>
        <w:t>European Parliament</w:t>
      </w:r>
      <w:r>
        <w:rPr>
          <w:lang w:val="en-US"/>
        </w:rPr>
        <w:t xml:space="preserve"> - </w:t>
      </w:r>
      <w:hyperlink r:id="rId44" w:history="1">
        <w:r w:rsidRPr="003A3173">
          <w:rPr>
            <w:rStyle w:val="Hyperlink"/>
            <w:lang w:val="en-US"/>
          </w:rPr>
          <w:t>Gender Mainstreaming in the work of the European Parliament</w:t>
        </w:r>
      </w:hyperlink>
    </w:p>
    <w:p w14:paraId="298670E3" w14:textId="77777777" w:rsidR="0034362B" w:rsidRPr="006075A4" w:rsidRDefault="0034362B" w:rsidP="00FE5DDF">
      <w:pPr>
        <w:spacing w:line="240" w:lineRule="auto"/>
        <w:jc w:val="both"/>
        <w:rPr>
          <w:lang w:val="en-GB"/>
        </w:rPr>
      </w:pPr>
    </w:p>
    <w:p w14:paraId="11326F81" w14:textId="13EE774E" w:rsidR="00EF446F" w:rsidRDefault="004A7771" w:rsidP="00FE5DDF">
      <w:pPr>
        <w:pStyle w:val="Heading1"/>
        <w:pBdr>
          <w:top w:val="dotted" w:sz="4" w:space="1" w:color="auto"/>
          <w:bottom w:val="dotted" w:sz="4" w:space="1" w:color="auto"/>
        </w:pBdr>
        <w:rPr>
          <w:lang w:val="en-GB"/>
        </w:rPr>
      </w:pPr>
      <w:bookmarkStart w:id="27" w:name="_Disability"/>
      <w:bookmarkStart w:id="28" w:name="_Toc418770750"/>
      <w:bookmarkStart w:id="29" w:name="_Ref418784334"/>
      <w:bookmarkStart w:id="30" w:name="_Ref421267538"/>
      <w:bookmarkEnd w:id="27"/>
      <w:r w:rsidRPr="006075A4">
        <w:rPr>
          <w:lang w:val="en-GB"/>
        </w:rPr>
        <w:t>Disability</w:t>
      </w:r>
      <w:bookmarkEnd w:id="28"/>
      <w:bookmarkEnd w:id="29"/>
      <w:bookmarkEnd w:id="30"/>
    </w:p>
    <w:p w14:paraId="0D7C94EB" w14:textId="77777777" w:rsidR="00FE5DDF" w:rsidRDefault="00FE5DDF" w:rsidP="00D926DA">
      <w:pPr>
        <w:rPr>
          <w:lang w:val="en-GB"/>
        </w:rPr>
      </w:pPr>
    </w:p>
    <w:p w14:paraId="7942DD15" w14:textId="2FDA0D54" w:rsidR="00FE5DDF" w:rsidRPr="00FE5DDF" w:rsidRDefault="00DE3EC3" w:rsidP="00FE5DDF">
      <w:pPr>
        <w:pStyle w:val="Heading2"/>
        <w:jc w:val="both"/>
        <w:rPr>
          <w:lang w:val="en-GB"/>
        </w:rPr>
      </w:pPr>
      <w:r>
        <w:rPr>
          <w:lang w:val="en-GB"/>
        </w:rPr>
        <w:t xml:space="preserve">Policy </w:t>
      </w:r>
      <w:r w:rsidR="00EF446F">
        <w:rPr>
          <w:lang w:val="en-GB"/>
        </w:rPr>
        <w:t>developments</w:t>
      </w:r>
      <w:r w:rsidR="00FE5DDF">
        <w:rPr>
          <w:lang w:val="en-GB"/>
        </w:rPr>
        <w:tab/>
      </w:r>
      <w:r w:rsidR="00FE5DDF">
        <w:rPr>
          <w:lang w:val="en-GB"/>
        </w:rPr>
        <w:br/>
      </w:r>
    </w:p>
    <w:p w14:paraId="71C2E50F" w14:textId="04F2D178" w:rsidR="00EF12AD" w:rsidRPr="00FE5DDF" w:rsidRDefault="00FE5DDF" w:rsidP="00C0290D">
      <w:pPr>
        <w:pStyle w:val="ListParagraph"/>
        <w:numPr>
          <w:ilvl w:val="0"/>
          <w:numId w:val="6"/>
        </w:numPr>
        <w:jc w:val="both"/>
        <w:rPr>
          <w:b/>
          <w:color w:val="002060"/>
          <w:lang w:val="en-GB"/>
        </w:rPr>
      </w:pPr>
      <w:r>
        <w:rPr>
          <w:b/>
          <w:color w:val="002060"/>
          <w:lang w:val="en-GB"/>
        </w:rPr>
        <w:t xml:space="preserve">Civil society organisations - </w:t>
      </w:r>
      <w:r w:rsidR="00EF12AD" w:rsidRPr="00FE5DDF">
        <w:rPr>
          <w:b/>
          <w:color w:val="002060"/>
          <w:lang w:val="en-GB"/>
        </w:rPr>
        <w:t>Letter on equal access to web</w:t>
      </w:r>
    </w:p>
    <w:p w14:paraId="083F2460" w14:textId="23D6F60B" w:rsidR="006A569F" w:rsidRDefault="00847B78" w:rsidP="00AC40EF">
      <w:pPr>
        <w:jc w:val="both"/>
        <w:rPr>
          <w:lang w:val="en-GB"/>
        </w:rPr>
      </w:pPr>
      <w:r w:rsidRPr="00847B78">
        <w:rPr>
          <w:lang w:val="en-GB"/>
        </w:rPr>
        <w:t>20 civil society networks, representing consumers, older people and people from a range of representative organisations of persons with disabilities</w:t>
      </w:r>
      <w:r w:rsidR="00EF12AD">
        <w:rPr>
          <w:lang w:val="en-GB"/>
        </w:rPr>
        <w:t xml:space="preserve"> </w:t>
      </w:r>
      <w:r w:rsidR="00EF12AD" w:rsidRPr="00FE5DDF">
        <w:rPr>
          <w:b/>
          <w:lang w:val="en-GB"/>
        </w:rPr>
        <w:t>issued an open letter</w:t>
      </w:r>
      <w:r w:rsidRPr="00FE5DDF">
        <w:rPr>
          <w:b/>
          <w:lang w:val="en-GB"/>
        </w:rPr>
        <w:t xml:space="preserve"> opposing the Council’s proposals to water down the Web Accessibility Directive</w:t>
      </w:r>
      <w:r w:rsidRPr="00847B78">
        <w:rPr>
          <w:lang w:val="en-GB"/>
        </w:rPr>
        <w:t>.</w:t>
      </w:r>
      <w:r w:rsidR="00FE5DDF">
        <w:rPr>
          <w:lang w:val="en-GB"/>
        </w:rPr>
        <w:t xml:space="preserve"> More information a</w:t>
      </w:r>
      <w:r>
        <w:rPr>
          <w:lang w:val="en-GB"/>
        </w:rPr>
        <w:t xml:space="preserve">vailable </w:t>
      </w:r>
      <w:hyperlink r:id="rId45" w:history="1">
        <w:r w:rsidRPr="00847B78">
          <w:rPr>
            <w:rStyle w:val="Hyperlink"/>
            <w:lang w:val="en-GB"/>
          </w:rPr>
          <w:t>here</w:t>
        </w:r>
      </w:hyperlink>
      <w:r>
        <w:rPr>
          <w:lang w:val="en-GB"/>
        </w:rPr>
        <w:t>.</w:t>
      </w:r>
    </w:p>
    <w:p w14:paraId="05E79799" w14:textId="77777777" w:rsidR="00D926DA" w:rsidRDefault="00D926DA" w:rsidP="00AC40EF">
      <w:pPr>
        <w:jc w:val="both"/>
        <w:rPr>
          <w:lang w:val="en-GB"/>
        </w:rPr>
      </w:pPr>
    </w:p>
    <w:p w14:paraId="762EB57F" w14:textId="368924C3" w:rsidR="00FE5DDF" w:rsidRDefault="00FE5DDF" w:rsidP="00FE5DDF">
      <w:pPr>
        <w:pStyle w:val="Heading2"/>
        <w:jc w:val="both"/>
        <w:rPr>
          <w:lang w:val="en-GB"/>
        </w:rPr>
      </w:pPr>
      <w:r>
        <w:rPr>
          <w:lang w:val="en-GB"/>
        </w:rPr>
        <w:t>Publications, funding opportunities and events</w:t>
      </w:r>
      <w:r>
        <w:rPr>
          <w:lang w:val="en-GB"/>
        </w:rPr>
        <w:tab/>
      </w:r>
      <w:r>
        <w:rPr>
          <w:lang w:val="en-GB"/>
        </w:rPr>
        <w:br/>
      </w:r>
    </w:p>
    <w:p w14:paraId="234C3B9B" w14:textId="2470FD7D" w:rsidR="00FE5DDF" w:rsidRPr="00FE5DDF" w:rsidRDefault="00FE5DDF" w:rsidP="00FE5DDF">
      <w:pPr>
        <w:jc w:val="both"/>
        <w:rPr>
          <w:b/>
          <w:lang w:val="en-GB"/>
        </w:rPr>
      </w:pPr>
      <w:r w:rsidRPr="00FE5DDF">
        <w:rPr>
          <w:b/>
          <w:shd w:val="clear" w:color="auto" w:fill="FFFF00"/>
          <w:lang w:val="en-GB"/>
        </w:rPr>
        <w:t>EVENT</w:t>
      </w:r>
      <w:r w:rsidRPr="00FE5DDF">
        <w:rPr>
          <w:b/>
          <w:lang w:val="en-GB"/>
        </w:rPr>
        <w:t xml:space="preserve"> – Council of Europe - International Conference for Exchange of Best Practices on: “Equal enjoyment of human rights and freedoms by persons with disabilities: Achievements and challenges” (22</w:t>
      </w:r>
      <w:r w:rsidRPr="00FE5DDF">
        <w:rPr>
          <w:b/>
          <w:vertAlign w:val="superscript"/>
          <w:lang w:val="en-GB"/>
        </w:rPr>
        <w:t>nd</w:t>
      </w:r>
      <w:r w:rsidRPr="00FE5DDF">
        <w:rPr>
          <w:b/>
          <w:lang w:val="en-GB"/>
        </w:rPr>
        <w:t xml:space="preserve"> March 2016, Sofia, Bulgaria)</w:t>
      </w:r>
    </w:p>
    <w:p w14:paraId="3E977596" w14:textId="77777777" w:rsidR="00FE5DDF" w:rsidRDefault="00FE5DDF" w:rsidP="00FE5DDF">
      <w:pPr>
        <w:jc w:val="both"/>
        <w:rPr>
          <w:lang w:val="en-GB"/>
        </w:rPr>
      </w:pPr>
      <w:r>
        <w:rPr>
          <w:lang w:val="en-GB"/>
        </w:rPr>
        <w:t xml:space="preserve">On 22 March 2016, Council of Europe and the </w:t>
      </w:r>
      <w:r w:rsidRPr="006A569F">
        <w:rPr>
          <w:lang w:val="en-GB"/>
        </w:rPr>
        <w:t>Ministry of Labou</w:t>
      </w:r>
      <w:r>
        <w:rPr>
          <w:lang w:val="en-GB"/>
        </w:rPr>
        <w:t xml:space="preserve">r and Social Policy of Bulgaria are organising an international conference on </w:t>
      </w:r>
      <w:r w:rsidRPr="006A569F">
        <w:rPr>
          <w:lang w:val="en-GB"/>
        </w:rPr>
        <w:t>“Equal enjoyment of human rights and freedoms by persons with disabilities: Achievements and challenges</w:t>
      </w:r>
      <w:r>
        <w:rPr>
          <w:lang w:val="en-GB"/>
        </w:rPr>
        <w:t>.</w:t>
      </w:r>
      <w:r w:rsidRPr="006A569F">
        <w:rPr>
          <w:lang w:val="en-GB"/>
        </w:rPr>
        <w:t>”</w:t>
      </w:r>
      <w:r>
        <w:rPr>
          <w:lang w:val="en-GB"/>
        </w:rPr>
        <w:t xml:space="preserve"> More information can be found </w:t>
      </w:r>
      <w:hyperlink r:id="rId46" w:history="1">
        <w:r w:rsidRPr="006A569F">
          <w:rPr>
            <w:rStyle w:val="Hyperlink"/>
            <w:lang w:val="en-GB"/>
          </w:rPr>
          <w:t>here</w:t>
        </w:r>
      </w:hyperlink>
      <w:r>
        <w:rPr>
          <w:lang w:val="en-GB"/>
        </w:rPr>
        <w:t>.</w:t>
      </w:r>
      <w:r w:rsidRPr="006A569F">
        <w:rPr>
          <w:lang w:val="en-GB"/>
        </w:rPr>
        <w:t xml:space="preserve">  </w:t>
      </w:r>
    </w:p>
    <w:p w14:paraId="431BA762" w14:textId="4E2DCFA9" w:rsidR="005165D2" w:rsidRDefault="005165D2" w:rsidP="00FE5DDF">
      <w:pPr>
        <w:rPr>
          <w:lang w:val="en-GB"/>
        </w:rPr>
      </w:pPr>
    </w:p>
    <w:p w14:paraId="20AF7517" w14:textId="77777777" w:rsidR="00D926DA" w:rsidRDefault="00D926DA" w:rsidP="00FE5DDF">
      <w:pPr>
        <w:rPr>
          <w:lang w:val="en-GB"/>
        </w:rPr>
      </w:pPr>
    </w:p>
    <w:p w14:paraId="062BC927" w14:textId="77777777" w:rsidR="00D926DA" w:rsidRDefault="00D926DA" w:rsidP="00FE5DDF">
      <w:pPr>
        <w:rPr>
          <w:lang w:val="en-GB"/>
        </w:rPr>
      </w:pPr>
    </w:p>
    <w:p w14:paraId="131E8546" w14:textId="77777777" w:rsidR="00D47BC3" w:rsidRDefault="00D47BC3" w:rsidP="00FE5DDF">
      <w:pPr>
        <w:rPr>
          <w:lang w:val="en-GB"/>
        </w:rPr>
      </w:pPr>
    </w:p>
    <w:p w14:paraId="7B8EE1EA" w14:textId="77777777" w:rsidR="00D47BC3" w:rsidRPr="006075A4" w:rsidRDefault="00D47BC3" w:rsidP="00FE5DDF">
      <w:pPr>
        <w:rPr>
          <w:lang w:val="en-GB"/>
        </w:rPr>
      </w:pPr>
    </w:p>
    <w:p w14:paraId="16F13B09" w14:textId="355DCE5B" w:rsidR="00D05673" w:rsidRDefault="00AB116C" w:rsidP="00FE5DDF">
      <w:pPr>
        <w:pStyle w:val="Heading1"/>
        <w:pBdr>
          <w:top w:val="dotted" w:sz="4" w:space="1" w:color="auto"/>
          <w:bottom w:val="dotted" w:sz="4" w:space="1" w:color="auto"/>
        </w:pBdr>
        <w:rPr>
          <w:lang w:val="en-GB"/>
        </w:rPr>
      </w:pPr>
      <w:bookmarkStart w:id="31" w:name="_Age"/>
      <w:bookmarkStart w:id="32" w:name="_Ref421267547"/>
      <w:bookmarkEnd w:id="31"/>
      <w:r w:rsidRPr="006075A4">
        <w:rPr>
          <w:lang w:val="en-GB"/>
        </w:rPr>
        <w:t>Age</w:t>
      </w:r>
      <w:bookmarkEnd w:id="32"/>
    </w:p>
    <w:p w14:paraId="34F20C56" w14:textId="77777777" w:rsidR="00FE5DDF" w:rsidRDefault="00FE5DDF" w:rsidP="00D926DA">
      <w:pPr>
        <w:rPr>
          <w:lang w:val="en-GB"/>
        </w:rPr>
      </w:pPr>
    </w:p>
    <w:p w14:paraId="3AB18B60" w14:textId="483CA443" w:rsidR="00EF446F" w:rsidRDefault="00EF446F" w:rsidP="004A773A">
      <w:pPr>
        <w:pStyle w:val="Heading2"/>
        <w:jc w:val="both"/>
        <w:rPr>
          <w:lang w:val="en-GB"/>
        </w:rPr>
      </w:pPr>
      <w:r>
        <w:rPr>
          <w:lang w:val="en-GB"/>
        </w:rPr>
        <w:t>Publications, funding opportunities and events</w:t>
      </w:r>
    </w:p>
    <w:p w14:paraId="44D006B9" w14:textId="77777777" w:rsidR="00FE5DDF" w:rsidRDefault="00FE5DDF" w:rsidP="004A773A">
      <w:pPr>
        <w:jc w:val="both"/>
        <w:rPr>
          <w:b/>
          <w:color w:val="FFFFFF" w:themeColor="background1"/>
          <w:shd w:val="clear" w:color="auto" w:fill="7030A0"/>
          <w:lang w:val="en-GB"/>
        </w:rPr>
      </w:pPr>
    </w:p>
    <w:p w14:paraId="29CAEBC3" w14:textId="42F05F5C" w:rsidR="00966A95" w:rsidRDefault="004A773A" w:rsidP="004A773A">
      <w:pPr>
        <w:jc w:val="both"/>
        <w:rPr>
          <w:lang w:val="en-GB"/>
        </w:rPr>
      </w:pPr>
      <w:r>
        <w:rPr>
          <w:b/>
          <w:color w:val="FFFFFF" w:themeColor="background1"/>
          <w:shd w:val="clear" w:color="auto" w:fill="7030A0"/>
          <w:lang w:val="en-GB"/>
        </w:rPr>
        <w:t>PUBLICATION</w:t>
      </w:r>
      <w:r>
        <w:rPr>
          <w:rFonts w:ascii="Calibri" w:eastAsia="Calibri" w:hAnsi="Calibri" w:cs="Times New Roman"/>
          <w:lang w:val="en-GB"/>
        </w:rPr>
        <w:t xml:space="preserve"> - </w:t>
      </w:r>
      <w:r w:rsidRPr="00FE5DDF">
        <w:rPr>
          <w:rFonts w:ascii="Calibri" w:eastAsia="Calibri" w:hAnsi="Calibri" w:cs="Times New Roman"/>
          <w:b/>
          <w:lang w:val="en-GB"/>
        </w:rPr>
        <w:t>Age Platform Europe</w:t>
      </w:r>
      <w:r>
        <w:rPr>
          <w:rFonts w:ascii="Calibri" w:eastAsia="Calibri" w:hAnsi="Calibri" w:cs="Times New Roman"/>
          <w:lang w:val="en-GB"/>
        </w:rPr>
        <w:t xml:space="preserve"> - </w:t>
      </w:r>
      <w:hyperlink r:id="rId47" w:history="1">
        <w:r w:rsidRPr="004A773A">
          <w:rPr>
            <w:rStyle w:val="Hyperlink"/>
            <w:rFonts w:ascii="Calibri" w:eastAsia="Calibri" w:hAnsi="Calibri" w:cs="Times New Roman"/>
            <w:lang w:val="en-GB"/>
          </w:rPr>
          <w:t>Annual Report 2015</w:t>
        </w:r>
      </w:hyperlink>
    </w:p>
    <w:p w14:paraId="37A35064" w14:textId="0F4FD78F" w:rsidR="00EF446F" w:rsidRDefault="00EF446F" w:rsidP="00FE5DDF">
      <w:pPr>
        <w:pStyle w:val="Heading1"/>
        <w:pBdr>
          <w:top w:val="dotted" w:sz="4" w:space="1" w:color="auto"/>
          <w:bottom w:val="dotted" w:sz="4" w:space="1" w:color="auto"/>
        </w:pBdr>
        <w:rPr>
          <w:lang w:val="en-GB"/>
        </w:rPr>
      </w:pPr>
      <w:bookmarkStart w:id="33" w:name="_Other"/>
      <w:bookmarkEnd w:id="33"/>
      <w:r>
        <w:rPr>
          <w:lang w:val="en-GB"/>
        </w:rPr>
        <w:t>Other</w:t>
      </w:r>
    </w:p>
    <w:p w14:paraId="53B3EFDB" w14:textId="77777777" w:rsidR="00FE5DDF" w:rsidRDefault="00FE5DDF" w:rsidP="00D926DA">
      <w:pPr>
        <w:rPr>
          <w:lang w:val="en-GB"/>
        </w:rPr>
      </w:pPr>
    </w:p>
    <w:p w14:paraId="32A0FB87" w14:textId="77777777" w:rsidR="00EF446F" w:rsidRDefault="00EF446F" w:rsidP="00AC40EF">
      <w:pPr>
        <w:pStyle w:val="Heading2"/>
        <w:jc w:val="both"/>
        <w:rPr>
          <w:lang w:val="en-GB"/>
        </w:rPr>
      </w:pPr>
      <w:r>
        <w:rPr>
          <w:lang w:val="en-GB"/>
        </w:rPr>
        <w:t>Publications, funding opportunities and events</w:t>
      </w:r>
    </w:p>
    <w:p w14:paraId="390595C7" w14:textId="77777777" w:rsidR="00FE5DDF" w:rsidRDefault="00FE5DDF" w:rsidP="00AC40EF">
      <w:pPr>
        <w:jc w:val="both"/>
        <w:rPr>
          <w:b/>
          <w:color w:val="FFFFFF" w:themeColor="background1"/>
          <w:shd w:val="clear" w:color="auto" w:fill="7030A0"/>
          <w:lang w:val="en-GB"/>
        </w:rPr>
      </w:pPr>
    </w:p>
    <w:p w14:paraId="2C59AC5B" w14:textId="77777777" w:rsidR="00FE5DDF" w:rsidRDefault="003904F8" w:rsidP="00AC40EF">
      <w:pPr>
        <w:jc w:val="both"/>
        <w:rPr>
          <w:lang w:val="en-GB"/>
        </w:rPr>
      </w:pPr>
      <w:r>
        <w:rPr>
          <w:b/>
          <w:color w:val="FFFFFF" w:themeColor="background1"/>
          <w:shd w:val="clear" w:color="auto" w:fill="7030A0"/>
          <w:lang w:val="en-GB"/>
        </w:rPr>
        <w:t>PUBLICATION</w:t>
      </w:r>
      <w:r>
        <w:rPr>
          <w:rFonts w:ascii="Calibri" w:eastAsia="Calibri" w:hAnsi="Calibri" w:cs="Times New Roman"/>
          <w:lang w:val="en-GB"/>
        </w:rPr>
        <w:t xml:space="preserve"> - </w:t>
      </w:r>
      <w:r w:rsidR="00FE5DDF" w:rsidRPr="00FE5DDF">
        <w:rPr>
          <w:rFonts w:ascii="Calibri" w:eastAsia="Calibri" w:hAnsi="Calibri" w:cs="Times New Roman"/>
          <w:b/>
          <w:lang w:val="en-GB"/>
        </w:rPr>
        <w:t>European Union Agency for Fundamental Rights (FRA)</w:t>
      </w:r>
      <w:r w:rsidR="00FE5DDF" w:rsidRPr="00FE5DDF">
        <w:rPr>
          <w:rFonts w:ascii="Calibri" w:eastAsia="Calibri" w:hAnsi="Calibri" w:cs="Times New Roman"/>
          <w:lang w:val="en-GB"/>
        </w:rPr>
        <w:t xml:space="preserve"> </w:t>
      </w:r>
      <w:r>
        <w:rPr>
          <w:lang w:val="en-GB"/>
        </w:rPr>
        <w:t>- M</w:t>
      </w:r>
      <w:r w:rsidRPr="003904F8">
        <w:rPr>
          <w:lang w:val="en-GB"/>
        </w:rPr>
        <w:t>onthly update</w:t>
      </w:r>
      <w:r>
        <w:rPr>
          <w:lang w:val="en-GB"/>
        </w:rPr>
        <w:t>s</w:t>
      </w:r>
      <w:r w:rsidRPr="003904F8">
        <w:rPr>
          <w:lang w:val="en-GB"/>
        </w:rPr>
        <w:t xml:space="preserve"> on fundamental rights and migration</w:t>
      </w:r>
    </w:p>
    <w:p w14:paraId="26AC7C26" w14:textId="0735EB44" w:rsidR="003904F8" w:rsidRPr="003904F8" w:rsidRDefault="003904F8" w:rsidP="00AC40EF">
      <w:pPr>
        <w:jc w:val="both"/>
        <w:rPr>
          <w:lang w:val="en-GB"/>
        </w:rPr>
      </w:pPr>
      <w:r>
        <w:rPr>
          <w:lang w:val="en-GB"/>
        </w:rPr>
        <w:t xml:space="preserve">FRA publishes the </w:t>
      </w:r>
      <w:hyperlink r:id="rId48" w:history="1">
        <w:r w:rsidRPr="003904F8">
          <w:rPr>
            <w:rStyle w:val="Hyperlink"/>
            <w:lang w:val="en-GB"/>
          </w:rPr>
          <w:t>first</w:t>
        </w:r>
      </w:hyperlink>
      <w:r>
        <w:rPr>
          <w:lang w:val="en-GB"/>
        </w:rPr>
        <w:t xml:space="preserve"> and </w:t>
      </w:r>
      <w:hyperlink r:id="rId49" w:history="1">
        <w:r w:rsidRPr="003904F8">
          <w:rPr>
            <w:rStyle w:val="Hyperlink"/>
            <w:lang w:val="en-GB"/>
          </w:rPr>
          <w:t>second</w:t>
        </w:r>
      </w:hyperlink>
      <w:r>
        <w:rPr>
          <w:lang w:val="en-GB"/>
        </w:rPr>
        <w:t xml:space="preserve"> monthly updates on </w:t>
      </w:r>
      <w:r w:rsidR="00A3740D" w:rsidRPr="00A3740D">
        <w:rPr>
          <w:lang w:val="en-GB"/>
        </w:rPr>
        <w:t>fundamental rights and migration in Member States that have seen the greatest numbers of asylum seekers and migrants.</w:t>
      </w:r>
    </w:p>
    <w:p w14:paraId="6C53EA1D" w14:textId="77777777" w:rsidR="00B07813" w:rsidRPr="006075A4" w:rsidRDefault="00B07813" w:rsidP="000263B4">
      <w:pPr>
        <w:pBdr>
          <w:bottom w:val="dotted" w:sz="36" w:space="1" w:color="auto"/>
        </w:pBdr>
        <w:spacing w:line="240" w:lineRule="auto"/>
        <w:rPr>
          <w:lang w:val="en-GB"/>
        </w:rPr>
      </w:pPr>
    </w:p>
    <w:p w14:paraId="6A49563D" w14:textId="77777777" w:rsidR="00B07813" w:rsidRPr="006075A4" w:rsidRDefault="00B07813" w:rsidP="000263B4">
      <w:pPr>
        <w:pStyle w:val="Heading1"/>
        <w:spacing w:line="240" w:lineRule="auto"/>
        <w:rPr>
          <w:lang w:val="en-GB"/>
        </w:rPr>
      </w:pPr>
      <w:bookmarkStart w:id="34" w:name="_Recent_case-law"/>
      <w:bookmarkStart w:id="35" w:name="_Toc418770756"/>
      <w:bookmarkStart w:id="36" w:name="_Ref418784375"/>
      <w:bookmarkStart w:id="37" w:name="_Ref421267634"/>
      <w:bookmarkEnd w:id="34"/>
      <w:r w:rsidRPr="006075A4">
        <w:rPr>
          <w:lang w:val="en-GB"/>
        </w:rPr>
        <w:t>Recent case-law</w:t>
      </w:r>
      <w:bookmarkEnd w:id="35"/>
      <w:bookmarkEnd w:id="36"/>
      <w:bookmarkEnd w:id="37"/>
    </w:p>
    <w:p w14:paraId="1A7E5E2B" w14:textId="77777777" w:rsidR="00AB116C" w:rsidRPr="006075A4" w:rsidRDefault="00AB116C" w:rsidP="00D926DA">
      <w:pPr>
        <w:rPr>
          <w:lang w:val="en-GB"/>
        </w:rPr>
      </w:pPr>
      <w:bookmarkStart w:id="38" w:name="_Toc418770757"/>
      <w:bookmarkStart w:id="39" w:name="_Ref418784385"/>
    </w:p>
    <w:p w14:paraId="5E641C49" w14:textId="74B1E422" w:rsidR="00542158" w:rsidRPr="006075A4" w:rsidRDefault="00B07813" w:rsidP="000263B4">
      <w:pPr>
        <w:pStyle w:val="Heading2"/>
        <w:spacing w:line="240" w:lineRule="auto"/>
        <w:rPr>
          <w:lang w:val="en-GB"/>
        </w:rPr>
      </w:pPr>
      <w:bookmarkStart w:id="40" w:name="_Ref421267642"/>
      <w:r w:rsidRPr="006075A4">
        <w:rPr>
          <w:lang w:val="en-GB"/>
        </w:rPr>
        <w:t>European Court of Justice (ECJ)</w:t>
      </w:r>
      <w:bookmarkEnd w:id="38"/>
      <w:bookmarkEnd w:id="39"/>
      <w:bookmarkEnd w:id="40"/>
    </w:p>
    <w:p w14:paraId="71995B44" w14:textId="77777777" w:rsidR="0073740D" w:rsidRDefault="0073740D" w:rsidP="0073740D">
      <w:pPr>
        <w:spacing w:line="240" w:lineRule="auto"/>
        <w:rPr>
          <w:b/>
          <w:lang w:val="en-GB"/>
        </w:rPr>
      </w:pPr>
    </w:p>
    <w:p w14:paraId="6789F518" w14:textId="5B4C8487" w:rsidR="0034362B" w:rsidRPr="0073740D" w:rsidRDefault="0073740D" w:rsidP="00B211C5">
      <w:pPr>
        <w:spacing w:line="240" w:lineRule="auto"/>
        <w:jc w:val="both"/>
        <w:rPr>
          <w:b/>
          <w:lang w:val="en-GB"/>
        </w:rPr>
      </w:pPr>
      <w:r w:rsidRPr="0073740D">
        <w:rPr>
          <w:b/>
          <w:lang w:val="en-GB"/>
        </w:rPr>
        <w:t>Joined Cases C-443/14 and C-444/14 – Kreis Warendorf v Ibrahim Alo and Amira Osso v Region Hannover (1 March</w:t>
      </w:r>
      <w:r>
        <w:rPr>
          <w:b/>
          <w:lang w:val="en-GB"/>
        </w:rPr>
        <w:t xml:space="preserve"> 2016</w:t>
      </w:r>
      <w:r w:rsidRPr="0073740D">
        <w:rPr>
          <w:b/>
          <w:lang w:val="en-GB"/>
        </w:rPr>
        <w:t>)</w:t>
      </w:r>
    </w:p>
    <w:p w14:paraId="5AF20EE4" w14:textId="070B72FE" w:rsidR="00880B15" w:rsidRDefault="00880B15" w:rsidP="00B211C5">
      <w:pPr>
        <w:spacing w:line="240" w:lineRule="auto"/>
        <w:jc w:val="both"/>
        <w:rPr>
          <w:lang w:val="en-GB"/>
        </w:rPr>
      </w:pPr>
      <w:r>
        <w:rPr>
          <w:lang w:val="en-GB"/>
        </w:rPr>
        <w:t xml:space="preserve">The ECJ found that </w:t>
      </w:r>
      <w:r w:rsidR="0073740D">
        <w:rPr>
          <w:lang w:val="en-GB"/>
        </w:rPr>
        <w:t>“</w:t>
      </w:r>
      <w:r w:rsidRPr="00880B15">
        <w:rPr>
          <w:lang w:val="en-GB"/>
        </w:rPr>
        <w:t xml:space="preserve">the Directive </w:t>
      </w:r>
      <w:r w:rsidR="0073740D">
        <w:rPr>
          <w:lang w:val="en-GB"/>
        </w:rPr>
        <w:t>[</w:t>
      </w:r>
      <w:r w:rsidR="0073740D" w:rsidRPr="0073740D">
        <w:rPr>
          <w:lang w:val="en-GB"/>
        </w:rPr>
        <w:t>on standards for the</w:t>
      </w:r>
      <w:r w:rsidR="0073740D">
        <w:rPr>
          <w:lang w:val="en-GB"/>
        </w:rPr>
        <w:t xml:space="preserve"> </w:t>
      </w:r>
      <w:r w:rsidR="0073740D" w:rsidRPr="0073740D">
        <w:rPr>
          <w:lang w:val="en-GB"/>
        </w:rPr>
        <w:t>qualification of third-country nationals or stateless persons as beneficiaries of international protection</w:t>
      </w:r>
      <w:r w:rsidR="0073740D">
        <w:rPr>
          <w:lang w:val="en-GB"/>
        </w:rPr>
        <w:t xml:space="preserve">] </w:t>
      </w:r>
      <w:r w:rsidRPr="00880B15">
        <w:rPr>
          <w:lang w:val="en-GB"/>
        </w:rPr>
        <w:t>requires the Member States to</w:t>
      </w:r>
      <w:r>
        <w:rPr>
          <w:lang w:val="en-GB"/>
        </w:rPr>
        <w:t xml:space="preserve"> </w:t>
      </w:r>
      <w:r w:rsidRPr="00880B15">
        <w:rPr>
          <w:lang w:val="en-GB"/>
        </w:rPr>
        <w:t>allow persons to whom they have granted subsidiary protection status not only to move</w:t>
      </w:r>
      <w:r>
        <w:rPr>
          <w:lang w:val="en-GB"/>
        </w:rPr>
        <w:t xml:space="preserve"> </w:t>
      </w:r>
      <w:r w:rsidRPr="00880B15">
        <w:rPr>
          <w:lang w:val="en-GB"/>
        </w:rPr>
        <w:t>freely within their territory but also to choose their place of residence within that territory.</w:t>
      </w:r>
      <w:r w:rsidR="0073740D">
        <w:rPr>
          <w:lang w:val="en-GB"/>
        </w:rPr>
        <w:t xml:space="preserve">” The summary of the case is available </w:t>
      </w:r>
      <w:hyperlink r:id="rId50" w:history="1">
        <w:r w:rsidR="0073740D" w:rsidRPr="0073740D">
          <w:rPr>
            <w:rStyle w:val="Hyperlink"/>
            <w:lang w:val="en-GB"/>
          </w:rPr>
          <w:t>here</w:t>
        </w:r>
      </w:hyperlink>
      <w:r w:rsidR="0073740D">
        <w:rPr>
          <w:lang w:val="en-GB"/>
        </w:rPr>
        <w:t>.</w:t>
      </w:r>
    </w:p>
    <w:p w14:paraId="5D47226F" w14:textId="16F8A131" w:rsidR="0073740D" w:rsidRDefault="0073740D" w:rsidP="00B211C5">
      <w:pPr>
        <w:spacing w:line="240" w:lineRule="auto"/>
        <w:jc w:val="both"/>
        <w:rPr>
          <w:b/>
          <w:lang w:val="en-GB"/>
        </w:rPr>
      </w:pPr>
      <w:r w:rsidRPr="0073740D">
        <w:rPr>
          <w:b/>
          <w:lang w:val="en-GB"/>
        </w:rPr>
        <w:t>Case C-299/14 – Vestische Arbeit Jobcenter Kreis Recklinghausen v Jovanna García-Nieto and Others (25 February 2016)</w:t>
      </w:r>
    </w:p>
    <w:p w14:paraId="1A93316A" w14:textId="1B84C285" w:rsidR="00BF7D99" w:rsidRDefault="00B211C5" w:rsidP="00B211C5">
      <w:pPr>
        <w:spacing w:line="240" w:lineRule="auto"/>
        <w:jc w:val="both"/>
        <w:rPr>
          <w:lang w:val="en-GB"/>
        </w:rPr>
      </w:pPr>
      <w:r>
        <w:rPr>
          <w:lang w:val="en-GB"/>
        </w:rPr>
        <w:t xml:space="preserve">In this ruling, the ECJ </w:t>
      </w:r>
      <w:r w:rsidRPr="00B211C5">
        <w:rPr>
          <w:lang w:val="en-GB"/>
        </w:rPr>
        <w:t>confirms</w:t>
      </w:r>
      <w:r>
        <w:rPr>
          <w:lang w:val="en-GB"/>
        </w:rPr>
        <w:t xml:space="preserve"> </w:t>
      </w:r>
      <w:r w:rsidRPr="00B211C5">
        <w:rPr>
          <w:lang w:val="en-GB"/>
        </w:rPr>
        <w:t>that nationals of other Member States may be refused</w:t>
      </w:r>
      <w:r>
        <w:rPr>
          <w:lang w:val="en-GB"/>
        </w:rPr>
        <w:t xml:space="preserve"> </w:t>
      </w:r>
      <w:r w:rsidRPr="00B211C5">
        <w:rPr>
          <w:lang w:val="en-GB"/>
        </w:rPr>
        <w:t xml:space="preserve">certain social benefits in their </w:t>
      </w:r>
      <w:r>
        <w:rPr>
          <w:lang w:val="en-GB"/>
        </w:rPr>
        <w:t xml:space="preserve">first three months of residence and that this </w:t>
      </w:r>
      <w:r w:rsidRPr="00B211C5">
        <w:rPr>
          <w:lang w:val="en-GB"/>
        </w:rPr>
        <w:t>does not presuppose an individual assessment</w:t>
      </w:r>
      <w:r>
        <w:rPr>
          <w:lang w:val="en-GB"/>
        </w:rPr>
        <w:t xml:space="preserve">. </w:t>
      </w:r>
      <w:r w:rsidRPr="00B211C5">
        <w:rPr>
          <w:lang w:val="en-GB"/>
        </w:rPr>
        <w:t xml:space="preserve">The summary of the case is available </w:t>
      </w:r>
      <w:hyperlink r:id="rId51" w:history="1">
        <w:r w:rsidRPr="00B211C5">
          <w:rPr>
            <w:rStyle w:val="Hyperlink"/>
            <w:lang w:val="en-GB"/>
          </w:rPr>
          <w:t>here</w:t>
        </w:r>
      </w:hyperlink>
      <w:r w:rsidRPr="00B211C5">
        <w:rPr>
          <w:lang w:val="en-GB"/>
        </w:rPr>
        <w:t>.</w:t>
      </w:r>
    </w:p>
    <w:p w14:paraId="2C0582FD" w14:textId="77777777" w:rsidR="00AC40EF" w:rsidRPr="00BF7D99" w:rsidRDefault="00AC40EF" w:rsidP="00B211C5">
      <w:pPr>
        <w:spacing w:line="240" w:lineRule="auto"/>
        <w:jc w:val="both"/>
        <w:rPr>
          <w:lang w:val="en-GB"/>
        </w:rPr>
      </w:pPr>
    </w:p>
    <w:p w14:paraId="7B10DD56" w14:textId="4A11A56F" w:rsidR="009913B6" w:rsidRDefault="00AB116C" w:rsidP="00B211C5">
      <w:pPr>
        <w:pStyle w:val="Heading2"/>
        <w:spacing w:line="240" w:lineRule="auto"/>
        <w:rPr>
          <w:lang w:val="en-GB"/>
        </w:rPr>
      </w:pPr>
      <w:bookmarkStart w:id="41" w:name="_Ref421267644"/>
      <w:r w:rsidRPr="006075A4">
        <w:rPr>
          <w:lang w:val="en-GB"/>
        </w:rPr>
        <w:t>European Court of Human Rights (EC</w:t>
      </w:r>
      <w:r w:rsidR="00880B15">
        <w:rPr>
          <w:lang w:val="en-GB"/>
        </w:rPr>
        <w:t>t</w:t>
      </w:r>
      <w:r w:rsidRPr="006075A4">
        <w:rPr>
          <w:lang w:val="en-GB"/>
        </w:rPr>
        <w:t>HR)</w:t>
      </w:r>
      <w:bookmarkEnd w:id="41"/>
      <w:r w:rsidR="009913B6" w:rsidRPr="006075A4">
        <w:rPr>
          <w:lang w:val="en-GB"/>
        </w:rPr>
        <w:br/>
      </w:r>
    </w:p>
    <w:p w14:paraId="653B414F" w14:textId="0ED7413D" w:rsidR="004D1EB3" w:rsidRPr="006B7A01" w:rsidRDefault="004D1EB3" w:rsidP="00B211C5">
      <w:pPr>
        <w:jc w:val="both"/>
        <w:rPr>
          <w:b/>
          <w:lang w:val="en-GB"/>
        </w:rPr>
      </w:pPr>
      <w:r w:rsidRPr="006B7A01">
        <w:rPr>
          <w:b/>
          <w:lang w:val="en-GB"/>
        </w:rPr>
        <w:t>Application no. 55354/11 – Civek v. Turkey (23 February 2016)</w:t>
      </w:r>
    </w:p>
    <w:p w14:paraId="3167A6CC" w14:textId="771CD983" w:rsidR="00445DEE" w:rsidRPr="00445DEE" w:rsidRDefault="00274B8D" w:rsidP="00B211C5">
      <w:pPr>
        <w:jc w:val="both"/>
        <w:rPr>
          <w:lang w:val="en-US"/>
        </w:rPr>
      </w:pPr>
      <w:r>
        <w:rPr>
          <w:lang w:val="en-GB"/>
        </w:rPr>
        <w:t xml:space="preserve">The ECtHR found </w:t>
      </w:r>
      <w:r w:rsidR="006B7A01">
        <w:rPr>
          <w:lang w:val="en-GB"/>
        </w:rPr>
        <w:t xml:space="preserve">a </w:t>
      </w:r>
      <w:r w:rsidR="006B7A01" w:rsidRPr="00274B8D">
        <w:rPr>
          <w:lang w:val="en-GB"/>
        </w:rPr>
        <w:t>violation</w:t>
      </w:r>
      <w:r w:rsidRPr="00274B8D">
        <w:rPr>
          <w:lang w:val="en-GB"/>
        </w:rPr>
        <w:t xml:space="preserve"> of Article 2</w:t>
      </w:r>
      <w:r>
        <w:rPr>
          <w:lang w:val="en-GB"/>
        </w:rPr>
        <w:t xml:space="preserve"> (right to life)</w:t>
      </w:r>
      <w:r w:rsidR="006B7A01">
        <w:rPr>
          <w:lang w:val="en-GB"/>
        </w:rPr>
        <w:t xml:space="preserve"> following the authorities’ failure to react </w:t>
      </w:r>
      <w:r w:rsidRPr="00274B8D">
        <w:rPr>
          <w:lang w:val="en-GB"/>
        </w:rPr>
        <w:t xml:space="preserve">to prevent </w:t>
      </w:r>
      <w:r w:rsidR="006B7A01">
        <w:rPr>
          <w:lang w:val="en-GB"/>
        </w:rPr>
        <w:t>the murder of the applicants</w:t>
      </w:r>
      <w:r w:rsidRPr="00274B8D">
        <w:rPr>
          <w:lang w:val="en-GB"/>
        </w:rPr>
        <w:t>’</w:t>
      </w:r>
      <w:r w:rsidR="006B7A01">
        <w:rPr>
          <w:lang w:val="en-GB"/>
        </w:rPr>
        <w:t xml:space="preserve"> mother despite </w:t>
      </w:r>
      <w:r w:rsidRPr="00274B8D">
        <w:rPr>
          <w:lang w:val="en-GB"/>
        </w:rPr>
        <w:t>knowing that she was under a genuine and serious threat</w:t>
      </w:r>
      <w:r w:rsidR="006B7A01">
        <w:rPr>
          <w:lang w:val="en-GB"/>
        </w:rPr>
        <w:t>.</w:t>
      </w:r>
      <w:r w:rsidR="006B7A01" w:rsidRPr="006B7A01">
        <w:rPr>
          <w:lang w:val="en-US"/>
        </w:rPr>
        <w:t xml:space="preserve"> </w:t>
      </w:r>
      <w:r w:rsidR="006B7A01" w:rsidRPr="006B7A01">
        <w:rPr>
          <w:lang w:val="en-GB"/>
        </w:rPr>
        <w:t xml:space="preserve">The summary of the case is available </w:t>
      </w:r>
      <w:hyperlink r:id="rId52" w:history="1">
        <w:r w:rsidR="006B7A01" w:rsidRPr="006B7A01">
          <w:rPr>
            <w:rStyle w:val="Hyperlink"/>
            <w:lang w:val="en-GB"/>
          </w:rPr>
          <w:t>here</w:t>
        </w:r>
      </w:hyperlink>
      <w:r w:rsidR="006B7A01" w:rsidRPr="006B7A01">
        <w:rPr>
          <w:lang w:val="en-GB"/>
        </w:rPr>
        <w:t>.</w:t>
      </w:r>
      <w:r w:rsidR="006B7A01">
        <w:rPr>
          <w:lang w:val="en-GB"/>
        </w:rPr>
        <w:t xml:space="preserve"> Since the ECtHR found a violation of Article 2, it refused to </w:t>
      </w:r>
      <w:r w:rsidR="0095164B" w:rsidRPr="006B7A01">
        <w:rPr>
          <w:lang w:val="en-US"/>
        </w:rPr>
        <w:t>adjudicate on Article 14</w:t>
      </w:r>
      <w:r w:rsidR="006B7A01">
        <w:rPr>
          <w:lang w:val="en-US"/>
        </w:rPr>
        <w:t xml:space="preserve"> (non-discrimination), despite the latter being referred</w:t>
      </w:r>
      <w:r w:rsidR="00B46448">
        <w:rPr>
          <w:lang w:val="en-US"/>
        </w:rPr>
        <w:t xml:space="preserve"> to</w:t>
      </w:r>
      <w:r w:rsidR="006B7A01">
        <w:rPr>
          <w:lang w:val="en-US"/>
        </w:rPr>
        <w:t xml:space="preserve"> by the </w:t>
      </w:r>
      <w:r w:rsidR="00B46448">
        <w:rPr>
          <w:lang w:val="en-US"/>
        </w:rPr>
        <w:t>applicants</w:t>
      </w:r>
      <w:r w:rsidR="006B7A01">
        <w:rPr>
          <w:lang w:val="en-US"/>
        </w:rPr>
        <w:t>.</w:t>
      </w:r>
    </w:p>
    <w:p w14:paraId="5BBC80C3" w14:textId="68DCD33D" w:rsidR="00445DEE" w:rsidRPr="00445DEE" w:rsidRDefault="00445DEE" w:rsidP="00B211C5">
      <w:pPr>
        <w:jc w:val="both"/>
        <w:rPr>
          <w:b/>
          <w:lang w:val="en-US"/>
        </w:rPr>
      </w:pPr>
      <w:r w:rsidRPr="00445DEE">
        <w:rPr>
          <w:b/>
          <w:lang w:val="en-US"/>
        </w:rPr>
        <w:t xml:space="preserve">Application no. 68453/13 – Pajić v. Croatia </w:t>
      </w:r>
      <w:r w:rsidRPr="00445DEE">
        <w:rPr>
          <w:b/>
          <w:lang w:val="en-GB"/>
        </w:rPr>
        <w:t>(23 February 2016)</w:t>
      </w:r>
    </w:p>
    <w:p w14:paraId="218D7DFF" w14:textId="13098B6E" w:rsidR="00445DEE" w:rsidRPr="00445DEE" w:rsidRDefault="00445DEE" w:rsidP="00B211C5">
      <w:pPr>
        <w:jc w:val="both"/>
        <w:rPr>
          <w:lang w:val="en-US"/>
        </w:rPr>
      </w:pPr>
      <w:r w:rsidRPr="00445DEE">
        <w:rPr>
          <w:lang w:val="en-US"/>
        </w:rPr>
        <w:t>Violation of Article 14 in conjunction with</w:t>
      </w:r>
      <w:r>
        <w:rPr>
          <w:lang w:val="en-US"/>
        </w:rPr>
        <w:t xml:space="preserve"> Article 8 (right to family life), concerning discrimination on the ground of sexual orientation. More information is available </w:t>
      </w:r>
      <w:hyperlink r:id="rId53" w:anchor="{&quot;documentcollectionid2&quot;:[&quot;GRANDCHAMBER&quot;,&quot;CHAMBER&quot;],&quot;itemid&quot;:[&quot;001-161061&quot;]}" w:history="1">
        <w:r w:rsidRPr="00445DEE">
          <w:rPr>
            <w:rStyle w:val="Hyperlink"/>
            <w:lang w:val="en-US"/>
          </w:rPr>
          <w:t>here</w:t>
        </w:r>
      </w:hyperlink>
      <w:r>
        <w:rPr>
          <w:lang w:val="en-US"/>
        </w:rPr>
        <w:t>.</w:t>
      </w:r>
    </w:p>
    <w:p w14:paraId="4C275E5A" w14:textId="7F974D27" w:rsidR="00445DEE" w:rsidRPr="00445DEE" w:rsidRDefault="00445DEE" w:rsidP="00B211C5">
      <w:pPr>
        <w:jc w:val="both"/>
        <w:rPr>
          <w:b/>
          <w:lang w:val="en-US"/>
        </w:rPr>
      </w:pPr>
      <w:r w:rsidRPr="00445DEE">
        <w:rPr>
          <w:b/>
          <w:lang w:val="en-US"/>
        </w:rPr>
        <w:t xml:space="preserve">Application no. 51500/08 – ÇAM v. Turkey </w:t>
      </w:r>
      <w:r w:rsidRPr="00445DEE">
        <w:rPr>
          <w:b/>
          <w:lang w:val="en-GB"/>
        </w:rPr>
        <w:t>(23 February 2016)</w:t>
      </w:r>
    </w:p>
    <w:p w14:paraId="6D54C256" w14:textId="7CBCEFFF" w:rsidR="004D1EB3" w:rsidRDefault="00445DEE" w:rsidP="00A3740D">
      <w:pPr>
        <w:jc w:val="both"/>
        <w:rPr>
          <w:lang w:val="en-US"/>
        </w:rPr>
      </w:pPr>
      <w:r>
        <w:rPr>
          <w:lang w:val="en-US"/>
        </w:rPr>
        <w:t xml:space="preserve">The ECtHR found a violation of Article 14 in conjunction of Article 2 of Protocol 1 (right to education). </w:t>
      </w:r>
      <w:r w:rsidR="00AB00D1">
        <w:rPr>
          <w:lang w:val="en-US"/>
        </w:rPr>
        <w:t xml:space="preserve">The case specifically concerns the availability and delivery of reasonable accommodations in education settings and directly mentions the UN Convention of the Rights of Persons with Disability (CRPD). Information is available only </w:t>
      </w:r>
      <w:hyperlink r:id="rId54" w:history="1">
        <w:r w:rsidR="00AB00D1" w:rsidRPr="00D47BC3">
          <w:rPr>
            <w:rStyle w:val="Hyperlink"/>
            <w:lang w:val="en-US"/>
          </w:rPr>
          <w:t>in French</w:t>
        </w:r>
      </w:hyperlink>
      <w:r w:rsidR="00D47BC3">
        <w:rPr>
          <w:lang w:val="en-US"/>
        </w:rPr>
        <w:t xml:space="preserve">. </w:t>
      </w:r>
    </w:p>
    <w:p w14:paraId="31649852" w14:textId="4E0F1484" w:rsidR="004424A6" w:rsidRPr="004424A6" w:rsidRDefault="004424A6" w:rsidP="00A3740D">
      <w:pPr>
        <w:jc w:val="both"/>
        <w:rPr>
          <w:lang w:val="en-GB"/>
        </w:rPr>
      </w:pPr>
      <w:r w:rsidRPr="004424A6">
        <w:rPr>
          <w:b/>
          <w:lang w:val="en-GB"/>
        </w:rPr>
        <w:t>Application no.</w:t>
      </w:r>
      <w:r w:rsidRPr="004424A6">
        <w:rPr>
          <w:lang w:val="en-GB"/>
        </w:rPr>
        <w:t xml:space="preserve"> </w:t>
      </w:r>
      <w:r w:rsidRPr="004424A6">
        <w:rPr>
          <w:b/>
          <w:lang w:val="en-GB"/>
        </w:rPr>
        <w:t>43494/09 – Garib v. the Netherlands (23 February 2016)</w:t>
      </w:r>
    </w:p>
    <w:p w14:paraId="22E57E93" w14:textId="6DFEDC23" w:rsidR="004424A6" w:rsidRPr="004424A6" w:rsidRDefault="004424A6" w:rsidP="004424A6">
      <w:pPr>
        <w:jc w:val="both"/>
        <w:rPr>
          <w:lang w:val="en-GB"/>
        </w:rPr>
      </w:pPr>
      <w:r w:rsidRPr="004424A6">
        <w:rPr>
          <w:lang w:val="en-GB"/>
        </w:rPr>
        <w:t xml:space="preserve">The case concerned residential restrictions and social welfare, for which the ECtHR did not find any violation of Article 2 of Protocol No. 4 (freedom of movement / freedom to choose one’s residence) and did not analyse the aspect of discrimination on the basis of social origin or socio-economic status. However, Judges López Guerra and Keller expressed a joint dissenting opinion holding that there was a violation of Article 2 of Protocol No. 4 and that the “judgment fail[ed] to recognise that the exclusion of vulnerable groups on the basis of personal characteristics that individuals cannot easily amend is most problematic, given its stigmatising effect.” More information can be found </w:t>
      </w:r>
      <w:hyperlink r:id="rId55" w:anchor="{&quot;languageisocode&quot;:[&quot;ENG&quot;],&quot;documentcollectionid2&quot;:[&quot;JUDGMENTS&quot;]}" w:history="1">
        <w:r w:rsidRPr="004424A6">
          <w:rPr>
            <w:rStyle w:val="Hyperlink"/>
            <w:lang w:val="en-GB"/>
          </w:rPr>
          <w:t>here</w:t>
        </w:r>
      </w:hyperlink>
      <w:r w:rsidRPr="004424A6">
        <w:rPr>
          <w:lang w:val="en-GB"/>
        </w:rPr>
        <w:t>.</w:t>
      </w:r>
    </w:p>
    <w:sectPr w:rsidR="004424A6" w:rsidRPr="004424A6" w:rsidSect="006415D5">
      <w:footerReference w:type="default" r:id="rId5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1DD77DD1" w:rsidR="00B07813" w:rsidRDefault="00B07813">
        <w:pPr>
          <w:pStyle w:val="Footer"/>
          <w:jc w:val="center"/>
        </w:pPr>
        <w:r>
          <w:fldChar w:fldCharType="begin"/>
        </w:r>
        <w:r>
          <w:instrText xml:space="preserve"> PAGE   \* MERGEFORMAT </w:instrText>
        </w:r>
        <w:r>
          <w:fldChar w:fldCharType="separate"/>
        </w:r>
        <w:r w:rsidR="00C0290D">
          <w:rPr>
            <w:noProof/>
          </w:rPr>
          <w:t>7</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C88"/>
    <w:multiLevelType w:val="hybridMultilevel"/>
    <w:tmpl w:val="B9A8D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0C089D"/>
    <w:multiLevelType w:val="hybridMultilevel"/>
    <w:tmpl w:val="A1DE2B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BDD736E"/>
    <w:multiLevelType w:val="hybridMultilevel"/>
    <w:tmpl w:val="02D859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FA62188"/>
    <w:multiLevelType w:val="hybridMultilevel"/>
    <w:tmpl w:val="34F86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7721D03"/>
    <w:multiLevelType w:val="hybridMultilevel"/>
    <w:tmpl w:val="CA745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89E0A68"/>
    <w:multiLevelType w:val="hybridMultilevel"/>
    <w:tmpl w:val="F4BC5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DC53976"/>
    <w:multiLevelType w:val="hybridMultilevel"/>
    <w:tmpl w:val="5CE2A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5CDB"/>
    <w:rsid w:val="000263B4"/>
    <w:rsid w:val="00033C74"/>
    <w:rsid w:val="000348AB"/>
    <w:rsid w:val="00036CEA"/>
    <w:rsid w:val="000515A0"/>
    <w:rsid w:val="00060AE9"/>
    <w:rsid w:val="00070718"/>
    <w:rsid w:val="00074333"/>
    <w:rsid w:val="00094672"/>
    <w:rsid w:val="000B22AC"/>
    <w:rsid w:val="000B784B"/>
    <w:rsid w:val="000C7863"/>
    <w:rsid w:val="000D5978"/>
    <w:rsid w:val="000F46D8"/>
    <w:rsid w:val="000F79AC"/>
    <w:rsid w:val="001140DC"/>
    <w:rsid w:val="00114F97"/>
    <w:rsid w:val="00126C6E"/>
    <w:rsid w:val="00135F22"/>
    <w:rsid w:val="0014109E"/>
    <w:rsid w:val="0016113D"/>
    <w:rsid w:val="00167053"/>
    <w:rsid w:val="00167D2D"/>
    <w:rsid w:val="00175EA1"/>
    <w:rsid w:val="00177C56"/>
    <w:rsid w:val="0018390B"/>
    <w:rsid w:val="0018402A"/>
    <w:rsid w:val="001B305F"/>
    <w:rsid w:val="001C172F"/>
    <w:rsid w:val="001E3467"/>
    <w:rsid w:val="00207FD0"/>
    <w:rsid w:val="00217BAD"/>
    <w:rsid w:val="002257C4"/>
    <w:rsid w:val="0024578B"/>
    <w:rsid w:val="00255FDB"/>
    <w:rsid w:val="00274B8D"/>
    <w:rsid w:val="00291191"/>
    <w:rsid w:val="002B08F4"/>
    <w:rsid w:val="002C2F53"/>
    <w:rsid w:val="002C31FA"/>
    <w:rsid w:val="002C3BF0"/>
    <w:rsid w:val="002E5A0D"/>
    <w:rsid w:val="00307D94"/>
    <w:rsid w:val="003334CD"/>
    <w:rsid w:val="0034362B"/>
    <w:rsid w:val="00383A1F"/>
    <w:rsid w:val="0038736A"/>
    <w:rsid w:val="003904F8"/>
    <w:rsid w:val="003A3173"/>
    <w:rsid w:val="003C34AB"/>
    <w:rsid w:val="003F59DF"/>
    <w:rsid w:val="004141B8"/>
    <w:rsid w:val="004275EC"/>
    <w:rsid w:val="004424A6"/>
    <w:rsid w:val="00445DEE"/>
    <w:rsid w:val="0044701A"/>
    <w:rsid w:val="0048576D"/>
    <w:rsid w:val="004A773A"/>
    <w:rsid w:val="004A7771"/>
    <w:rsid w:val="004B0ABE"/>
    <w:rsid w:val="004D1EB3"/>
    <w:rsid w:val="004E6851"/>
    <w:rsid w:val="00501C96"/>
    <w:rsid w:val="005047E4"/>
    <w:rsid w:val="0051290D"/>
    <w:rsid w:val="005165D2"/>
    <w:rsid w:val="00522381"/>
    <w:rsid w:val="00542158"/>
    <w:rsid w:val="00546EB9"/>
    <w:rsid w:val="00566380"/>
    <w:rsid w:val="005978FA"/>
    <w:rsid w:val="005A767B"/>
    <w:rsid w:val="005B04DF"/>
    <w:rsid w:val="005B717A"/>
    <w:rsid w:val="005D3458"/>
    <w:rsid w:val="0060251B"/>
    <w:rsid w:val="006075A4"/>
    <w:rsid w:val="00611A6B"/>
    <w:rsid w:val="00624AFF"/>
    <w:rsid w:val="006415D5"/>
    <w:rsid w:val="0067153F"/>
    <w:rsid w:val="00680705"/>
    <w:rsid w:val="006A569F"/>
    <w:rsid w:val="006B7A01"/>
    <w:rsid w:val="006C3CD5"/>
    <w:rsid w:val="006E6137"/>
    <w:rsid w:val="00702D8C"/>
    <w:rsid w:val="00735BC7"/>
    <w:rsid w:val="0073740D"/>
    <w:rsid w:val="00754940"/>
    <w:rsid w:val="00757D6D"/>
    <w:rsid w:val="00781677"/>
    <w:rsid w:val="00792C11"/>
    <w:rsid w:val="007A61FC"/>
    <w:rsid w:val="00837FF6"/>
    <w:rsid w:val="00845CD1"/>
    <w:rsid w:val="00845D30"/>
    <w:rsid w:val="00847B78"/>
    <w:rsid w:val="00871587"/>
    <w:rsid w:val="008719D8"/>
    <w:rsid w:val="00880B15"/>
    <w:rsid w:val="00922F1E"/>
    <w:rsid w:val="0095164B"/>
    <w:rsid w:val="00966A95"/>
    <w:rsid w:val="00975348"/>
    <w:rsid w:val="0098311A"/>
    <w:rsid w:val="009913B6"/>
    <w:rsid w:val="00997A8C"/>
    <w:rsid w:val="009A27B5"/>
    <w:rsid w:val="009B4DBA"/>
    <w:rsid w:val="009C2CBE"/>
    <w:rsid w:val="009E42A3"/>
    <w:rsid w:val="009F48FE"/>
    <w:rsid w:val="00A34EB9"/>
    <w:rsid w:val="00A3740D"/>
    <w:rsid w:val="00A40F5A"/>
    <w:rsid w:val="00A73FA9"/>
    <w:rsid w:val="00A74E27"/>
    <w:rsid w:val="00A83053"/>
    <w:rsid w:val="00A86A2F"/>
    <w:rsid w:val="00A91933"/>
    <w:rsid w:val="00A924CE"/>
    <w:rsid w:val="00A965AC"/>
    <w:rsid w:val="00A975CF"/>
    <w:rsid w:val="00AB00D1"/>
    <w:rsid w:val="00AB116C"/>
    <w:rsid w:val="00AC40EF"/>
    <w:rsid w:val="00AC7F4D"/>
    <w:rsid w:val="00AD3748"/>
    <w:rsid w:val="00B07813"/>
    <w:rsid w:val="00B211C5"/>
    <w:rsid w:val="00B33A99"/>
    <w:rsid w:val="00B40C5A"/>
    <w:rsid w:val="00B43DB6"/>
    <w:rsid w:val="00B46448"/>
    <w:rsid w:val="00B81B74"/>
    <w:rsid w:val="00BC522B"/>
    <w:rsid w:val="00BC7E33"/>
    <w:rsid w:val="00BD5727"/>
    <w:rsid w:val="00BD7FB3"/>
    <w:rsid w:val="00BE1F3C"/>
    <w:rsid w:val="00BE506C"/>
    <w:rsid w:val="00BF7D99"/>
    <w:rsid w:val="00C0290D"/>
    <w:rsid w:val="00C07F99"/>
    <w:rsid w:val="00C117CA"/>
    <w:rsid w:val="00C70745"/>
    <w:rsid w:val="00C842B1"/>
    <w:rsid w:val="00C91705"/>
    <w:rsid w:val="00C92B6C"/>
    <w:rsid w:val="00CB2E4E"/>
    <w:rsid w:val="00CC57B6"/>
    <w:rsid w:val="00CF7284"/>
    <w:rsid w:val="00D013AD"/>
    <w:rsid w:val="00D05673"/>
    <w:rsid w:val="00D1064D"/>
    <w:rsid w:val="00D418BF"/>
    <w:rsid w:val="00D47BC3"/>
    <w:rsid w:val="00D52E39"/>
    <w:rsid w:val="00D54367"/>
    <w:rsid w:val="00D80D0E"/>
    <w:rsid w:val="00D926DA"/>
    <w:rsid w:val="00D95D5E"/>
    <w:rsid w:val="00DA1BD6"/>
    <w:rsid w:val="00DE3EC3"/>
    <w:rsid w:val="00DE4E66"/>
    <w:rsid w:val="00E014FB"/>
    <w:rsid w:val="00E1239F"/>
    <w:rsid w:val="00E300D5"/>
    <w:rsid w:val="00E409BB"/>
    <w:rsid w:val="00E60B0F"/>
    <w:rsid w:val="00E64486"/>
    <w:rsid w:val="00E91D96"/>
    <w:rsid w:val="00E92717"/>
    <w:rsid w:val="00EA1275"/>
    <w:rsid w:val="00EF12AD"/>
    <w:rsid w:val="00EF446F"/>
    <w:rsid w:val="00F23218"/>
    <w:rsid w:val="00F31126"/>
    <w:rsid w:val="00F34291"/>
    <w:rsid w:val="00F66D27"/>
    <w:rsid w:val="00F92C30"/>
    <w:rsid w:val="00F93FE2"/>
    <w:rsid w:val="00FA6B5D"/>
    <w:rsid w:val="00FC4E2D"/>
    <w:rsid w:val="00FE5DDF"/>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92177952-2401-4CB6-B0F2-3AE16BA6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6F"/>
  </w:style>
  <w:style w:type="paragraph" w:styleId="Heading1">
    <w:name w:val="heading 1"/>
    <w:basedOn w:val="Normal"/>
    <w:next w:val="Normal"/>
    <w:link w:val="Heading1Char"/>
    <w:uiPriority w:val="9"/>
    <w:qFormat/>
    <w:rsid w:val="002257C4"/>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A924CE"/>
    <w:pPr>
      <w:keepNext/>
      <w:keepLines/>
      <w:spacing w:before="40" w:after="0"/>
      <w:outlineLvl w:val="1"/>
    </w:pPr>
    <w:rPr>
      <w:rFonts w:asciiTheme="majorHAnsi" w:eastAsiaTheme="majorEastAsia" w:hAnsiTheme="majorHAnsi" w:cstheme="majorBidi"/>
      <w:b/>
      <w:color w:val="BF8F00" w:themeColor="accent4" w:themeShade="BF"/>
      <w:sz w:val="26"/>
      <w:szCs w:val="26"/>
    </w:rPr>
  </w:style>
  <w:style w:type="paragraph" w:styleId="Heading3">
    <w:name w:val="heading 3"/>
    <w:basedOn w:val="Normal"/>
    <w:next w:val="Normal"/>
    <w:link w:val="Heading3Char"/>
    <w:uiPriority w:val="9"/>
    <w:unhideWhenUsed/>
    <w:qFormat/>
    <w:rsid w:val="00094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C4"/>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924CE"/>
    <w:rPr>
      <w:rFonts w:asciiTheme="majorHAnsi" w:eastAsiaTheme="majorEastAsia" w:hAnsiTheme="majorHAnsi" w:cstheme="majorBidi"/>
      <w:b/>
      <w:color w:val="BF8F00" w:themeColor="accent4"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094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95D5E"/>
    <w:rPr>
      <w:b/>
      <w:bCs/>
    </w:rPr>
  </w:style>
  <w:style w:type="paragraph" w:styleId="NoSpacing">
    <w:name w:val="No Spacing"/>
    <w:uiPriority w:val="1"/>
    <w:qFormat/>
    <w:rsid w:val="00C0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607">
      <w:bodyDiv w:val="1"/>
      <w:marLeft w:val="0"/>
      <w:marRight w:val="0"/>
      <w:marTop w:val="0"/>
      <w:marBottom w:val="0"/>
      <w:divBdr>
        <w:top w:val="none" w:sz="0" w:space="0" w:color="auto"/>
        <w:left w:val="none" w:sz="0" w:space="0" w:color="auto"/>
        <w:bottom w:val="none" w:sz="0" w:space="0" w:color="auto"/>
        <w:right w:val="none" w:sz="0" w:space="0" w:color="auto"/>
      </w:divBdr>
    </w:div>
    <w:div w:id="359625593">
      <w:bodyDiv w:val="1"/>
      <w:marLeft w:val="0"/>
      <w:marRight w:val="0"/>
      <w:marTop w:val="0"/>
      <w:marBottom w:val="0"/>
      <w:divBdr>
        <w:top w:val="none" w:sz="0" w:space="0" w:color="auto"/>
        <w:left w:val="none" w:sz="0" w:space="0" w:color="auto"/>
        <w:bottom w:val="none" w:sz="0" w:space="0" w:color="auto"/>
        <w:right w:val="none" w:sz="0" w:space="0" w:color="auto"/>
      </w:divBdr>
    </w:div>
    <w:div w:id="45286970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4595415">
      <w:bodyDiv w:val="1"/>
      <w:marLeft w:val="0"/>
      <w:marRight w:val="0"/>
      <w:marTop w:val="0"/>
      <w:marBottom w:val="0"/>
      <w:divBdr>
        <w:top w:val="none" w:sz="0" w:space="0" w:color="auto"/>
        <w:left w:val="none" w:sz="0" w:space="0" w:color="auto"/>
        <w:bottom w:val="none" w:sz="0" w:space="0" w:color="auto"/>
        <w:right w:val="none" w:sz="0" w:space="0" w:color="auto"/>
      </w:divBdr>
    </w:div>
    <w:div w:id="778453894">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10754209">
      <w:bodyDiv w:val="1"/>
      <w:marLeft w:val="0"/>
      <w:marRight w:val="0"/>
      <w:marTop w:val="0"/>
      <w:marBottom w:val="0"/>
      <w:divBdr>
        <w:top w:val="none" w:sz="0" w:space="0" w:color="auto"/>
        <w:left w:val="none" w:sz="0" w:space="0" w:color="auto"/>
        <w:bottom w:val="none" w:sz="0" w:space="0" w:color="auto"/>
        <w:right w:val="none" w:sz="0" w:space="0" w:color="auto"/>
      </w:divBdr>
    </w:div>
    <w:div w:id="1292050035">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20850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90278121">
      <w:bodyDiv w:val="1"/>
      <w:marLeft w:val="0"/>
      <w:marRight w:val="0"/>
      <w:marTop w:val="0"/>
      <w:marBottom w:val="0"/>
      <w:divBdr>
        <w:top w:val="none" w:sz="0" w:space="0" w:color="auto"/>
        <w:left w:val="none" w:sz="0" w:space="0" w:color="auto"/>
        <w:bottom w:val="none" w:sz="0" w:space="0" w:color="auto"/>
        <w:right w:val="none" w:sz="0" w:space="0" w:color="auto"/>
      </w:divBdr>
    </w:div>
    <w:div w:id="1872569373">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1139022">
      <w:bodyDiv w:val="1"/>
      <w:marLeft w:val="0"/>
      <w:marRight w:val="0"/>
      <w:marTop w:val="0"/>
      <w:marBottom w:val="0"/>
      <w:divBdr>
        <w:top w:val="none" w:sz="0" w:space="0" w:color="auto"/>
        <w:left w:val="none" w:sz="0" w:space="0" w:color="auto"/>
        <w:bottom w:val="none" w:sz="0" w:space="0" w:color="auto"/>
        <w:right w:val="none" w:sz="0" w:space="0" w:color="auto"/>
      </w:divBdr>
    </w:div>
    <w:div w:id="1975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equineteurope.org/EIGE-s-new-Gender-Statistics" TargetMode="External"/><Relationship Id="rId26" Type="http://schemas.openxmlformats.org/officeDocument/2006/relationships/hyperlink" Target="http://www.equineteurope.org/Equality-Bodies-and-the-Gender" TargetMode="External"/><Relationship Id="rId39" Type="http://schemas.openxmlformats.org/officeDocument/2006/relationships/hyperlink" Target="http://www.coe.int/t/dghl/monitoring/ecri/Library/PressReleases/210_2016_03_01_Monaco_en.asp" TargetMode="External"/><Relationship Id="rId21" Type="http://schemas.openxmlformats.org/officeDocument/2006/relationships/hyperlink" Target="http://www.womenlobby.org/EWL-unveils-a-new-factsheet-on-violence-against-women" TargetMode="External"/><Relationship Id="rId34" Type="http://schemas.openxmlformats.org/officeDocument/2006/relationships/hyperlink" Target="http://weekagainstracism.eu/" TargetMode="External"/><Relationship Id="rId42" Type="http://schemas.openxmlformats.org/officeDocument/2006/relationships/hyperlink" Target="http://www.enar-eu.org/Forgotten-Women-the-impact-of-Islamophobia-on-Muslim-women" TargetMode="External"/><Relationship Id="rId47" Type="http://schemas.openxmlformats.org/officeDocument/2006/relationships/hyperlink" Target="http://www.age-platform.eu/images/stories/Publications/Annual_Report_2015.pdf" TargetMode="External"/><Relationship Id="rId50" Type="http://schemas.openxmlformats.org/officeDocument/2006/relationships/hyperlink" Target="http://curia.europa.eu/jcms/upload/docs/application/pdf/2016-03/cp160022en.pdf" TargetMode="External"/><Relationship Id="rId55" Type="http://schemas.openxmlformats.org/officeDocument/2006/relationships/hyperlink" Target="http://hudoc.echr.coe.int/eng" TargetMode="External"/><Relationship Id="rId7" Type="http://schemas.openxmlformats.org/officeDocument/2006/relationships/endnotes" Target="endnotes.xml"/><Relationship Id="rId12" Type="http://schemas.openxmlformats.org/officeDocument/2006/relationships/hyperlink" Target="https://rm.coe.int/CoERMPublicCommonSearchServices/DisplayDCTMContent?documentId=090000168046031c" TargetMode="External"/><Relationship Id="rId17" Type="http://schemas.openxmlformats.org/officeDocument/2006/relationships/hyperlink" Target="http://www.europarl.europa.eu/sides/getDoc.do?type=REPORT&amp;reference=A8-2016-0024&amp;language=EN" TargetMode="External"/><Relationship Id="rId25" Type="http://schemas.openxmlformats.org/officeDocument/2006/relationships/hyperlink" Target="http://www.equineteurope.org/Harassment-on-the-basis-of-Gender" TargetMode="External"/><Relationship Id="rId33" Type="http://schemas.openxmlformats.org/officeDocument/2006/relationships/hyperlink" Target="http://weekagainstracism.eu/" TargetMode="External"/><Relationship Id="rId38" Type="http://schemas.openxmlformats.org/officeDocument/2006/relationships/hyperlink" Target="http://www.coe.int/t/dghl/monitoring/ecri/Library/PressReleases/208_2016_03_01_France_en.asp" TargetMode="External"/><Relationship Id="rId46" Type="http://schemas.openxmlformats.org/officeDocument/2006/relationships/hyperlink" Target="http://www.coe.int/t/dg3/disability/DisabilitySofiaConference2016_en.asp" TargetMode="External"/><Relationship Id="rId2" Type="http://schemas.openxmlformats.org/officeDocument/2006/relationships/numbering" Target="numbering.xml"/><Relationship Id="rId16" Type="http://schemas.openxmlformats.org/officeDocument/2006/relationships/hyperlink" Target="http://ec.europa.eu/justice/grants1/calls/2015_action_grants/just_2015_rdap_ag_en.htm" TargetMode="External"/><Relationship Id="rId20" Type="http://schemas.openxmlformats.org/officeDocument/2006/relationships/hyperlink" Target="http://www.coe.int/en/web/commissioner/-/human-rights-of-refugee-and-migrant-women-and-girls-need-to-be-better-protected" TargetMode="External"/><Relationship Id="rId29" Type="http://schemas.openxmlformats.org/officeDocument/2006/relationships/hyperlink" Target="http://www.europarl.europa.eu/thinktank/en/document.html?reference=IPOL_STU%282016%29556930" TargetMode="External"/><Relationship Id="rId41" Type="http://schemas.openxmlformats.org/officeDocument/2006/relationships/hyperlink" Target="http://ec.europa.eu/justice/grants1/calls/2015_action_grants/just_2015_rdis_ag_disc_en.htm" TargetMode="External"/><Relationship Id="rId54" Type="http://schemas.openxmlformats.org/officeDocument/2006/relationships/hyperlink" Target="http://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Commission-proposes-EU-accession" TargetMode="External"/><Relationship Id="rId24" Type="http://schemas.openxmlformats.org/officeDocument/2006/relationships/hyperlink" Target="http://www.equineteurope.org/The-Work-of-Equality-Bodies" TargetMode="External"/><Relationship Id="rId32" Type="http://schemas.openxmlformats.org/officeDocument/2006/relationships/hyperlink" Target="http://www.unitedagainstracism.org/" TargetMode="External"/><Relationship Id="rId37" Type="http://schemas.openxmlformats.org/officeDocument/2006/relationships/hyperlink" Target="http://enar-eu.org/Looking-back-and-ahead-ENAR-s-impact-in-2015-and-plans-for-2016" TargetMode="External"/><Relationship Id="rId40" Type="http://schemas.openxmlformats.org/officeDocument/2006/relationships/hyperlink" Target="http://www.coe.int/t/dghl/monitoring/ecri/Library/PressReleases/207_2016_03_01_Conclusions_Ireland_Liechtenstein_en.asp" TargetMode="External"/><Relationship Id="rId45" Type="http://schemas.openxmlformats.org/officeDocument/2006/relationships/hyperlink" Target="http://www.edf-feph.org/Page_Generale.asp?DocID=13855&amp;thebloc=34421" TargetMode="External"/><Relationship Id="rId53" Type="http://schemas.openxmlformats.org/officeDocument/2006/relationships/hyperlink" Target="http://hudoc.echr.coe.int/en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justice/grants1/calls/2015_action_grants/just_2015_rgen_ag_role_en.htm" TargetMode="External"/><Relationship Id="rId23" Type="http://schemas.openxmlformats.org/officeDocument/2006/relationships/image" Target="media/image3.png"/><Relationship Id="rId28" Type="http://schemas.openxmlformats.org/officeDocument/2006/relationships/hyperlink" Target="http://ec.europa.eu/social/main.jsp?langId=en&amp;catId=699&amp;consultId=22&amp;visib=0&amp;furtherConsult=yes" TargetMode="External"/><Relationship Id="rId36" Type="http://schemas.openxmlformats.org/officeDocument/2006/relationships/hyperlink" Target="https://wcd.coe.int/ViewDoc.jsp?id=2363275&amp;amp;Site=COE&amp;amp;BackColorInternet=C3C3C3&amp;amp;BackColorIntranet=EDB021&amp;amp;BackColorLogged=F5D383French" TargetMode="External"/><Relationship Id="rId49" Type="http://schemas.openxmlformats.org/officeDocument/2006/relationships/hyperlink" Target="http://fra.europa.eu/en/news/2016/fra-publishes-second-monthly-update-fundamental-rights-and-migration" TargetMode="External"/><Relationship Id="rId57" Type="http://schemas.openxmlformats.org/officeDocument/2006/relationships/fontTable" Target="fontTable.xml"/><Relationship Id="rId10" Type="http://schemas.openxmlformats.org/officeDocument/2006/relationships/hyperlink" Target="http://www.equineteurope.org/Equinet-and-Gender-Equality" TargetMode="External"/><Relationship Id="rId19" Type="http://schemas.openxmlformats.org/officeDocument/2006/relationships/hyperlink" Target="http://fra.europa.eu/en/publication/2014/violence-against-women-eu-wide-survey-main-results-report" TargetMode="External"/><Relationship Id="rId31" Type="http://schemas.openxmlformats.org/officeDocument/2006/relationships/hyperlink" Target="http://fra.europa.eu/en/event/2016/fundamental-rights-forum-connectreflectact?_cldee=amVzc2ljYS5tYWNoYWNvdmFAZXF1aW5ldGV1cm9wZS5vcmc%3D&amp;urlid=9" TargetMode="External"/><Relationship Id="rId44" Type="http://schemas.openxmlformats.org/officeDocument/2006/relationships/hyperlink" Target="http://www.europarl.europa.eu/sides/getDoc.do?pubRef=-%2f%2fEP%2f%2fTEXT%2bREPORT%2bA8-2016-0034%2b0%2bDOC%2bXML%2bV0%2f%2fEN&amp;language=EN" TargetMode="External"/><Relationship Id="rId52" Type="http://schemas.openxmlformats.org/officeDocument/2006/relationships/hyperlink" Target="file:///C:\Users\lama\Downloads\Judgment%20Civek%20v.%20Turkey%20-%20domestic%20violence%20against%20and%20murder%20of%20a%20woman%20by%20her%20husband.pdf"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European-Commission-s-2015-Report" TargetMode="External"/><Relationship Id="rId22" Type="http://schemas.openxmlformats.org/officeDocument/2006/relationships/hyperlink" Target="http://iawmh2017.org/wp/" TargetMode="External"/><Relationship Id="rId27" Type="http://schemas.openxmlformats.org/officeDocument/2006/relationships/hyperlink" Target="http://www.equineteurope.org/Equal-Pay-the-experience-of" TargetMode="External"/><Relationship Id="rId30" Type="http://schemas.openxmlformats.org/officeDocument/2006/relationships/hyperlink" Target="http://fra.europa.eu/en/publication/2016/fra-national-stakeholders-meeting-report?_cldee=amVzc2ljYS5tYWNoYWNvdmFAZXF1aW5ldGV1cm9wZS5vcmc%3d&amp;urlid=18" TargetMode="External"/><Relationship Id="rId35" Type="http://schemas.openxmlformats.org/officeDocument/2006/relationships/hyperlink" Target="http://www.coe.int/be/web/commissioner/-/european-countries-must-stop-forced-evictions-of-roma?redirect=http://www.coe.int/be/web/commissioner/home?p_p_id=101_INSTANCE_iFWYWFoeqhvQ&amp;p_p_lifecycle=0&amp;p_p_state=normal&amp;p_p_mode=view&amp;p_p_col_id=column-1&amp;p_p_col_count=4" TargetMode="External"/><Relationship Id="rId43" Type="http://schemas.openxmlformats.org/officeDocument/2006/relationships/hyperlink" Target="http://ilga-europe.org/resources/ilga-europe-reports-and-other-materials/standing-human-rights-intersex-people-how-can-you" TargetMode="External"/><Relationship Id="rId48" Type="http://schemas.openxmlformats.org/officeDocument/2006/relationships/hyperlink" Target="http://fra.europa.eu/en/news/2016/fra-publishes-first-monthly-update-fundamental-rights-and-migration?_cldee=amVzc2ljYS5tYWNoYWNvdmFAZXF1aW5ldGV1cm9wZS5vcmc%3d&amp;urlid=10"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curia.europa.eu/jcms/upload/docs/application/pdf/2016-02/cp160018en.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C50B-9FD4-4BFE-936D-32642AAB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Pages>
  <Words>3138</Words>
  <Characters>17265</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71</cp:revision>
  <cp:lastPrinted>2015-06-05T09:25:00Z</cp:lastPrinted>
  <dcterms:created xsi:type="dcterms:W3CDTF">2015-06-12T12:43:00Z</dcterms:created>
  <dcterms:modified xsi:type="dcterms:W3CDTF">2016-03-11T16:46:00Z</dcterms:modified>
</cp:coreProperties>
</file>