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20796" w14:textId="17D75909" w:rsidR="001407CF" w:rsidRDefault="00A93646" w:rsidP="00CE7D4C">
      <w:pPr>
        <w:spacing w:line="240" w:lineRule="auto"/>
        <w:jc w:val="both"/>
        <w:rPr>
          <w:b/>
          <w:lang w:val="en-GB"/>
        </w:rPr>
      </w:pPr>
      <w:r>
        <w:rPr>
          <w:b/>
          <w:noProof/>
          <w:lang w:eastAsia="fr-BE"/>
        </w:rPr>
        <w:drawing>
          <wp:anchor distT="0" distB="0" distL="114300" distR="114300" simplePos="0" relativeHeight="251659776" behindDoc="0" locked="0" layoutInCell="1" allowOverlap="1" wp14:anchorId="2311216F" wp14:editId="02DF50D5">
            <wp:simplePos x="0" y="0"/>
            <wp:positionH relativeFrom="page">
              <wp:align>right</wp:align>
            </wp:positionH>
            <wp:positionV relativeFrom="page">
              <wp:align>top</wp:align>
            </wp:positionV>
            <wp:extent cx="7553325" cy="2094913"/>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094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26731" w14:textId="6A92ABD7" w:rsidR="00CF7284" w:rsidRPr="001407CF" w:rsidRDefault="00F31126" w:rsidP="00CE7D4C">
      <w:pPr>
        <w:spacing w:line="240" w:lineRule="auto"/>
        <w:jc w:val="both"/>
        <w:rPr>
          <w:b/>
          <w:lang w:val="en-GB"/>
        </w:rPr>
      </w:pPr>
      <w:r w:rsidRPr="001A3BA9">
        <w:rPr>
          <w:b/>
          <w:lang w:val="en-GB"/>
        </w:rPr>
        <w:t xml:space="preserve">Dear Equinet Members, </w:t>
      </w:r>
      <w:r w:rsidRPr="001A3BA9">
        <w:rPr>
          <w:b/>
          <w:lang w:val="en-GB"/>
        </w:rPr>
        <w:tab/>
      </w:r>
      <w:r w:rsidR="001407CF">
        <w:rPr>
          <w:b/>
          <w:lang w:val="en-GB"/>
        </w:rPr>
        <w:br/>
      </w:r>
      <w:r w:rsidRPr="001A3BA9">
        <w:rPr>
          <w:b/>
          <w:lang w:val="en-GB"/>
        </w:rPr>
        <w:br/>
      </w:r>
      <w:r w:rsidRPr="001A3BA9">
        <w:rPr>
          <w:lang w:val="en-GB"/>
        </w:rPr>
        <w:t xml:space="preserve">This Members’ Bulletin gathers </w:t>
      </w:r>
      <w:r w:rsidRPr="001A3BA9">
        <w:rPr>
          <w:b/>
          <w:lang w:val="en-GB"/>
        </w:rPr>
        <w:t>the latest European Union (EU) and international developments</w:t>
      </w:r>
      <w:r w:rsidRPr="001A3BA9">
        <w:rPr>
          <w:lang w:val="en-GB"/>
        </w:rPr>
        <w:t xml:space="preserve">. It aims to give you an </w:t>
      </w:r>
      <w:r w:rsidRPr="001A3BA9">
        <w:rPr>
          <w:b/>
          <w:lang w:val="en-GB"/>
        </w:rPr>
        <w:t>overview of relevant policy and legal developments</w:t>
      </w:r>
      <w:r w:rsidRPr="001A3BA9">
        <w:rPr>
          <w:lang w:val="en-GB"/>
        </w:rPr>
        <w:t xml:space="preserve">, as well as latest calls for interest, funding opportunities and upcoming events. We very much hope this members’ bulletin will be useful in your day-to-day work and we would be grateful if you could </w:t>
      </w:r>
      <w:r w:rsidRPr="001A3BA9">
        <w:rPr>
          <w:b/>
          <w:lang w:val="en-GB"/>
        </w:rPr>
        <w:t>disseminate it among your colleagues</w:t>
      </w:r>
      <w:r w:rsidRPr="001A3BA9">
        <w:rPr>
          <w:lang w:val="en-GB"/>
        </w:rPr>
        <w:t xml:space="preserve">. Your feedback is also greatly appreciated. Should you have any comments or further questions, </w:t>
      </w:r>
      <w:r w:rsidRPr="001A3BA9">
        <w:rPr>
          <w:b/>
          <w:lang w:val="en-GB"/>
        </w:rPr>
        <w:t>please do not hesitate to contact Jessica Machacova, Equinet Project Officer</w:t>
      </w:r>
      <w:r w:rsidRPr="001A3BA9">
        <w:rPr>
          <w:lang w:val="en-GB"/>
        </w:rPr>
        <w:t xml:space="preserve"> (</w:t>
      </w:r>
      <w:hyperlink r:id="rId9" w:history="1">
        <w:r w:rsidRPr="001A3BA9">
          <w:rPr>
            <w:rStyle w:val="Hyperlink"/>
            <w:lang w:val="en-GB"/>
          </w:rPr>
          <w:t>Jessica.machacova@equineteurope.org</w:t>
        </w:r>
      </w:hyperlink>
      <w:r w:rsidRPr="001A3BA9">
        <w:rPr>
          <w:lang w:val="en-GB"/>
        </w:rPr>
        <w:t xml:space="preserve"> / 0032 2 212 31 80). </w:t>
      </w:r>
    </w:p>
    <w:p w14:paraId="4E1D63FE" w14:textId="2A3333B6" w:rsidR="002C3BF0" w:rsidRPr="001A3BA9" w:rsidRDefault="002C3BF0" w:rsidP="00CE7D4C">
      <w:pPr>
        <w:shd w:val="clear" w:color="auto" w:fill="D9D9D9" w:themeFill="background1" w:themeFillShade="D9"/>
        <w:spacing w:line="240" w:lineRule="auto"/>
        <w:jc w:val="center"/>
        <w:rPr>
          <w:b/>
          <w:sz w:val="28"/>
          <w:lang w:val="en-GB"/>
        </w:rPr>
      </w:pPr>
      <w:r w:rsidRPr="001A3BA9">
        <w:rPr>
          <w:b/>
          <w:sz w:val="28"/>
          <w:lang w:val="en-GB"/>
        </w:rPr>
        <w:t>Equinet Members’ Bulletin on latest EU and i</w:t>
      </w:r>
      <w:r w:rsidR="004F608B">
        <w:rPr>
          <w:b/>
          <w:sz w:val="28"/>
          <w:lang w:val="en-GB"/>
        </w:rPr>
        <w:t xml:space="preserve">nternal developments – Table of </w:t>
      </w:r>
      <w:r w:rsidRPr="001A3BA9">
        <w:rPr>
          <w:b/>
          <w:sz w:val="28"/>
          <w:lang w:val="en-GB"/>
        </w:rPr>
        <w:t>contents</w:t>
      </w:r>
    </w:p>
    <w:p w14:paraId="5891F305" w14:textId="77777777" w:rsidR="002C3BF0" w:rsidRPr="001A3BA9" w:rsidRDefault="002C3BF0" w:rsidP="00CE7D4C">
      <w:pPr>
        <w:spacing w:line="240" w:lineRule="auto"/>
        <w:jc w:val="both"/>
        <w:rPr>
          <w:b/>
          <w:i/>
          <w:color w:val="FF0000"/>
          <w:lang w:val="en-GB"/>
        </w:rPr>
      </w:pPr>
      <w:r w:rsidRPr="001A3BA9">
        <w:rPr>
          <w:b/>
          <w:i/>
          <w:color w:val="FF0000"/>
          <w:lang w:val="en-GB"/>
        </w:rPr>
        <w:t>(Ctrl + Click to follow the link)</w:t>
      </w:r>
    </w:p>
    <w:bookmarkStart w:id="0" w:name="_Toc418770742"/>
    <w:bookmarkStart w:id="1" w:name="_Ref418783893"/>
    <w:bookmarkStart w:id="2" w:name="_Ref418783894"/>
    <w:bookmarkStart w:id="3" w:name="_Ref421267367"/>
    <w:p w14:paraId="55D96E6B" w14:textId="0452E138" w:rsidR="00605CAA" w:rsidRPr="00F33174" w:rsidRDefault="00A93646" w:rsidP="00605CAA">
      <w:pPr>
        <w:spacing w:line="240" w:lineRule="auto"/>
        <w:jc w:val="both"/>
        <w:rPr>
          <w:b/>
          <w:highlight w:val="yellow"/>
          <w:u w:val="single"/>
          <w:lang w:val="en-GB"/>
        </w:rPr>
      </w:pPr>
      <w:r>
        <w:rPr>
          <w:b/>
          <w:highlight w:val="yellow"/>
          <w:u w:val="single"/>
          <w:lang w:val="en-GB"/>
        </w:rPr>
        <w:fldChar w:fldCharType="begin"/>
      </w:r>
      <w:r>
        <w:rPr>
          <w:b/>
          <w:highlight w:val="yellow"/>
          <w:u w:val="single"/>
          <w:lang w:val="en-GB"/>
        </w:rPr>
        <w:instrText xml:space="preserve"> REF _Ref452643353 \h  \* MERGEFORMAT </w:instrText>
      </w:r>
      <w:r>
        <w:rPr>
          <w:b/>
          <w:highlight w:val="yellow"/>
          <w:u w:val="single"/>
          <w:lang w:val="en-GB"/>
        </w:rPr>
      </w:r>
      <w:r>
        <w:rPr>
          <w:b/>
          <w:highlight w:val="yellow"/>
          <w:u w:val="single"/>
          <w:lang w:val="en-GB"/>
        </w:rPr>
        <w:fldChar w:fldCharType="separate"/>
      </w:r>
      <w:r w:rsidRPr="00A93646">
        <w:rPr>
          <w:b/>
          <w:lang w:val="en-GB"/>
        </w:rPr>
        <w:t>Highlight:</w:t>
      </w:r>
      <w:r w:rsidRPr="00EE5BC9">
        <w:rPr>
          <w:lang w:val="en-GB"/>
        </w:rPr>
        <w:t xml:space="preserve"> </w:t>
      </w:r>
      <w:r w:rsidRPr="00A93646">
        <w:rPr>
          <w:b/>
          <w:color w:val="0070C0"/>
          <w:u w:val="single"/>
          <w:lang w:val="en-GB"/>
        </w:rPr>
        <w:t>International Day against Homophobia, Transphobia and Biphobia 2016</w:t>
      </w:r>
      <w:r>
        <w:rPr>
          <w:b/>
          <w:highlight w:val="yellow"/>
          <w:u w:val="single"/>
          <w:lang w:val="en-GB"/>
        </w:rPr>
        <w:fldChar w:fldCharType="end"/>
      </w:r>
    </w:p>
    <w:p w14:paraId="4B3B67FE" w14:textId="5C1AD52D" w:rsidR="00A3740D" w:rsidRPr="00FB73ED" w:rsidRDefault="0095149D" w:rsidP="00CE7D4C">
      <w:pPr>
        <w:pStyle w:val="NoSpacing"/>
        <w:jc w:val="both"/>
        <w:rPr>
          <w:b/>
          <w:lang w:val="en-GB"/>
        </w:rPr>
      </w:pPr>
      <w:hyperlink w:anchor="_General_information" w:history="1">
        <w:r w:rsidR="00A3740D" w:rsidRPr="00FB73ED">
          <w:rPr>
            <w:rStyle w:val="Hyperlink"/>
            <w:b/>
            <w:lang w:val="en-GB"/>
          </w:rPr>
          <w:t>General Information</w:t>
        </w:r>
      </w:hyperlink>
    </w:p>
    <w:p w14:paraId="559FC724" w14:textId="633D0FE4" w:rsidR="00A3740D" w:rsidRPr="00FB73ED" w:rsidRDefault="00A3740D" w:rsidP="00CE7D4C">
      <w:pPr>
        <w:pStyle w:val="NoSpacing"/>
        <w:numPr>
          <w:ilvl w:val="0"/>
          <w:numId w:val="13"/>
        </w:numPr>
        <w:jc w:val="both"/>
        <w:rPr>
          <w:lang w:val="en-GB"/>
        </w:rPr>
      </w:pPr>
      <w:r w:rsidRPr="00FB73ED">
        <w:rPr>
          <w:lang w:val="en-GB"/>
        </w:rPr>
        <w:t>Publications, funding opportunities and events</w:t>
      </w:r>
    </w:p>
    <w:p w14:paraId="36B453B5" w14:textId="77777777" w:rsidR="004F608B" w:rsidRPr="00FB73ED" w:rsidRDefault="004F608B" w:rsidP="00CE7D4C">
      <w:pPr>
        <w:pStyle w:val="NoSpacing"/>
        <w:ind w:left="720"/>
        <w:jc w:val="both"/>
        <w:rPr>
          <w:lang w:val="en-GB"/>
        </w:rPr>
      </w:pPr>
    </w:p>
    <w:p w14:paraId="4F037B7F" w14:textId="49168C90" w:rsidR="004D52AF" w:rsidRPr="00FB73ED" w:rsidRDefault="0095149D" w:rsidP="00CE7D4C">
      <w:pPr>
        <w:pStyle w:val="NoSpacing"/>
        <w:jc w:val="both"/>
        <w:rPr>
          <w:b/>
          <w:lang w:val="en-GB"/>
        </w:rPr>
      </w:pPr>
      <w:hyperlink w:anchor="_Gender_Equality" w:history="1">
        <w:r w:rsidR="004D52AF" w:rsidRPr="00FB73ED">
          <w:rPr>
            <w:rStyle w:val="Hyperlink"/>
            <w:b/>
            <w:lang w:val="en-GB"/>
          </w:rPr>
          <w:t>Gender Equality</w:t>
        </w:r>
      </w:hyperlink>
    </w:p>
    <w:p w14:paraId="5895BF0D" w14:textId="7018BB75" w:rsidR="004D52AF" w:rsidRPr="00FB73ED" w:rsidRDefault="004D52AF" w:rsidP="00CE7D4C">
      <w:pPr>
        <w:pStyle w:val="NoSpacing"/>
        <w:numPr>
          <w:ilvl w:val="0"/>
          <w:numId w:val="14"/>
        </w:numPr>
        <w:jc w:val="both"/>
        <w:rPr>
          <w:lang w:val="en-GB"/>
        </w:rPr>
      </w:pPr>
      <w:r w:rsidRPr="00FB73ED">
        <w:rPr>
          <w:lang w:val="en-GB"/>
        </w:rPr>
        <w:t>Publications, funding opportunities and events</w:t>
      </w:r>
    </w:p>
    <w:p w14:paraId="4B47E8EC" w14:textId="77777777" w:rsidR="004F608B" w:rsidRPr="00F33174" w:rsidRDefault="004F608B" w:rsidP="00CE7D4C">
      <w:pPr>
        <w:pStyle w:val="NoSpacing"/>
        <w:ind w:left="720"/>
        <w:jc w:val="both"/>
        <w:rPr>
          <w:highlight w:val="yellow"/>
          <w:lang w:val="en-GB"/>
        </w:rPr>
      </w:pPr>
    </w:p>
    <w:p w14:paraId="0CB80D8D" w14:textId="361A3748" w:rsidR="00A3740D" w:rsidRPr="00EF7FCC" w:rsidRDefault="00901387" w:rsidP="00CE7D4C">
      <w:pPr>
        <w:pStyle w:val="NoSpacing"/>
        <w:jc w:val="both"/>
        <w:rPr>
          <w:rStyle w:val="Hyperlink"/>
          <w:b/>
          <w:lang w:val="en-GB"/>
        </w:rPr>
      </w:pPr>
      <w:r w:rsidRPr="00EF7FCC">
        <w:rPr>
          <w:lang w:val="en-GB"/>
        </w:rPr>
        <w:fldChar w:fldCharType="begin"/>
      </w:r>
      <w:r w:rsidRPr="00EF7FCC">
        <w:rPr>
          <w:lang w:val="en-GB"/>
        </w:rPr>
        <w:instrText xml:space="preserve"> HYPERLINK  \l "_Race/ethnic_origin" </w:instrText>
      </w:r>
      <w:r w:rsidRPr="00EF7FCC">
        <w:rPr>
          <w:lang w:val="en-GB"/>
        </w:rPr>
        <w:fldChar w:fldCharType="separate"/>
      </w:r>
      <w:r w:rsidR="00A3740D" w:rsidRPr="00EF7FCC">
        <w:rPr>
          <w:rStyle w:val="Hyperlink"/>
          <w:b/>
          <w:lang w:val="en-GB"/>
        </w:rPr>
        <w:t>Race/ethnic origin</w:t>
      </w:r>
    </w:p>
    <w:p w14:paraId="093C44F3" w14:textId="0C4011E5" w:rsidR="00D45B2F" w:rsidRPr="00EF7FCC" w:rsidRDefault="00901387" w:rsidP="00CE7D4C">
      <w:pPr>
        <w:pStyle w:val="NoSpacing"/>
        <w:numPr>
          <w:ilvl w:val="0"/>
          <w:numId w:val="15"/>
        </w:numPr>
        <w:jc w:val="both"/>
        <w:rPr>
          <w:lang w:val="en-GB"/>
        </w:rPr>
      </w:pPr>
      <w:r w:rsidRPr="00EF7FCC">
        <w:rPr>
          <w:lang w:val="en-GB"/>
        </w:rPr>
        <w:fldChar w:fldCharType="end"/>
      </w:r>
      <w:r w:rsidR="00D45B2F" w:rsidRPr="00EF7FCC">
        <w:rPr>
          <w:lang w:val="en-GB"/>
        </w:rPr>
        <w:t>Policy developments</w:t>
      </w:r>
    </w:p>
    <w:p w14:paraId="2CA70C86" w14:textId="77777777" w:rsidR="004F608B" w:rsidRPr="00F33174" w:rsidRDefault="004F608B" w:rsidP="00CE7D4C">
      <w:pPr>
        <w:pStyle w:val="NoSpacing"/>
        <w:jc w:val="both"/>
        <w:rPr>
          <w:highlight w:val="yellow"/>
          <w:lang w:val="en-GB"/>
        </w:rPr>
      </w:pPr>
    </w:p>
    <w:p w14:paraId="58CCC96C" w14:textId="44F80E67" w:rsidR="00A3740D" w:rsidRPr="00EF7FCC" w:rsidRDefault="0095149D" w:rsidP="00CE7D4C">
      <w:pPr>
        <w:pStyle w:val="NoSpacing"/>
        <w:jc w:val="both"/>
        <w:rPr>
          <w:b/>
          <w:lang w:val="en-GB"/>
        </w:rPr>
      </w:pPr>
      <w:hyperlink w:anchor="_Sexual_Orientation_and" w:history="1">
        <w:r w:rsidR="00A3740D" w:rsidRPr="00EF7FCC">
          <w:rPr>
            <w:rStyle w:val="Hyperlink"/>
            <w:b/>
            <w:lang w:val="en-GB"/>
          </w:rPr>
          <w:t>Sexual orientation and gender identity</w:t>
        </w:r>
      </w:hyperlink>
    </w:p>
    <w:p w14:paraId="4358144B" w14:textId="7C38E915" w:rsidR="00A3740D" w:rsidRPr="00EF7FCC" w:rsidRDefault="00A3740D" w:rsidP="00CE7D4C">
      <w:pPr>
        <w:pStyle w:val="NoSpacing"/>
        <w:numPr>
          <w:ilvl w:val="0"/>
          <w:numId w:val="15"/>
        </w:numPr>
        <w:jc w:val="both"/>
        <w:rPr>
          <w:lang w:val="en-GB"/>
        </w:rPr>
      </w:pPr>
      <w:r w:rsidRPr="00EF7FCC">
        <w:rPr>
          <w:lang w:val="en-GB"/>
        </w:rPr>
        <w:t>Publications, funding opportunities and events</w:t>
      </w:r>
    </w:p>
    <w:p w14:paraId="73B3E6CC" w14:textId="77777777" w:rsidR="004F608B" w:rsidRPr="00F33174" w:rsidRDefault="004F608B" w:rsidP="00CE7D4C">
      <w:pPr>
        <w:pStyle w:val="NoSpacing"/>
        <w:ind w:left="720"/>
        <w:jc w:val="both"/>
        <w:rPr>
          <w:highlight w:val="yellow"/>
          <w:lang w:val="en-GB"/>
        </w:rPr>
      </w:pPr>
    </w:p>
    <w:p w14:paraId="7B4D58A9" w14:textId="5573A9A0" w:rsidR="00A3740D" w:rsidRPr="00BE45A7" w:rsidRDefault="0095149D" w:rsidP="00CE7D4C">
      <w:pPr>
        <w:pStyle w:val="NoSpacing"/>
        <w:jc w:val="both"/>
        <w:rPr>
          <w:b/>
          <w:lang w:val="en-GB"/>
        </w:rPr>
      </w:pPr>
      <w:hyperlink w:anchor="_Disability" w:history="1">
        <w:r w:rsidR="00A3740D" w:rsidRPr="00BE45A7">
          <w:rPr>
            <w:rStyle w:val="Hyperlink"/>
            <w:b/>
            <w:lang w:val="en-GB"/>
          </w:rPr>
          <w:t>Disability</w:t>
        </w:r>
      </w:hyperlink>
    </w:p>
    <w:p w14:paraId="376A6E81" w14:textId="766CDA65" w:rsidR="00D45B2F" w:rsidRPr="00BE45A7" w:rsidRDefault="00D45B2F" w:rsidP="00CE7D4C">
      <w:pPr>
        <w:pStyle w:val="NoSpacing"/>
        <w:numPr>
          <w:ilvl w:val="0"/>
          <w:numId w:val="15"/>
        </w:numPr>
        <w:jc w:val="both"/>
        <w:rPr>
          <w:lang w:val="en-GB"/>
        </w:rPr>
      </w:pPr>
      <w:r w:rsidRPr="00BE45A7">
        <w:rPr>
          <w:lang w:val="en-GB"/>
        </w:rPr>
        <w:t>Policy developments</w:t>
      </w:r>
    </w:p>
    <w:p w14:paraId="2E6C7CED" w14:textId="79F98723" w:rsidR="00DE3EC3" w:rsidRPr="00BE45A7" w:rsidRDefault="00DE3EC3" w:rsidP="00CE7D4C">
      <w:pPr>
        <w:pStyle w:val="NoSpacing"/>
        <w:numPr>
          <w:ilvl w:val="0"/>
          <w:numId w:val="15"/>
        </w:numPr>
        <w:jc w:val="both"/>
        <w:rPr>
          <w:lang w:val="en-GB"/>
        </w:rPr>
      </w:pPr>
      <w:r w:rsidRPr="00BE45A7">
        <w:rPr>
          <w:lang w:val="en-GB"/>
        </w:rPr>
        <w:t>Publications, funding opportunities and events</w:t>
      </w:r>
    </w:p>
    <w:p w14:paraId="44E71F15" w14:textId="77777777" w:rsidR="004F608B" w:rsidRPr="00F33174" w:rsidRDefault="004F608B" w:rsidP="00CE7D4C">
      <w:pPr>
        <w:pStyle w:val="NoSpacing"/>
        <w:ind w:left="720"/>
        <w:jc w:val="both"/>
        <w:rPr>
          <w:highlight w:val="yellow"/>
          <w:lang w:val="en-GB"/>
        </w:rPr>
      </w:pPr>
    </w:p>
    <w:p w14:paraId="673096D6" w14:textId="12B9097F" w:rsidR="00A3740D" w:rsidRPr="00BE45A7" w:rsidRDefault="0095149D" w:rsidP="00CE7D4C">
      <w:pPr>
        <w:pStyle w:val="NoSpacing"/>
        <w:jc w:val="both"/>
        <w:rPr>
          <w:b/>
          <w:lang w:val="en-GB"/>
        </w:rPr>
      </w:pPr>
      <w:hyperlink w:anchor="_Age" w:history="1">
        <w:r w:rsidR="00A3740D" w:rsidRPr="00BE45A7">
          <w:rPr>
            <w:rStyle w:val="Hyperlink"/>
            <w:b/>
            <w:lang w:val="en-GB"/>
          </w:rPr>
          <w:t>Age</w:t>
        </w:r>
      </w:hyperlink>
    </w:p>
    <w:p w14:paraId="23DCBA2A" w14:textId="758E57F4" w:rsidR="00A3740D" w:rsidRPr="00BE45A7" w:rsidRDefault="00A3740D" w:rsidP="00CE7D4C">
      <w:pPr>
        <w:pStyle w:val="NoSpacing"/>
        <w:numPr>
          <w:ilvl w:val="0"/>
          <w:numId w:val="15"/>
        </w:numPr>
        <w:jc w:val="both"/>
        <w:rPr>
          <w:lang w:val="en-GB"/>
        </w:rPr>
      </w:pPr>
      <w:r w:rsidRPr="00BE45A7">
        <w:rPr>
          <w:lang w:val="en-GB"/>
        </w:rPr>
        <w:t>Publications, funding opportunities and events</w:t>
      </w:r>
    </w:p>
    <w:p w14:paraId="37CD2CD3" w14:textId="77777777" w:rsidR="004F608B" w:rsidRPr="00F33174" w:rsidRDefault="004F608B" w:rsidP="00CE7D4C">
      <w:pPr>
        <w:pStyle w:val="NoSpacing"/>
        <w:ind w:left="720"/>
        <w:jc w:val="both"/>
        <w:rPr>
          <w:highlight w:val="yellow"/>
          <w:lang w:val="en-GB"/>
        </w:rPr>
      </w:pPr>
    </w:p>
    <w:p w14:paraId="3D48A1D5" w14:textId="6D7FE883" w:rsidR="00A3740D" w:rsidRPr="00BE45A7" w:rsidRDefault="0095149D" w:rsidP="00CE7D4C">
      <w:pPr>
        <w:pStyle w:val="NoSpacing"/>
        <w:jc w:val="both"/>
        <w:rPr>
          <w:b/>
          <w:lang w:val="en-GB"/>
        </w:rPr>
      </w:pPr>
      <w:hyperlink w:anchor="_Other" w:history="1">
        <w:r w:rsidR="00A3740D" w:rsidRPr="00BE45A7">
          <w:rPr>
            <w:rStyle w:val="Hyperlink"/>
            <w:b/>
            <w:lang w:val="en-GB"/>
          </w:rPr>
          <w:t>Other</w:t>
        </w:r>
      </w:hyperlink>
      <w:r w:rsidR="005F29CB" w:rsidRPr="00BE45A7">
        <w:rPr>
          <w:rStyle w:val="Hyperlink"/>
          <w:b/>
          <w:lang w:val="en-GB"/>
        </w:rPr>
        <w:t xml:space="preserve"> grounds of discrimination</w:t>
      </w:r>
    </w:p>
    <w:p w14:paraId="26753063" w14:textId="4FDD1D09" w:rsidR="00A3740D" w:rsidRPr="00BE45A7" w:rsidRDefault="00A3740D" w:rsidP="00CE7D4C">
      <w:pPr>
        <w:pStyle w:val="NoSpacing"/>
        <w:numPr>
          <w:ilvl w:val="0"/>
          <w:numId w:val="15"/>
        </w:numPr>
        <w:jc w:val="both"/>
        <w:rPr>
          <w:lang w:val="en-GB"/>
        </w:rPr>
      </w:pPr>
      <w:r w:rsidRPr="00BE45A7">
        <w:rPr>
          <w:lang w:val="en-GB"/>
        </w:rPr>
        <w:t>Publications, funding opportunities and events</w:t>
      </w:r>
    </w:p>
    <w:p w14:paraId="2735E75D" w14:textId="77777777" w:rsidR="004F608B" w:rsidRPr="00BE45A7" w:rsidRDefault="004F608B" w:rsidP="00CE7D4C">
      <w:pPr>
        <w:pStyle w:val="NoSpacing"/>
        <w:ind w:left="720"/>
        <w:jc w:val="both"/>
        <w:rPr>
          <w:lang w:val="en-GB"/>
        </w:rPr>
      </w:pPr>
    </w:p>
    <w:p w14:paraId="141A70DE" w14:textId="4B91F2BB" w:rsidR="00A3740D" w:rsidRPr="00BE45A7" w:rsidRDefault="0095149D" w:rsidP="00CE7D4C">
      <w:pPr>
        <w:pStyle w:val="NoSpacing"/>
        <w:jc w:val="both"/>
        <w:rPr>
          <w:b/>
          <w:lang w:val="en-GB"/>
        </w:rPr>
      </w:pPr>
      <w:hyperlink w:anchor="_Recent_case-law" w:history="1">
        <w:r w:rsidR="00A3740D" w:rsidRPr="00BE45A7">
          <w:rPr>
            <w:rStyle w:val="Hyperlink"/>
            <w:b/>
            <w:lang w:val="en-GB"/>
          </w:rPr>
          <w:t>Recent case-law</w:t>
        </w:r>
      </w:hyperlink>
    </w:p>
    <w:p w14:paraId="129ECC52" w14:textId="01CB0B86" w:rsidR="00A3740D" w:rsidRPr="00BE45A7" w:rsidRDefault="00A3740D" w:rsidP="00CE7D4C">
      <w:pPr>
        <w:pStyle w:val="NoSpacing"/>
        <w:numPr>
          <w:ilvl w:val="0"/>
          <w:numId w:val="15"/>
        </w:numPr>
        <w:jc w:val="both"/>
        <w:rPr>
          <w:lang w:val="en-US"/>
        </w:rPr>
      </w:pPr>
      <w:r w:rsidRPr="00BE45A7">
        <w:rPr>
          <w:lang w:val="en-US"/>
        </w:rPr>
        <w:t>European Court of Justice (ECJ)</w:t>
      </w:r>
    </w:p>
    <w:p w14:paraId="57F52527" w14:textId="6E4D22DD" w:rsidR="00B2655F" w:rsidRPr="00BE45A7" w:rsidRDefault="00A3740D" w:rsidP="00CE7D4C">
      <w:pPr>
        <w:pStyle w:val="NoSpacing"/>
        <w:numPr>
          <w:ilvl w:val="0"/>
          <w:numId w:val="15"/>
        </w:numPr>
        <w:jc w:val="both"/>
        <w:rPr>
          <w:lang w:val="en-US"/>
        </w:rPr>
      </w:pPr>
      <w:r w:rsidRPr="00BE45A7">
        <w:rPr>
          <w:lang w:val="en-US"/>
        </w:rPr>
        <w:t>European Court of Human Rights (ECtHR)</w:t>
      </w:r>
      <w:bookmarkStart w:id="4" w:name="_Highlight:_International_Women’s"/>
      <w:bookmarkStart w:id="5" w:name="_Ref445397616"/>
      <w:bookmarkEnd w:id="4"/>
    </w:p>
    <w:p w14:paraId="11B6A0F9" w14:textId="77777777" w:rsidR="004676F4" w:rsidRDefault="004676F4">
      <w:pPr>
        <w:rPr>
          <w:rFonts w:ascii="Tahoma" w:eastAsiaTheme="majorEastAsia" w:hAnsi="Tahoma" w:cstheme="majorBidi"/>
          <w:b/>
          <w:color w:val="002060"/>
          <w:sz w:val="32"/>
          <w:szCs w:val="32"/>
          <w:lang w:val="en-GB"/>
        </w:rPr>
      </w:pPr>
      <w:bookmarkStart w:id="6" w:name="_Ref450122395"/>
      <w:r>
        <w:rPr>
          <w:lang w:val="en-GB"/>
        </w:rPr>
        <w:br w:type="page"/>
      </w:r>
    </w:p>
    <w:p w14:paraId="3B48D390" w14:textId="70413C63" w:rsidR="001140DC" w:rsidRPr="00EE5BC9" w:rsidRDefault="00922F1E" w:rsidP="00CE7D4C">
      <w:pPr>
        <w:pStyle w:val="Heading1"/>
        <w:pBdr>
          <w:top w:val="dotted" w:sz="4" w:space="1" w:color="auto"/>
          <w:bottom w:val="dotted" w:sz="4" w:space="1" w:color="auto"/>
        </w:pBdr>
        <w:spacing w:line="240" w:lineRule="auto"/>
        <w:rPr>
          <w:lang w:val="en-GB"/>
        </w:rPr>
      </w:pPr>
      <w:bookmarkStart w:id="7" w:name="_Ref452643353"/>
      <w:r w:rsidRPr="00EE5BC9">
        <w:rPr>
          <w:lang w:val="en-GB"/>
        </w:rPr>
        <w:lastRenderedPageBreak/>
        <w:t>Highlight</w:t>
      </w:r>
      <w:bookmarkEnd w:id="0"/>
      <w:bookmarkEnd w:id="1"/>
      <w:bookmarkEnd w:id="2"/>
      <w:bookmarkEnd w:id="3"/>
      <w:r w:rsidR="00F93FE2" w:rsidRPr="00EE5BC9">
        <w:rPr>
          <w:lang w:val="en-GB"/>
        </w:rPr>
        <w:t>:</w:t>
      </w:r>
      <w:r w:rsidR="0095164B" w:rsidRPr="00EE5BC9">
        <w:rPr>
          <w:lang w:val="en-GB"/>
        </w:rPr>
        <w:t xml:space="preserve"> </w:t>
      </w:r>
      <w:bookmarkEnd w:id="5"/>
      <w:bookmarkEnd w:id="6"/>
      <w:r w:rsidR="00AD0E96" w:rsidRPr="00AD0E96">
        <w:rPr>
          <w:lang w:val="en-GB"/>
        </w:rPr>
        <w:t xml:space="preserve">International Day </w:t>
      </w:r>
      <w:r w:rsidR="00F33174" w:rsidRPr="00AD0E96">
        <w:rPr>
          <w:lang w:val="en-GB"/>
        </w:rPr>
        <w:t>against</w:t>
      </w:r>
      <w:r w:rsidR="00AD0E96" w:rsidRPr="00AD0E96">
        <w:rPr>
          <w:lang w:val="en-GB"/>
        </w:rPr>
        <w:t xml:space="preserve"> Homophobia, Transphobia and Biphobia</w:t>
      </w:r>
      <w:r w:rsidR="00AD0E96">
        <w:rPr>
          <w:lang w:val="en-GB"/>
        </w:rPr>
        <w:t xml:space="preserve"> 2016</w:t>
      </w:r>
      <w:bookmarkEnd w:id="7"/>
    </w:p>
    <w:p w14:paraId="42C9AE41" w14:textId="50B93586" w:rsidR="00F43E45" w:rsidRDefault="00F43E45" w:rsidP="00CE7D4C">
      <w:pPr>
        <w:spacing w:line="240" w:lineRule="auto"/>
        <w:rPr>
          <w:noProof/>
          <w:lang w:val="en-GB" w:eastAsia="en-G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5736"/>
      </w:tblGrid>
      <w:tr w:rsidR="00742492" w:rsidRPr="00B6131B" w14:paraId="4937D8A9" w14:textId="77777777" w:rsidTr="00F33174">
        <w:tc>
          <w:tcPr>
            <w:tcW w:w="4943" w:type="dxa"/>
            <w:tcBorders>
              <w:bottom w:val="nil"/>
            </w:tcBorders>
          </w:tcPr>
          <w:p w14:paraId="372773D2" w14:textId="64FCFDAE" w:rsidR="00EE5BC9" w:rsidRDefault="00DA17FE" w:rsidP="00DA17FE">
            <w:pPr>
              <w:jc w:val="both"/>
              <w:rPr>
                <w:lang w:val="en-GB"/>
              </w:rPr>
            </w:pPr>
            <w:r>
              <w:rPr>
                <w:b/>
                <w:lang w:val="en-GB"/>
              </w:rPr>
              <w:t>17</w:t>
            </w:r>
            <w:r w:rsidR="007B3F43" w:rsidRPr="007B3F43">
              <w:rPr>
                <w:b/>
                <w:vertAlign w:val="superscript"/>
                <w:lang w:val="en-GB"/>
              </w:rPr>
              <w:t>th</w:t>
            </w:r>
            <w:r w:rsidR="007B3F43">
              <w:rPr>
                <w:b/>
                <w:lang w:val="en-GB"/>
              </w:rPr>
              <w:t xml:space="preserve"> </w:t>
            </w:r>
            <w:r>
              <w:rPr>
                <w:b/>
                <w:lang w:val="en-GB"/>
              </w:rPr>
              <w:t>May</w:t>
            </w:r>
            <w:r w:rsidR="00EE5BC9">
              <w:rPr>
                <w:lang w:val="en-GB"/>
              </w:rPr>
              <w:t xml:space="preserve"> is the </w:t>
            </w:r>
            <w:r w:rsidRPr="00DA17FE">
              <w:rPr>
                <w:b/>
                <w:lang w:val="en-GB"/>
              </w:rPr>
              <w:t>International Day Against Homophobia, Transphobia and Biphobia</w:t>
            </w:r>
            <w:r w:rsidR="00EE5BC9">
              <w:rPr>
                <w:lang w:val="en-GB"/>
              </w:rPr>
              <w:t xml:space="preserve">. Equinet has compiled a list of the latest updates and material on the topic at the European </w:t>
            </w:r>
            <w:r w:rsidR="0095149D">
              <w:rPr>
                <w:lang w:val="en-GB"/>
              </w:rPr>
              <w:t xml:space="preserve">and international </w:t>
            </w:r>
            <w:r w:rsidR="00EE5BC9">
              <w:rPr>
                <w:lang w:val="en-GB"/>
              </w:rPr>
              <w:t>level</w:t>
            </w:r>
            <w:r w:rsidR="0095149D">
              <w:rPr>
                <w:lang w:val="en-GB"/>
              </w:rPr>
              <w:t>s</w:t>
            </w:r>
            <w:bookmarkStart w:id="8" w:name="_GoBack"/>
            <w:bookmarkEnd w:id="8"/>
            <w:r w:rsidR="00EE5BC9">
              <w:rPr>
                <w:lang w:val="en-GB"/>
              </w:rPr>
              <w:t>:</w:t>
            </w:r>
          </w:p>
        </w:tc>
        <w:tc>
          <w:tcPr>
            <w:tcW w:w="4943" w:type="dxa"/>
            <w:tcBorders>
              <w:bottom w:val="nil"/>
            </w:tcBorders>
          </w:tcPr>
          <w:p w14:paraId="7F931920" w14:textId="49DB8E54" w:rsidR="00EE5BC9" w:rsidRDefault="00742492" w:rsidP="00CE7D4C">
            <w:pPr>
              <w:rPr>
                <w:lang w:val="en-GB"/>
              </w:rPr>
            </w:pPr>
            <w:r>
              <w:rPr>
                <w:noProof/>
                <w:lang w:eastAsia="fr-BE"/>
              </w:rPr>
              <w:drawing>
                <wp:anchor distT="0" distB="0" distL="114300" distR="114300" simplePos="0" relativeHeight="251658752" behindDoc="0" locked="0" layoutInCell="1" allowOverlap="1" wp14:anchorId="2E2E521E" wp14:editId="17D03EA3">
                  <wp:simplePos x="0" y="0"/>
                  <wp:positionH relativeFrom="column">
                    <wp:posOffset>50165</wp:posOffset>
                  </wp:positionH>
                  <wp:positionV relativeFrom="paragraph">
                    <wp:posOffset>0</wp:posOffset>
                  </wp:positionV>
                  <wp:extent cx="3502227" cy="974725"/>
                  <wp:effectExtent l="0" t="0" r="317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0903-Banner-IDAHO-FORUM-2016.png"/>
                          <pic:cNvPicPr/>
                        </pic:nvPicPr>
                        <pic:blipFill>
                          <a:blip r:embed="rId10">
                            <a:extLst>
                              <a:ext uri="{28A0092B-C50C-407E-A947-70E740481C1C}">
                                <a14:useLocalDpi xmlns:a14="http://schemas.microsoft.com/office/drawing/2010/main" val="0"/>
                              </a:ext>
                            </a:extLst>
                          </a:blip>
                          <a:stretch>
                            <a:fillRect/>
                          </a:stretch>
                        </pic:blipFill>
                        <pic:spPr>
                          <a:xfrm>
                            <a:off x="0" y="0"/>
                            <a:ext cx="3502227" cy="974725"/>
                          </a:xfrm>
                          <a:prstGeom prst="rect">
                            <a:avLst/>
                          </a:prstGeom>
                        </pic:spPr>
                      </pic:pic>
                    </a:graphicData>
                  </a:graphic>
                </wp:anchor>
              </w:drawing>
            </w:r>
          </w:p>
        </w:tc>
      </w:tr>
    </w:tbl>
    <w:p w14:paraId="6B97DB06" w14:textId="2EC711CB" w:rsidR="002606F8" w:rsidRPr="00F33174" w:rsidRDefault="00871EF1" w:rsidP="00F33174">
      <w:pPr>
        <w:pStyle w:val="ListParagraph"/>
        <w:numPr>
          <w:ilvl w:val="0"/>
          <w:numId w:val="21"/>
        </w:numPr>
        <w:spacing w:line="240" w:lineRule="auto"/>
        <w:rPr>
          <w:b/>
          <w:color w:val="C00000"/>
          <w:lang w:val="en-GB"/>
        </w:rPr>
      </w:pPr>
      <w:r w:rsidRPr="00F33174">
        <w:rPr>
          <w:b/>
          <w:color w:val="C00000"/>
          <w:lang w:val="en-GB"/>
        </w:rPr>
        <w:t>IDAHO Forum 2016</w:t>
      </w:r>
    </w:p>
    <w:p w14:paraId="746662CF" w14:textId="2E4AB956" w:rsidR="002606F8" w:rsidRPr="00871EF1" w:rsidRDefault="00F33174" w:rsidP="00CE7D4C">
      <w:pPr>
        <w:spacing w:line="240" w:lineRule="auto"/>
        <w:jc w:val="both"/>
        <w:rPr>
          <w:lang w:val="en-GB"/>
        </w:rPr>
      </w:pPr>
      <w:r>
        <w:rPr>
          <w:lang w:val="en-GB"/>
        </w:rPr>
        <w:t xml:space="preserve">In May, </w:t>
      </w:r>
      <w:r w:rsidR="00871EF1" w:rsidRPr="00871EF1">
        <w:rPr>
          <w:lang w:val="en-GB"/>
        </w:rPr>
        <w:t xml:space="preserve">Denmark hosted the </w:t>
      </w:r>
      <w:hyperlink r:id="rId11" w:history="1">
        <w:r w:rsidR="00871EF1" w:rsidRPr="00CB7C4D">
          <w:rPr>
            <w:rStyle w:val="Hyperlink"/>
            <w:lang w:val="en-GB"/>
          </w:rPr>
          <w:t>4th European conference IDAHO Forum</w:t>
        </w:r>
      </w:hyperlink>
      <w:r w:rsidR="00871EF1" w:rsidRPr="00871EF1">
        <w:rPr>
          <w:lang w:val="en-GB"/>
        </w:rPr>
        <w:t>.</w:t>
      </w:r>
      <w:r w:rsidR="00CB7C4D">
        <w:rPr>
          <w:lang w:val="en-GB"/>
        </w:rPr>
        <w:t xml:space="preserve"> </w:t>
      </w:r>
      <w:r w:rsidR="00CB7C4D" w:rsidRPr="00CB7C4D">
        <w:rPr>
          <w:lang w:val="en-GB"/>
        </w:rPr>
        <w:t xml:space="preserve">This year’s Forum was titled </w:t>
      </w:r>
      <w:r w:rsidR="00CB7C4D" w:rsidRPr="00F33174">
        <w:rPr>
          <w:b/>
          <w:lang w:val="en-GB"/>
        </w:rPr>
        <w:t>“Building Bridges and Alliances”</w:t>
      </w:r>
      <w:r w:rsidR="00CB7C4D" w:rsidRPr="00CB7C4D">
        <w:rPr>
          <w:lang w:val="en-GB"/>
        </w:rPr>
        <w:t xml:space="preserve"> bringing special attention to LGBTI people in the labour market and social acceptance of LGBTI people.</w:t>
      </w:r>
    </w:p>
    <w:p w14:paraId="21BE31BE" w14:textId="1165AD3D" w:rsidR="00BB304C" w:rsidRPr="00BB304C" w:rsidRDefault="00BB304C" w:rsidP="00BB304C">
      <w:pPr>
        <w:pStyle w:val="ListParagraph"/>
        <w:numPr>
          <w:ilvl w:val="0"/>
          <w:numId w:val="20"/>
        </w:numPr>
        <w:spacing w:line="240" w:lineRule="auto"/>
        <w:jc w:val="both"/>
        <w:rPr>
          <w:b/>
          <w:color w:val="C00000"/>
          <w:lang w:val="en-GB"/>
        </w:rPr>
      </w:pPr>
      <w:r w:rsidRPr="00BB304C">
        <w:rPr>
          <w:b/>
          <w:color w:val="C00000"/>
          <w:lang w:val="en-GB"/>
        </w:rPr>
        <w:t xml:space="preserve">European Commission </w:t>
      </w:r>
      <w:r w:rsidR="00D53C1E">
        <w:rPr>
          <w:b/>
          <w:color w:val="C00000"/>
          <w:lang w:val="en-GB"/>
        </w:rPr>
        <w:t>reiterates commitment to address discrimination based on sexual orientation and gender identity</w:t>
      </w:r>
    </w:p>
    <w:p w14:paraId="6FEF65F9" w14:textId="04B3AA92" w:rsidR="00BB304C" w:rsidRDefault="00BB304C" w:rsidP="00BB304C">
      <w:pPr>
        <w:spacing w:line="240" w:lineRule="auto"/>
        <w:jc w:val="both"/>
        <w:rPr>
          <w:lang w:val="en-GB"/>
        </w:rPr>
      </w:pPr>
      <w:r>
        <w:rPr>
          <w:lang w:val="en-GB"/>
        </w:rPr>
        <w:t>At</w:t>
      </w:r>
      <w:r w:rsidRPr="00BB304C">
        <w:rPr>
          <w:lang w:val="en-GB"/>
        </w:rPr>
        <w:t xml:space="preserve"> the IDAHO 2016 Ministerial Meeting in Copenhagen, Commissioner Věra Jourová reiterated the EU's commitment to combat discrimination based on sexual orientation and gender identity. In her </w:t>
      </w:r>
      <w:hyperlink r:id="rId12" w:history="1">
        <w:r w:rsidRPr="00BB304C">
          <w:rPr>
            <w:rStyle w:val="Hyperlink"/>
            <w:lang w:val="en-GB"/>
          </w:rPr>
          <w:t>speech</w:t>
        </w:r>
      </w:hyperlink>
      <w:r w:rsidRPr="00BB304C">
        <w:rPr>
          <w:lang w:val="en-GB"/>
        </w:rPr>
        <w:t xml:space="preserve"> she highlighted the progress made with the </w:t>
      </w:r>
      <w:hyperlink r:id="rId13" w:history="1">
        <w:r w:rsidRPr="00BB304C">
          <w:rPr>
            <w:rStyle w:val="Hyperlink"/>
            <w:lang w:val="en-GB"/>
          </w:rPr>
          <w:t>European Commission's List of Actions to advance LGBTI Equality</w:t>
        </w:r>
      </w:hyperlink>
      <w:r w:rsidRPr="00BB304C">
        <w:rPr>
          <w:lang w:val="en-GB"/>
        </w:rPr>
        <w:t xml:space="preserve"> and called the Member States for the</w:t>
      </w:r>
      <w:r w:rsidR="00D53C1E">
        <w:rPr>
          <w:lang w:val="en-GB"/>
        </w:rPr>
        <w:t>ir</w:t>
      </w:r>
      <w:r w:rsidRPr="00BB304C">
        <w:rPr>
          <w:lang w:val="en-GB"/>
        </w:rPr>
        <w:t xml:space="preserve"> support: </w:t>
      </w:r>
      <w:r w:rsidRPr="00D53C1E">
        <w:rPr>
          <w:b/>
          <w:lang w:val="en-GB"/>
        </w:rPr>
        <w:t>"I therefore urge all Member States lagging behind, to step up their efforts and team up for LGBTI Equality. This is what it takes to truly improve the lives of LGBTI people across Europe".</w:t>
      </w:r>
    </w:p>
    <w:p w14:paraId="0DEB21DA" w14:textId="44A812B6" w:rsidR="00683578" w:rsidRPr="00BB304C" w:rsidRDefault="000322FB" w:rsidP="000322FB">
      <w:pPr>
        <w:pStyle w:val="ListParagraph"/>
        <w:numPr>
          <w:ilvl w:val="0"/>
          <w:numId w:val="20"/>
        </w:numPr>
        <w:spacing w:line="240" w:lineRule="auto"/>
        <w:jc w:val="both"/>
        <w:rPr>
          <w:b/>
          <w:color w:val="C00000"/>
          <w:lang w:val="en-GB"/>
        </w:rPr>
      </w:pPr>
      <w:r>
        <w:rPr>
          <w:b/>
          <w:color w:val="C00000"/>
          <w:lang w:val="en-GB"/>
        </w:rPr>
        <w:t>ILGA-Europe publishe</w:t>
      </w:r>
      <w:r w:rsidR="00D53C1E">
        <w:rPr>
          <w:b/>
          <w:color w:val="C00000"/>
          <w:lang w:val="en-GB"/>
        </w:rPr>
        <w:t>s</w:t>
      </w:r>
      <w:r>
        <w:rPr>
          <w:b/>
          <w:color w:val="C00000"/>
          <w:lang w:val="en-GB"/>
        </w:rPr>
        <w:t xml:space="preserve"> the </w:t>
      </w:r>
      <w:r w:rsidRPr="000322FB">
        <w:rPr>
          <w:b/>
          <w:color w:val="C00000"/>
          <w:lang w:val="en-GB"/>
        </w:rPr>
        <w:t>Rainbow Europe Package 2016</w:t>
      </w:r>
    </w:p>
    <w:p w14:paraId="107E5D9F" w14:textId="5814F3E2" w:rsidR="00683578" w:rsidRPr="00871EF1" w:rsidRDefault="000322FB" w:rsidP="00683578">
      <w:pPr>
        <w:spacing w:line="240" w:lineRule="auto"/>
        <w:jc w:val="both"/>
        <w:rPr>
          <w:lang w:val="en-GB"/>
        </w:rPr>
      </w:pPr>
      <w:r w:rsidRPr="000322FB">
        <w:rPr>
          <w:lang w:val="en-GB"/>
        </w:rPr>
        <w:t xml:space="preserve">The opening of the IDAHO Forum was accompanied by the launch of the </w:t>
      </w:r>
      <w:hyperlink r:id="rId14" w:history="1">
        <w:r w:rsidRPr="000322FB">
          <w:rPr>
            <w:rStyle w:val="Hyperlink"/>
            <w:lang w:val="en-GB"/>
          </w:rPr>
          <w:t>ILGA-Europe Rainbow Europe Package 2016</w:t>
        </w:r>
      </w:hyperlink>
      <w:r w:rsidRPr="000322FB">
        <w:rPr>
          <w:lang w:val="en-GB"/>
        </w:rPr>
        <w:t xml:space="preserve">, which gives an </w:t>
      </w:r>
      <w:r w:rsidRPr="00D53C1E">
        <w:rPr>
          <w:b/>
          <w:lang w:val="en-GB"/>
        </w:rPr>
        <w:t>annual overview of national legal and social situation affecting LGBTI people in Europe</w:t>
      </w:r>
      <w:r w:rsidRPr="000322FB">
        <w:rPr>
          <w:lang w:val="en-GB"/>
        </w:rPr>
        <w:t>.</w:t>
      </w:r>
      <w:r>
        <w:rPr>
          <w:lang w:val="en-GB"/>
        </w:rPr>
        <w:t xml:space="preserve"> The Package </w:t>
      </w:r>
      <w:r w:rsidRPr="000322FB">
        <w:rPr>
          <w:lang w:val="en-GB"/>
        </w:rPr>
        <w:t>showcases the current state of play of the laws, policies and practices that affect LGBTI people in Europe today</w:t>
      </w:r>
      <w:r>
        <w:rPr>
          <w:lang w:val="en-GB"/>
        </w:rPr>
        <w:t>, revealing</w:t>
      </w:r>
      <w:r w:rsidRPr="000322FB">
        <w:rPr>
          <w:lang w:val="en-GB"/>
        </w:rPr>
        <w:t xml:space="preserve"> an increasingly unequal picture of developments for lesbian, gay, bisexual, </w:t>
      </w:r>
      <w:r w:rsidR="00D53C1E" w:rsidRPr="000322FB">
        <w:rPr>
          <w:lang w:val="en-GB"/>
        </w:rPr>
        <w:t>Trans</w:t>
      </w:r>
      <w:r w:rsidRPr="000322FB">
        <w:rPr>
          <w:lang w:val="en-GB"/>
        </w:rPr>
        <w:t xml:space="preserve"> and intersex people across </w:t>
      </w:r>
      <w:r>
        <w:rPr>
          <w:lang w:val="en-GB"/>
        </w:rPr>
        <w:t>the continent</w:t>
      </w:r>
      <w:r w:rsidRPr="000322FB">
        <w:rPr>
          <w:lang w:val="en-GB"/>
        </w:rPr>
        <w:t>.</w:t>
      </w:r>
    </w:p>
    <w:p w14:paraId="5E4BF4C5" w14:textId="4D68DDB7" w:rsidR="007253DA" w:rsidRPr="00871EF1" w:rsidRDefault="00D6058C" w:rsidP="00D6058C">
      <w:pPr>
        <w:pStyle w:val="ListParagraph"/>
        <w:numPr>
          <w:ilvl w:val="0"/>
          <w:numId w:val="17"/>
        </w:numPr>
        <w:spacing w:line="240" w:lineRule="auto"/>
        <w:rPr>
          <w:b/>
          <w:color w:val="C00000"/>
          <w:lang w:val="en-GB"/>
        </w:rPr>
      </w:pPr>
      <w:r>
        <w:rPr>
          <w:b/>
          <w:color w:val="C00000"/>
          <w:lang w:val="en-GB"/>
        </w:rPr>
        <w:t xml:space="preserve">UNESCO </w:t>
      </w:r>
      <w:r w:rsidRPr="00D6058C">
        <w:rPr>
          <w:b/>
          <w:color w:val="C00000"/>
          <w:lang w:val="en-GB"/>
        </w:rPr>
        <w:t>In</w:t>
      </w:r>
      <w:r>
        <w:rPr>
          <w:b/>
          <w:color w:val="C00000"/>
          <w:lang w:val="en-GB"/>
        </w:rPr>
        <w:t>ternational Ministerial Meeting and launch of</w:t>
      </w:r>
      <w:r w:rsidRPr="00D6058C">
        <w:rPr>
          <w:b/>
          <w:color w:val="C00000"/>
          <w:lang w:val="en-GB"/>
        </w:rPr>
        <w:t xml:space="preserve"> </w:t>
      </w:r>
      <w:r>
        <w:rPr>
          <w:b/>
          <w:color w:val="C00000"/>
          <w:lang w:val="en-GB"/>
        </w:rPr>
        <w:t>“</w:t>
      </w:r>
      <w:r w:rsidRPr="00D6058C">
        <w:rPr>
          <w:b/>
          <w:color w:val="C00000"/>
          <w:lang w:val="en-GB"/>
        </w:rPr>
        <w:t>Education Sector Responses to Violence based on Sexual Orientation or Gender Identity/Expression"</w:t>
      </w:r>
    </w:p>
    <w:p w14:paraId="1BAAF9C8" w14:textId="7495B3C1" w:rsidR="00D6058C" w:rsidRDefault="004676F4" w:rsidP="003713E7">
      <w:pPr>
        <w:spacing w:line="240" w:lineRule="auto"/>
        <w:jc w:val="both"/>
        <w:rPr>
          <w:lang w:val="en-GB"/>
        </w:rPr>
      </w:pPr>
      <w:r>
        <w:rPr>
          <w:lang w:val="en-GB"/>
        </w:rPr>
        <w:t>On 17</w:t>
      </w:r>
      <w:r w:rsidRPr="004676F4">
        <w:rPr>
          <w:vertAlign w:val="superscript"/>
          <w:lang w:val="en-GB"/>
        </w:rPr>
        <w:t>th</w:t>
      </w:r>
      <w:r>
        <w:rPr>
          <w:lang w:val="en-GB"/>
        </w:rPr>
        <w:t xml:space="preserve"> May, the UNESCO launched its </w:t>
      </w:r>
      <w:hyperlink r:id="rId15" w:history="1">
        <w:r w:rsidRPr="004676F4">
          <w:rPr>
            <w:rStyle w:val="Hyperlink"/>
            <w:lang w:val="en-GB"/>
          </w:rPr>
          <w:t>global report “Education Sector Responses to Violence based on Sexual Orientation or Gender Identity/Expression”</w:t>
        </w:r>
      </w:hyperlink>
      <w:r>
        <w:rPr>
          <w:lang w:val="en-GB"/>
        </w:rPr>
        <w:t xml:space="preserve"> </w:t>
      </w:r>
      <w:r w:rsidR="00D6058C" w:rsidRPr="00D6058C">
        <w:rPr>
          <w:lang w:val="en-GB"/>
        </w:rPr>
        <w:t xml:space="preserve">on the nature, scope and impact of </w:t>
      </w:r>
      <w:r w:rsidR="00D6058C" w:rsidRPr="004676F4">
        <w:rPr>
          <w:b/>
          <w:lang w:val="en-GB"/>
        </w:rPr>
        <w:t>violence based on sexual orientation and gender identity in educational settings</w:t>
      </w:r>
      <w:r w:rsidR="00D6058C" w:rsidRPr="00D6058C">
        <w:rPr>
          <w:lang w:val="en-GB"/>
        </w:rPr>
        <w:t>, and of current actions. It provides education-sector stakeholders with a framework for planning and implementing effective responses to this type of school-related gender-based violence, as part of wider efforts to prevent and address violence in schools.</w:t>
      </w:r>
    </w:p>
    <w:p w14:paraId="2E1DE2FC" w14:textId="77777777" w:rsidR="004676F4" w:rsidRDefault="004676F4" w:rsidP="004676F4">
      <w:pPr>
        <w:pStyle w:val="Heading1"/>
        <w:rPr>
          <w:lang w:val="en-GB"/>
        </w:rPr>
      </w:pPr>
    </w:p>
    <w:p w14:paraId="6F66FDBD" w14:textId="709DE637" w:rsidR="001A3BA9" w:rsidRPr="005215AF" w:rsidRDefault="003713E7" w:rsidP="004676F4">
      <w:pPr>
        <w:shd w:val="clear" w:color="auto" w:fill="D9D9D9" w:themeFill="background1" w:themeFillShade="D9"/>
        <w:spacing w:line="240" w:lineRule="auto"/>
        <w:rPr>
          <w:b/>
          <w:lang w:val="en-GB"/>
        </w:rPr>
      </w:pPr>
      <w:r>
        <w:rPr>
          <w:b/>
          <w:lang w:val="en-GB"/>
        </w:rPr>
        <w:t>FOR FURTHER INFORMATION</w:t>
      </w:r>
      <w:r w:rsidR="004676F4">
        <w:rPr>
          <w:b/>
          <w:lang w:val="en-GB"/>
        </w:rPr>
        <w:br/>
      </w:r>
      <w:r w:rsidR="001A3BA9">
        <w:rPr>
          <w:lang w:val="en-GB"/>
        </w:rPr>
        <w:t xml:space="preserve">Read the </w:t>
      </w:r>
      <w:r w:rsidR="001A3BA9">
        <w:rPr>
          <w:b/>
          <w:lang w:val="en-GB"/>
        </w:rPr>
        <w:t>Equinet Perspective</w:t>
      </w:r>
      <w:r w:rsidR="003645BF">
        <w:rPr>
          <w:b/>
          <w:lang w:val="en-GB"/>
        </w:rPr>
        <w:t xml:space="preserve"> </w:t>
      </w:r>
      <w:hyperlink r:id="rId16" w:history="1">
        <w:r w:rsidR="00907671" w:rsidRPr="00907671">
          <w:rPr>
            <w:rStyle w:val="Hyperlink"/>
            <w:lang w:val="en-US"/>
          </w:rPr>
          <w:t>Equality Bodies Promoting Equality &amp; non-discrimination for LGTBI people</w:t>
        </w:r>
      </w:hyperlink>
      <w:r w:rsidR="00445864" w:rsidRPr="00445864">
        <w:rPr>
          <w:lang w:val="en-GB"/>
        </w:rPr>
        <w:t xml:space="preserve"> </w:t>
      </w:r>
      <w:r w:rsidR="005215AF">
        <w:rPr>
          <w:lang w:val="en-GB"/>
        </w:rPr>
        <w:t>(201</w:t>
      </w:r>
      <w:r w:rsidR="00907671">
        <w:rPr>
          <w:lang w:val="en-GB"/>
        </w:rPr>
        <w:t>3</w:t>
      </w:r>
      <w:r w:rsidR="005215AF">
        <w:rPr>
          <w:lang w:val="en-GB"/>
        </w:rPr>
        <w:t>)</w:t>
      </w:r>
      <w:r w:rsidR="004676F4">
        <w:rPr>
          <w:lang w:val="en-GB"/>
        </w:rPr>
        <w:t xml:space="preserve"> and the </w:t>
      </w:r>
      <w:r w:rsidR="004676F4" w:rsidRPr="004676F4">
        <w:rPr>
          <w:b/>
          <w:lang w:val="en-GB"/>
        </w:rPr>
        <w:t>summary of the Equinet</w:t>
      </w:r>
      <w:r w:rsidR="004676F4">
        <w:rPr>
          <w:b/>
          <w:lang w:val="en-GB"/>
        </w:rPr>
        <w:t xml:space="preserve"> training event </w:t>
      </w:r>
      <w:hyperlink r:id="rId17" w:history="1">
        <w:r w:rsidR="004676F4" w:rsidRPr="004676F4">
          <w:rPr>
            <w:rStyle w:val="Hyperlink"/>
            <w:b/>
            <w:lang w:val="en-GB"/>
          </w:rPr>
          <w:t>on LGBTI issues</w:t>
        </w:r>
      </w:hyperlink>
      <w:r w:rsidR="004676F4">
        <w:rPr>
          <w:b/>
          <w:lang w:val="en-GB"/>
        </w:rPr>
        <w:t xml:space="preserve"> </w:t>
      </w:r>
      <w:r w:rsidR="004676F4" w:rsidRPr="004676F4">
        <w:rPr>
          <w:lang w:val="en-GB"/>
        </w:rPr>
        <w:t>(2014).</w:t>
      </w:r>
      <w:r w:rsidR="004676F4">
        <w:rPr>
          <w:lang w:val="en-GB"/>
        </w:rPr>
        <w:t xml:space="preserve"> </w:t>
      </w:r>
    </w:p>
    <w:p w14:paraId="3826F7AE" w14:textId="77777777" w:rsidR="00A73FA9" w:rsidRPr="001A3BA9" w:rsidRDefault="00A73FA9" w:rsidP="00CE7D4C">
      <w:pPr>
        <w:pBdr>
          <w:bottom w:val="dotted" w:sz="36" w:space="1" w:color="auto"/>
        </w:pBdr>
        <w:spacing w:line="240" w:lineRule="auto"/>
        <w:rPr>
          <w:lang w:val="en-GB"/>
        </w:rPr>
      </w:pPr>
    </w:p>
    <w:p w14:paraId="384E2FB8" w14:textId="77777777" w:rsidR="005215AF" w:rsidRDefault="005215AF" w:rsidP="00CE7D4C">
      <w:pPr>
        <w:spacing w:line="240" w:lineRule="auto"/>
        <w:rPr>
          <w:rFonts w:ascii="Tahoma" w:eastAsiaTheme="majorEastAsia" w:hAnsi="Tahoma" w:cstheme="majorBidi"/>
          <w:b/>
          <w:color w:val="538135" w:themeColor="accent6" w:themeShade="BF"/>
          <w:sz w:val="32"/>
          <w:szCs w:val="32"/>
          <w:lang w:val="en-GB"/>
        </w:rPr>
      </w:pPr>
      <w:bookmarkStart w:id="9" w:name="_General_information"/>
      <w:bookmarkStart w:id="10" w:name="_Ref421267521"/>
      <w:bookmarkStart w:id="11" w:name="_Ref442453617"/>
      <w:bookmarkStart w:id="12" w:name="_Toc418770747"/>
      <w:bookmarkStart w:id="13" w:name="_Ref418784309"/>
      <w:bookmarkEnd w:id="9"/>
      <w:r>
        <w:rPr>
          <w:lang w:val="en-GB"/>
        </w:rPr>
        <w:br w:type="page"/>
      </w:r>
    </w:p>
    <w:p w14:paraId="290D8B05" w14:textId="3CBCF6A0" w:rsidR="00997A8C" w:rsidRPr="003C75BF" w:rsidRDefault="00997A8C" w:rsidP="00CE7D4C">
      <w:pPr>
        <w:pStyle w:val="Heading1"/>
        <w:pBdr>
          <w:top w:val="dotted" w:sz="4" w:space="1" w:color="auto"/>
          <w:bottom w:val="dotted" w:sz="4" w:space="1" w:color="auto"/>
        </w:pBdr>
        <w:spacing w:line="240" w:lineRule="auto"/>
        <w:rPr>
          <w:lang w:val="en-GB"/>
        </w:rPr>
      </w:pPr>
      <w:r w:rsidRPr="003C75BF">
        <w:rPr>
          <w:lang w:val="en-GB"/>
        </w:rPr>
        <w:lastRenderedPageBreak/>
        <w:t xml:space="preserve">General </w:t>
      </w:r>
      <w:r w:rsidR="00B05622" w:rsidRPr="003C75BF">
        <w:rPr>
          <w:lang w:val="en-GB"/>
        </w:rPr>
        <w:t>I</w:t>
      </w:r>
      <w:r w:rsidRPr="003C75BF">
        <w:rPr>
          <w:lang w:val="en-GB"/>
        </w:rPr>
        <w:t>nformation</w:t>
      </w:r>
      <w:bookmarkEnd w:id="10"/>
    </w:p>
    <w:p w14:paraId="0CC6D089" w14:textId="77777777" w:rsidR="003C75BF" w:rsidRDefault="003C75BF" w:rsidP="00CB111C">
      <w:pPr>
        <w:rPr>
          <w:lang w:val="en-GB"/>
        </w:rPr>
      </w:pPr>
      <w:bookmarkStart w:id="14" w:name="_Thematic_developments"/>
      <w:bookmarkStart w:id="15" w:name="_Publications,_funding_opportunities"/>
      <w:bookmarkEnd w:id="14"/>
      <w:bookmarkEnd w:id="15"/>
    </w:p>
    <w:p w14:paraId="160E198B" w14:textId="17CC99BD" w:rsidR="00CB111C" w:rsidRDefault="00CB111C" w:rsidP="00CB111C">
      <w:pPr>
        <w:pStyle w:val="Heading2"/>
        <w:rPr>
          <w:lang w:val="en-GB"/>
        </w:rPr>
      </w:pPr>
      <w:r>
        <w:rPr>
          <w:lang w:val="en-GB"/>
        </w:rPr>
        <w:t>Policy developments</w:t>
      </w:r>
      <w:r>
        <w:rPr>
          <w:lang w:val="en-GB"/>
        </w:rPr>
        <w:br/>
      </w:r>
    </w:p>
    <w:p w14:paraId="35F6AE48" w14:textId="11301C37" w:rsidR="00CB111C" w:rsidRPr="00CB111C" w:rsidRDefault="00CB111C" w:rsidP="00CB111C">
      <w:pPr>
        <w:pStyle w:val="ListParagraph"/>
        <w:numPr>
          <w:ilvl w:val="0"/>
          <w:numId w:val="17"/>
        </w:numPr>
        <w:rPr>
          <w:b/>
          <w:color w:val="002060"/>
          <w:lang w:val="en-GB"/>
        </w:rPr>
      </w:pPr>
      <w:r w:rsidRPr="00CB111C">
        <w:rPr>
          <w:b/>
          <w:color w:val="002060"/>
          <w:lang w:val="en-GB"/>
        </w:rPr>
        <w:t>European Commission and IT companies announce code of conduct on illegal online hate speech</w:t>
      </w:r>
    </w:p>
    <w:p w14:paraId="7DB71237" w14:textId="150A8473" w:rsidR="00CB111C" w:rsidRDefault="00CB111C" w:rsidP="00CB111C">
      <w:pPr>
        <w:jc w:val="both"/>
        <w:rPr>
          <w:lang w:val="en-GB"/>
        </w:rPr>
      </w:pPr>
      <w:r w:rsidRPr="00CB111C">
        <w:rPr>
          <w:lang w:val="en-GB"/>
        </w:rPr>
        <w:t>The Commission together with Facebook, Twitter, YouTube and Microsoft (“the IT companies”) have unveiled a code of conduct that includes a series of commitments to combat the spread of illegal hate speech online in Europe.</w:t>
      </w:r>
    </w:p>
    <w:p w14:paraId="2F983368" w14:textId="0837E888" w:rsidR="00CB111C" w:rsidRDefault="00CB111C" w:rsidP="00CB111C">
      <w:pPr>
        <w:jc w:val="both"/>
        <w:rPr>
          <w:lang w:val="en-GB"/>
        </w:rPr>
      </w:pPr>
      <w:r>
        <w:rPr>
          <w:lang w:val="en-GB"/>
        </w:rPr>
        <w:t xml:space="preserve">More information is available on the </w:t>
      </w:r>
      <w:hyperlink r:id="rId18" w:history="1">
        <w:r w:rsidRPr="00CB111C">
          <w:rPr>
            <w:rStyle w:val="Hyperlink"/>
            <w:lang w:val="en-GB"/>
          </w:rPr>
          <w:t>Equinet’s website</w:t>
        </w:r>
      </w:hyperlink>
      <w:r>
        <w:rPr>
          <w:lang w:val="en-GB"/>
        </w:rPr>
        <w:t xml:space="preserve">. </w:t>
      </w:r>
      <w:r>
        <w:rPr>
          <w:lang w:val="en-GB"/>
        </w:rPr>
        <w:tab/>
      </w:r>
      <w:r>
        <w:rPr>
          <w:lang w:val="en-GB"/>
        </w:rPr>
        <w:br/>
      </w:r>
    </w:p>
    <w:p w14:paraId="2BE2A229" w14:textId="2C9FA166" w:rsidR="001252F9" w:rsidRPr="003C75BF" w:rsidRDefault="00735BC7" w:rsidP="00CE7D4C">
      <w:pPr>
        <w:pStyle w:val="Heading2"/>
        <w:spacing w:line="240" w:lineRule="auto"/>
        <w:jc w:val="both"/>
        <w:rPr>
          <w:lang w:val="en-GB"/>
        </w:rPr>
      </w:pPr>
      <w:r w:rsidRPr="003C75BF">
        <w:rPr>
          <w:lang w:val="en-GB"/>
        </w:rPr>
        <w:t>Publications, funding opportunities and events</w:t>
      </w:r>
      <w:bookmarkEnd w:id="11"/>
      <w:r w:rsidR="001252F9" w:rsidRPr="003C75BF">
        <w:rPr>
          <w:lang w:val="en-GB"/>
        </w:rPr>
        <w:tab/>
      </w:r>
      <w:r w:rsidR="001252F9" w:rsidRPr="003C75BF">
        <w:rPr>
          <w:lang w:val="en-GB"/>
        </w:rPr>
        <w:br/>
      </w:r>
    </w:p>
    <w:p w14:paraId="74E1F7F9" w14:textId="35F3E9CD" w:rsidR="00140B5F" w:rsidRPr="00140B5F" w:rsidRDefault="00140B5F" w:rsidP="008F31F4">
      <w:pPr>
        <w:spacing w:line="240" w:lineRule="auto"/>
        <w:jc w:val="both"/>
        <w:rPr>
          <w:lang w:val="en-GB"/>
        </w:rPr>
      </w:pPr>
      <w:r>
        <w:rPr>
          <w:b/>
          <w:shd w:val="clear" w:color="auto" w:fill="FFFF00"/>
          <w:lang w:val="en-GB"/>
        </w:rPr>
        <w:t>EVENT</w:t>
      </w:r>
      <w:r>
        <w:rPr>
          <w:b/>
          <w:lang w:val="en-GB"/>
        </w:rPr>
        <w:t xml:space="preserve"> – European Commission </w:t>
      </w:r>
      <w:r>
        <w:rPr>
          <w:lang w:val="en-GB"/>
        </w:rPr>
        <w:t xml:space="preserve">– </w:t>
      </w:r>
      <w:r w:rsidRPr="00300E7F">
        <w:rPr>
          <w:lang w:val="en-GB"/>
        </w:rPr>
        <w:t>2016 Annual Colloquium on Fundamental Rights</w:t>
      </w:r>
      <w:r>
        <w:rPr>
          <w:lang w:val="en-GB"/>
        </w:rPr>
        <w:t xml:space="preserve">: </w:t>
      </w:r>
      <w:hyperlink r:id="rId19" w:history="1">
        <w:r w:rsidRPr="00AA6001">
          <w:rPr>
            <w:rStyle w:val="Hyperlink"/>
            <w:lang w:val="en-GB"/>
          </w:rPr>
          <w:t>Media Pluralism in a democratic society</w:t>
        </w:r>
      </w:hyperlink>
      <w:r>
        <w:rPr>
          <w:lang w:val="en-GB"/>
        </w:rPr>
        <w:t>, 17-18 November 2016</w:t>
      </w:r>
      <w:r>
        <w:rPr>
          <w:lang w:val="en-GB"/>
        </w:rPr>
        <w:tab/>
      </w:r>
      <w:r>
        <w:rPr>
          <w:lang w:val="en-GB"/>
        </w:rPr>
        <w:br/>
      </w:r>
    </w:p>
    <w:p w14:paraId="7F8D8667" w14:textId="77777777" w:rsidR="00CB111C" w:rsidRDefault="008F31F4" w:rsidP="008F31F4">
      <w:pPr>
        <w:spacing w:line="240" w:lineRule="auto"/>
        <w:jc w:val="both"/>
        <w:rPr>
          <w:lang w:val="en-GB"/>
        </w:rPr>
      </w:pPr>
      <w:r>
        <w:rPr>
          <w:b/>
          <w:shd w:val="clear" w:color="auto" w:fill="FFFF00"/>
          <w:lang w:val="en-GB"/>
        </w:rPr>
        <w:t>EVENT</w:t>
      </w:r>
      <w:r>
        <w:rPr>
          <w:b/>
          <w:lang w:val="en-GB"/>
        </w:rPr>
        <w:t xml:space="preserve"> – </w:t>
      </w:r>
      <w:r w:rsidR="00210D58" w:rsidRPr="00210D58">
        <w:rPr>
          <w:b/>
          <w:lang w:val="en-GB"/>
        </w:rPr>
        <w:t>European Union Agency for Fundamental Rights</w:t>
      </w:r>
      <w:r w:rsidR="004676F4">
        <w:rPr>
          <w:b/>
          <w:lang w:val="en-GB"/>
        </w:rPr>
        <w:t xml:space="preserve"> (FRA)</w:t>
      </w:r>
      <w:r w:rsidR="00210D58">
        <w:rPr>
          <w:b/>
          <w:lang w:val="en-GB"/>
        </w:rPr>
        <w:t xml:space="preserve"> </w:t>
      </w:r>
      <w:r>
        <w:rPr>
          <w:lang w:val="en-GB"/>
        </w:rPr>
        <w:t xml:space="preserve">– </w:t>
      </w:r>
      <w:hyperlink r:id="rId20" w:history="1">
        <w:r w:rsidR="00210D58" w:rsidRPr="00210D58">
          <w:rPr>
            <w:rStyle w:val="Hyperlink"/>
            <w:lang w:val="en-GB"/>
          </w:rPr>
          <w:t>Fundamental Rights Forum</w:t>
        </w:r>
        <w:r w:rsidRPr="00210D58">
          <w:rPr>
            <w:rStyle w:val="Hyperlink"/>
            <w:lang w:val="en-GB"/>
          </w:rPr>
          <w:t xml:space="preserve">: </w:t>
        </w:r>
        <w:r w:rsidR="004676F4">
          <w:rPr>
            <w:rStyle w:val="Hyperlink"/>
            <w:lang w:val="en-US"/>
          </w:rPr>
          <w:t>Rights, Respect, a</w:t>
        </w:r>
        <w:r w:rsidR="004676F4" w:rsidRPr="00210D58">
          <w:rPr>
            <w:rStyle w:val="Hyperlink"/>
            <w:lang w:val="en-US"/>
          </w:rPr>
          <w:t>nd Reality</w:t>
        </w:r>
        <w:r w:rsidR="00210D58" w:rsidRPr="00210D58">
          <w:rPr>
            <w:rStyle w:val="Hyperlink"/>
            <w:lang w:val="en-US"/>
          </w:rPr>
          <w:t>: the Europe of Values in Today's World</w:t>
        </w:r>
      </w:hyperlink>
      <w:r>
        <w:rPr>
          <w:lang w:val="en-GB"/>
        </w:rPr>
        <w:t xml:space="preserve">, </w:t>
      </w:r>
      <w:r w:rsidR="00210D58" w:rsidRPr="004676F4">
        <w:rPr>
          <w:b/>
          <w:lang w:val="en-GB"/>
        </w:rPr>
        <w:t>20</w:t>
      </w:r>
      <w:r w:rsidRPr="004676F4">
        <w:rPr>
          <w:b/>
          <w:lang w:val="en-GB"/>
        </w:rPr>
        <w:t>-</w:t>
      </w:r>
      <w:r w:rsidR="00210D58" w:rsidRPr="004676F4">
        <w:rPr>
          <w:b/>
          <w:lang w:val="en-GB"/>
        </w:rPr>
        <w:t>23</w:t>
      </w:r>
      <w:r w:rsidRPr="004676F4">
        <w:rPr>
          <w:b/>
          <w:lang w:val="en-GB"/>
        </w:rPr>
        <w:t xml:space="preserve"> </w:t>
      </w:r>
      <w:r w:rsidR="00210D58" w:rsidRPr="004676F4">
        <w:rPr>
          <w:b/>
          <w:lang w:val="en-GB"/>
        </w:rPr>
        <w:t>June</w:t>
      </w:r>
      <w:r w:rsidRPr="004676F4">
        <w:rPr>
          <w:b/>
          <w:lang w:val="en-GB"/>
        </w:rPr>
        <w:t xml:space="preserve"> 2016</w:t>
      </w:r>
      <w:r w:rsidR="00210D58">
        <w:rPr>
          <w:lang w:val="en-GB"/>
        </w:rPr>
        <w:t>, Vienna, Austria</w:t>
      </w:r>
      <w:r w:rsidR="00140B5F">
        <w:rPr>
          <w:lang w:val="en-GB"/>
        </w:rPr>
        <w:tab/>
      </w:r>
    </w:p>
    <w:p w14:paraId="57DE14B8" w14:textId="7F31FC26" w:rsidR="008F31F4" w:rsidRPr="00CB111C" w:rsidRDefault="00CB111C" w:rsidP="008F31F4">
      <w:pPr>
        <w:spacing w:line="240" w:lineRule="auto"/>
        <w:jc w:val="both"/>
        <w:rPr>
          <w:rFonts w:ascii="Calibri" w:eastAsia="Calibri" w:hAnsi="Calibri" w:cs="Times New Roman"/>
          <w:lang w:val="en-GB"/>
        </w:rPr>
      </w:pPr>
      <w:r>
        <w:rPr>
          <w:lang w:val="en-GB"/>
        </w:rPr>
        <w:br/>
      </w:r>
      <w:r w:rsidRPr="00CB111C">
        <w:rPr>
          <w:b/>
          <w:color w:val="FFFFFF" w:themeColor="background1"/>
          <w:shd w:val="clear" w:color="auto" w:fill="7030A0"/>
          <w:lang w:val="en-GB"/>
        </w:rPr>
        <w:t>PUBLICATION</w:t>
      </w:r>
      <w:r w:rsidRPr="001A3BA9">
        <w:rPr>
          <w:rFonts w:ascii="Calibri" w:eastAsia="Calibri" w:hAnsi="Calibri" w:cs="Times New Roman"/>
          <w:lang w:val="en-GB"/>
        </w:rPr>
        <w:t xml:space="preserve"> –</w:t>
      </w:r>
      <w:r w:rsidRPr="00E86A7A">
        <w:rPr>
          <w:lang w:val="en-GB"/>
        </w:rPr>
        <w:t xml:space="preserve"> </w:t>
      </w:r>
      <w:r>
        <w:rPr>
          <w:rFonts w:ascii="Calibri" w:eastAsia="Calibri" w:hAnsi="Calibri" w:cs="Times New Roman"/>
          <w:b/>
          <w:lang w:val="en-GB"/>
        </w:rPr>
        <w:t>European Commission</w:t>
      </w:r>
      <w:r>
        <w:rPr>
          <w:rFonts w:ascii="Calibri" w:eastAsia="Calibri" w:hAnsi="Calibri" w:cs="Times New Roman"/>
          <w:lang w:val="en-GB"/>
        </w:rPr>
        <w:t xml:space="preserve"> – </w:t>
      </w:r>
      <w:r w:rsidRPr="009220AD">
        <w:rPr>
          <w:rFonts w:ascii="Calibri" w:eastAsia="Calibri" w:hAnsi="Calibri" w:cs="Times New Roman"/>
          <w:b/>
          <w:lang w:val="en-GB"/>
        </w:rPr>
        <w:t xml:space="preserve">European </w:t>
      </w:r>
      <w:r>
        <w:rPr>
          <w:rFonts w:ascii="Calibri" w:eastAsia="Calibri" w:hAnsi="Calibri" w:cs="Times New Roman"/>
          <w:b/>
          <w:lang w:val="en-GB"/>
        </w:rPr>
        <w:t>Network of Legal E</w:t>
      </w:r>
      <w:r w:rsidRPr="009220AD">
        <w:rPr>
          <w:rFonts w:ascii="Calibri" w:eastAsia="Calibri" w:hAnsi="Calibri" w:cs="Times New Roman"/>
          <w:b/>
          <w:lang w:val="en-GB"/>
        </w:rPr>
        <w:t xml:space="preserve">xperts in </w:t>
      </w:r>
      <w:r>
        <w:rPr>
          <w:rFonts w:ascii="Calibri" w:eastAsia="Calibri" w:hAnsi="Calibri" w:cs="Times New Roman"/>
          <w:b/>
          <w:lang w:val="en-GB"/>
        </w:rPr>
        <w:t>Gender E</w:t>
      </w:r>
      <w:r w:rsidRPr="009220AD">
        <w:rPr>
          <w:rFonts w:ascii="Calibri" w:eastAsia="Calibri" w:hAnsi="Calibri" w:cs="Times New Roman"/>
          <w:b/>
          <w:lang w:val="en-GB"/>
        </w:rPr>
        <w:t xml:space="preserve">quality and </w:t>
      </w:r>
      <w:r>
        <w:rPr>
          <w:rFonts w:ascii="Calibri" w:eastAsia="Calibri" w:hAnsi="Calibri" w:cs="Times New Roman"/>
          <w:b/>
          <w:lang w:val="en-GB"/>
        </w:rPr>
        <w:t>Non-D</w:t>
      </w:r>
      <w:r w:rsidRPr="009220AD">
        <w:rPr>
          <w:rFonts w:ascii="Calibri" w:eastAsia="Calibri" w:hAnsi="Calibri" w:cs="Times New Roman"/>
          <w:b/>
          <w:lang w:val="en-GB"/>
        </w:rPr>
        <w:t>iscrimination</w:t>
      </w:r>
      <w:r>
        <w:rPr>
          <w:rFonts w:ascii="Calibri" w:eastAsia="Calibri" w:hAnsi="Calibri" w:cs="Times New Roman"/>
          <w:b/>
          <w:lang w:val="en-GB"/>
        </w:rPr>
        <w:t xml:space="preserve"> </w:t>
      </w:r>
      <w:r w:rsidRPr="009220AD">
        <w:rPr>
          <w:rFonts w:ascii="Calibri" w:eastAsia="Calibri" w:hAnsi="Calibri" w:cs="Times New Roman"/>
          <w:lang w:val="en-GB"/>
        </w:rPr>
        <w:t>– Report:</w:t>
      </w:r>
      <w:r>
        <w:rPr>
          <w:rFonts w:ascii="Calibri" w:eastAsia="Calibri" w:hAnsi="Calibri" w:cs="Times New Roman"/>
          <w:lang w:val="en-GB"/>
        </w:rPr>
        <w:t xml:space="preserve">  </w:t>
      </w:r>
      <w:hyperlink r:id="rId21" w:history="1">
        <w:r w:rsidRPr="00CB111C">
          <w:rPr>
            <w:rStyle w:val="Hyperlink"/>
            <w:lang w:val="en-US"/>
          </w:rPr>
          <w:t>A Comparative Analysis of Non-Discrimination Law in Europe 2015</w:t>
        </w:r>
      </w:hyperlink>
      <w:r>
        <w:rPr>
          <w:lang w:val="en-US"/>
        </w:rPr>
        <w:tab/>
      </w:r>
      <w:r w:rsidR="00140B5F">
        <w:rPr>
          <w:lang w:val="en-GB"/>
        </w:rPr>
        <w:br/>
      </w:r>
    </w:p>
    <w:p w14:paraId="77E2219D" w14:textId="1498D1FC" w:rsidR="004676F4" w:rsidRPr="004676F4" w:rsidRDefault="004676F4" w:rsidP="004676F4">
      <w:pPr>
        <w:jc w:val="both"/>
        <w:rPr>
          <w:rFonts w:ascii="Calibri" w:eastAsia="Calibri" w:hAnsi="Calibri" w:cs="Times New Roman"/>
          <w:color w:val="0563C1" w:themeColor="hyperlink"/>
          <w:u w:val="single"/>
          <w:lang w:val="en-US"/>
        </w:rPr>
      </w:pPr>
      <w:r w:rsidRPr="001252F9">
        <w:rPr>
          <w:b/>
          <w:color w:val="FFFFFF" w:themeColor="background1"/>
          <w:shd w:val="clear" w:color="auto" w:fill="7030A0"/>
          <w:lang w:val="en-GB"/>
        </w:rPr>
        <w:t>PUBLICATION</w:t>
      </w:r>
      <w:r>
        <w:rPr>
          <w:b/>
          <w:lang w:val="en-GB"/>
        </w:rPr>
        <w:t xml:space="preserve"> – </w:t>
      </w:r>
      <w:r w:rsidRPr="001A3BA9">
        <w:rPr>
          <w:rFonts w:ascii="Calibri" w:eastAsia="Calibri" w:hAnsi="Calibri" w:cs="Times New Roman"/>
          <w:b/>
          <w:lang w:val="en-GB"/>
        </w:rPr>
        <w:t>European Union Agency for Fundamental Rights (FRA)</w:t>
      </w:r>
      <w:r w:rsidRPr="001A3BA9">
        <w:rPr>
          <w:rFonts w:ascii="Calibri" w:eastAsia="Calibri" w:hAnsi="Calibri" w:cs="Times New Roman"/>
          <w:lang w:val="en-GB"/>
        </w:rPr>
        <w:t xml:space="preserve"> –</w:t>
      </w:r>
      <w:r>
        <w:rPr>
          <w:rFonts w:ascii="Calibri" w:eastAsia="Calibri" w:hAnsi="Calibri" w:cs="Times New Roman"/>
          <w:lang w:val="en-GB"/>
        </w:rPr>
        <w:t xml:space="preserve"> </w:t>
      </w:r>
      <w:hyperlink r:id="rId22" w:history="1">
        <w:r w:rsidRPr="00CB1DD9">
          <w:rPr>
            <w:rStyle w:val="Hyperlink"/>
            <w:lang w:val="en-US"/>
          </w:rPr>
          <w:t>Fundamental Rights Report 2016</w:t>
        </w:r>
      </w:hyperlink>
    </w:p>
    <w:p w14:paraId="7427688C" w14:textId="77777777" w:rsidR="00140B5F" w:rsidRDefault="00966E5D" w:rsidP="00FC2233">
      <w:pPr>
        <w:spacing w:line="240" w:lineRule="auto"/>
        <w:jc w:val="both"/>
        <w:rPr>
          <w:lang w:val="en-US"/>
        </w:rPr>
      </w:pPr>
      <w:r w:rsidRPr="00966E5D">
        <w:rPr>
          <w:lang w:val="en-US"/>
        </w:rPr>
        <w:t xml:space="preserve">The </w:t>
      </w:r>
      <w:r w:rsidRPr="00966E5D">
        <w:rPr>
          <w:b/>
          <w:lang w:val="en-US"/>
        </w:rPr>
        <w:t>Fundamental Rights Report 2016</w:t>
      </w:r>
      <w:r w:rsidRPr="00966E5D">
        <w:rPr>
          <w:lang w:val="en-US"/>
        </w:rPr>
        <w:t xml:space="preserve"> summarises and analyses major fundamental rights developments in the EU throughout 2015, with proposals for action in the areas of equality and non-discrimination; racism, xenophobia and related intolerance; Roma integration; information society, privacy and data protection; rights of the child; and access to justice including rights of crime victims.</w:t>
      </w:r>
    </w:p>
    <w:p w14:paraId="317E70A2" w14:textId="1C78E84E" w:rsidR="00B6131B" w:rsidRDefault="00140B5F" w:rsidP="00140B5F">
      <w:pPr>
        <w:spacing w:line="240" w:lineRule="auto"/>
        <w:jc w:val="both"/>
        <w:rPr>
          <w:lang w:val="en-US"/>
        </w:rPr>
      </w:pPr>
      <w:r>
        <w:rPr>
          <w:lang w:val="en-US"/>
        </w:rPr>
        <w:t>The report makes several references to equality bodies, by for instant highlighting the importance of “s</w:t>
      </w:r>
      <w:r w:rsidRPr="00140B5F">
        <w:rPr>
          <w:lang w:val="en-US"/>
        </w:rPr>
        <w:t>trengthening the powers of equality bodies</w:t>
      </w:r>
      <w:r w:rsidR="00EA5C3B">
        <w:rPr>
          <w:lang w:val="en-US"/>
        </w:rPr>
        <w:t xml:space="preserve"> [in order to contribute] </w:t>
      </w:r>
      <w:r w:rsidRPr="00140B5F">
        <w:rPr>
          <w:lang w:val="en-US"/>
        </w:rPr>
        <w:t>to more effecti</w:t>
      </w:r>
      <w:r w:rsidR="00EA5C3B">
        <w:rPr>
          <w:lang w:val="en-US"/>
        </w:rPr>
        <w:t xml:space="preserve">ve implementation of the Racial Equality Directive” (page 85). More information about the report is also available on the </w:t>
      </w:r>
      <w:hyperlink r:id="rId23" w:history="1">
        <w:r w:rsidR="00EA5C3B" w:rsidRPr="00EA5C3B">
          <w:rPr>
            <w:rStyle w:val="Hyperlink"/>
            <w:lang w:val="en-US"/>
          </w:rPr>
          <w:t>Equinet’s website</w:t>
        </w:r>
      </w:hyperlink>
      <w:r w:rsidR="00EA5C3B">
        <w:rPr>
          <w:lang w:val="en-US"/>
        </w:rPr>
        <w:t xml:space="preserve">. </w:t>
      </w:r>
      <w:r w:rsidR="00EA5C3B">
        <w:rPr>
          <w:lang w:val="en-US"/>
        </w:rPr>
        <w:tab/>
      </w:r>
      <w:r w:rsidR="00B6131B">
        <w:rPr>
          <w:lang w:val="en-US"/>
        </w:rPr>
        <w:br/>
      </w:r>
    </w:p>
    <w:p w14:paraId="61473236" w14:textId="423593EE" w:rsidR="00B6131B" w:rsidRDefault="00B6131B" w:rsidP="00B6131B">
      <w:pPr>
        <w:jc w:val="both"/>
        <w:rPr>
          <w:lang w:val="en-US"/>
        </w:rPr>
      </w:pPr>
      <w:r w:rsidRPr="001252F9">
        <w:rPr>
          <w:b/>
          <w:color w:val="FFFFFF" w:themeColor="background1"/>
          <w:shd w:val="clear" w:color="auto" w:fill="7030A0"/>
          <w:lang w:val="en-GB"/>
        </w:rPr>
        <w:t>PUBLICATION</w:t>
      </w:r>
      <w:r>
        <w:rPr>
          <w:b/>
          <w:lang w:val="en-GB"/>
        </w:rPr>
        <w:t xml:space="preserve"> – </w:t>
      </w:r>
      <w:r>
        <w:rPr>
          <w:rFonts w:ascii="Calibri" w:eastAsia="Calibri" w:hAnsi="Calibri" w:cs="Times New Roman"/>
          <w:b/>
          <w:lang w:val="en-GB"/>
        </w:rPr>
        <w:t>Council of Europe – European Commission against Racism and Intolerance (ECRI)</w:t>
      </w:r>
      <w:r w:rsidRPr="001A3BA9">
        <w:rPr>
          <w:rFonts w:ascii="Calibri" w:eastAsia="Calibri" w:hAnsi="Calibri" w:cs="Times New Roman"/>
          <w:lang w:val="en-GB"/>
        </w:rPr>
        <w:t xml:space="preserve"> –</w:t>
      </w:r>
      <w:r>
        <w:rPr>
          <w:rFonts w:ascii="Calibri" w:eastAsia="Calibri" w:hAnsi="Calibri" w:cs="Times New Roman"/>
          <w:lang w:val="en-GB"/>
        </w:rPr>
        <w:t xml:space="preserve"> </w:t>
      </w:r>
      <w:hyperlink r:id="rId24" w:history="1">
        <w:r w:rsidRPr="00B6131B">
          <w:rPr>
            <w:rStyle w:val="Hyperlink"/>
            <w:lang w:val="en-US"/>
          </w:rPr>
          <w:t>Annual report 2015</w:t>
        </w:r>
      </w:hyperlink>
    </w:p>
    <w:p w14:paraId="296AD67D" w14:textId="3774F405" w:rsidR="00B6131B" w:rsidRPr="004676F4" w:rsidRDefault="00B6131B" w:rsidP="00B6131B">
      <w:pPr>
        <w:jc w:val="both"/>
        <w:rPr>
          <w:rFonts w:ascii="Calibri" w:eastAsia="Calibri" w:hAnsi="Calibri" w:cs="Times New Roman"/>
          <w:color w:val="0563C1" w:themeColor="hyperlink"/>
          <w:u w:val="single"/>
          <w:lang w:val="en-US"/>
        </w:rPr>
      </w:pPr>
      <w:r>
        <w:rPr>
          <w:lang w:val="en-US"/>
        </w:rPr>
        <w:t xml:space="preserve">The report shows growing anti-immigrant sentiment and islamophobia in Europe. More information is available on the </w:t>
      </w:r>
      <w:hyperlink r:id="rId25" w:history="1">
        <w:r w:rsidRPr="00B6131B">
          <w:rPr>
            <w:rStyle w:val="Hyperlink"/>
            <w:lang w:val="en-US"/>
          </w:rPr>
          <w:t xml:space="preserve">Equinet’s website. </w:t>
        </w:r>
      </w:hyperlink>
      <w:r>
        <w:rPr>
          <w:lang w:val="en-US"/>
        </w:rPr>
        <w:t xml:space="preserve"> </w:t>
      </w:r>
    </w:p>
    <w:p w14:paraId="2DAD4D4C" w14:textId="19014881" w:rsidR="00FC2233" w:rsidRDefault="00FC2233" w:rsidP="00140B5F">
      <w:pPr>
        <w:spacing w:line="240" w:lineRule="auto"/>
        <w:jc w:val="both"/>
        <w:rPr>
          <w:lang w:val="en-US"/>
        </w:rPr>
      </w:pPr>
      <w:r>
        <w:rPr>
          <w:rStyle w:val="Hyperlink"/>
          <w:rFonts w:ascii="Calibri" w:eastAsia="Calibri" w:hAnsi="Calibri" w:cs="Times New Roman"/>
          <w:lang w:val="en-GB"/>
        </w:rPr>
        <w:br/>
      </w:r>
    </w:p>
    <w:p w14:paraId="6574BFD1" w14:textId="77777777" w:rsidR="00B6131B" w:rsidRPr="00EA5C3B" w:rsidRDefault="00B6131B" w:rsidP="00140B5F">
      <w:pPr>
        <w:spacing w:line="240" w:lineRule="auto"/>
        <w:jc w:val="both"/>
        <w:rPr>
          <w:lang w:val="en-US"/>
        </w:rPr>
      </w:pPr>
    </w:p>
    <w:p w14:paraId="074EF7E3" w14:textId="5AB8D32F" w:rsidR="00B05622" w:rsidRPr="00966E5D" w:rsidRDefault="00B05622" w:rsidP="00966E5D">
      <w:pPr>
        <w:pStyle w:val="Heading1"/>
        <w:pBdr>
          <w:top w:val="dotted" w:sz="4" w:space="1" w:color="auto"/>
          <w:bottom w:val="dotted" w:sz="4" w:space="1" w:color="auto"/>
        </w:pBdr>
        <w:rPr>
          <w:color w:val="0070C0"/>
          <w:lang w:val="en-GB"/>
        </w:rPr>
      </w:pPr>
      <w:bookmarkStart w:id="16" w:name="_Gender_Equality"/>
      <w:bookmarkEnd w:id="16"/>
      <w:r w:rsidRPr="00AA6001">
        <w:rPr>
          <w:lang w:val="en-GB"/>
        </w:rPr>
        <w:t>Gender Equality</w:t>
      </w:r>
    </w:p>
    <w:p w14:paraId="4F2A5C42" w14:textId="77777777" w:rsidR="00D47BC3" w:rsidRPr="001A3BA9" w:rsidRDefault="00D47BC3" w:rsidP="00CE7D4C">
      <w:pPr>
        <w:spacing w:line="240" w:lineRule="auto"/>
        <w:jc w:val="both"/>
        <w:rPr>
          <w:lang w:val="en-GB"/>
        </w:rPr>
      </w:pPr>
    </w:p>
    <w:p w14:paraId="2722241F" w14:textId="0ECFC9AC" w:rsidR="00D47BC3" w:rsidRDefault="006A0A69" w:rsidP="00CE7D4C">
      <w:pPr>
        <w:pStyle w:val="Heading2"/>
        <w:spacing w:line="240" w:lineRule="auto"/>
        <w:jc w:val="both"/>
        <w:rPr>
          <w:lang w:val="en-GB"/>
        </w:rPr>
      </w:pPr>
      <w:r w:rsidRPr="001A3BA9">
        <w:rPr>
          <w:lang w:val="en-GB"/>
        </w:rPr>
        <w:t>Publications, funding opportunities and events</w:t>
      </w:r>
    </w:p>
    <w:p w14:paraId="586B3909" w14:textId="78486CAA" w:rsidR="001252F9" w:rsidRPr="001252F9" w:rsidRDefault="001252F9" w:rsidP="00FB73ED">
      <w:pPr>
        <w:spacing w:line="240" w:lineRule="auto"/>
        <w:jc w:val="both"/>
        <w:rPr>
          <w:lang w:val="en-GB"/>
        </w:rPr>
      </w:pPr>
    </w:p>
    <w:p w14:paraId="561E90B0" w14:textId="4C2CB393" w:rsidR="00C87C61" w:rsidRDefault="00B83CEA" w:rsidP="00FB73ED">
      <w:pPr>
        <w:spacing w:line="240" w:lineRule="auto"/>
        <w:jc w:val="both"/>
        <w:rPr>
          <w:rFonts w:ascii="Calibri" w:eastAsia="Calibri" w:hAnsi="Calibri" w:cs="Times New Roman"/>
          <w:lang w:val="en-GB"/>
        </w:rPr>
      </w:pPr>
      <w:r>
        <w:rPr>
          <w:b/>
          <w:shd w:val="clear" w:color="auto" w:fill="00B0F0"/>
          <w:lang w:val="en-GB"/>
        </w:rPr>
        <w:t>CALL FOR CONTRIBUTIONS</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sidRPr="00E86A7A">
        <w:rPr>
          <w:rFonts w:ascii="Calibri" w:eastAsia="Calibri" w:hAnsi="Calibri" w:cs="Times New Roman"/>
          <w:b/>
          <w:lang w:val="en-GB"/>
        </w:rPr>
        <w:t>European Institute for Gender Equality</w:t>
      </w:r>
      <w:r>
        <w:rPr>
          <w:rFonts w:ascii="Calibri" w:eastAsia="Calibri" w:hAnsi="Calibri" w:cs="Times New Roman"/>
          <w:lang w:val="en-GB"/>
        </w:rPr>
        <w:t xml:space="preserve"> </w:t>
      </w:r>
      <w:r>
        <w:rPr>
          <w:rFonts w:ascii="Calibri" w:eastAsia="Calibri" w:hAnsi="Calibri" w:cs="Times New Roman"/>
          <w:b/>
          <w:lang w:val="en-GB"/>
        </w:rPr>
        <w:t xml:space="preserve">(EIGE) </w:t>
      </w:r>
      <w:r>
        <w:rPr>
          <w:rFonts w:ascii="Calibri" w:eastAsia="Calibri" w:hAnsi="Calibri" w:cs="Times New Roman"/>
          <w:lang w:val="en-GB"/>
        </w:rPr>
        <w:t>–</w:t>
      </w:r>
      <w:r w:rsidRPr="00B17291">
        <w:rPr>
          <w:lang w:val="en-GB"/>
        </w:rPr>
        <w:t xml:space="preserve"> </w:t>
      </w:r>
      <w:hyperlink r:id="rId26" w:history="1">
        <w:r w:rsidRPr="00FB73ED">
          <w:rPr>
            <w:rStyle w:val="Hyperlink"/>
            <w:rFonts w:ascii="Calibri" w:eastAsia="Calibri" w:hAnsi="Calibri" w:cs="Times New Roman"/>
            <w:lang w:val="en-GB"/>
          </w:rPr>
          <w:t>Call for expressions of interest for the establishment of a list of external experts</w:t>
        </w:r>
      </w:hyperlink>
      <w:r w:rsidR="00FB73ED">
        <w:rPr>
          <w:rFonts w:ascii="Calibri" w:eastAsia="Calibri" w:hAnsi="Calibri" w:cs="Times New Roman"/>
          <w:lang w:val="en-GB"/>
        </w:rPr>
        <w:t xml:space="preserve"> </w:t>
      </w:r>
      <w:r w:rsidR="00FB73ED" w:rsidRPr="00FB73ED">
        <w:rPr>
          <w:rFonts w:ascii="Calibri" w:eastAsia="Calibri" w:hAnsi="Calibri" w:cs="Times New Roman"/>
          <w:lang w:val="en-GB"/>
        </w:rPr>
        <w:t>(Closing date: 30</w:t>
      </w:r>
      <w:r w:rsidR="00FB73ED" w:rsidRPr="00FB73ED">
        <w:rPr>
          <w:rFonts w:ascii="Calibri" w:eastAsia="Calibri" w:hAnsi="Calibri" w:cs="Times New Roman"/>
          <w:vertAlign w:val="superscript"/>
          <w:lang w:val="en-GB"/>
        </w:rPr>
        <w:t>th</w:t>
      </w:r>
      <w:r w:rsidR="00FB73ED" w:rsidRPr="00FB73ED">
        <w:rPr>
          <w:rFonts w:ascii="Calibri" w:eastAsia="Calibri" w:hAnsi="Calibri" w:cs="Times New Roman"/>
          <w:lang w:val="en-GB"/>
        </w:rPr>
        <w:t xml:space="preserve"> June 2019)</w:t>
      </w:r>
      <w:r w:rsidR="00FB73ED" w:rsidRPr="00FB73ED">
        <w:rPr>
          <w:rFonts w:ascii="Calibri" w:eastAsia="Calibri" w:hAnsi="Calibri" w:cs="Times New Roman"/>
          <w:lang w:val="en-GB"/>
        </w:rPr>
        <w:tab/>
      </w:r>
      <w:r w:rsidR="00A93646">
        <w:rPr>
          <w:rFonts w:ascii="Calibri" w:eastAsia="Calibri" w:hAnsi="Calibri" w:cs="Times New Roman"/>
          <w:lang w:val="en-GB"/>
        </w:rPr>
        <w:br/>
      </w:r>
    </w:p>
    <w:p w14:paraId="0BA1DD85" w14:textId="7949ADE8" w:rsidR="00944D6F" w:rsidRDefault="00C87C61" w:rsidP="00FB73ED">
      <w:pPr>
        <w:jc w:val="both"/>
        <w:rPr>
          <w:lang w:val="en-GB"/>
        </w:rPr>
      </w:pPr>
      <w:r w:rsidRPr="00C87C61">
        <w:rPr>
          <w:b/>
          <w:highlight w:val="yellow"/>
          <w:lang w:val="en-GB"/>
        </w:rPr>
        <w:t>EVENT</w:t>
      </w:r>
      <w:r w:rsidRPr="00C87C61">
        <w:rPr>
          <w:b/>
          <w:lang w:val="en-GB"/>
        </w:rPr>
        <w:t xml:space="preserve"> – </w:t>
      </w:r>
      <w:r w:rsidR="00944D6F">
        <w:rPr>
          <w:b/>
          <w:lang w:val="en-GB"/>
        </w:rPr>
        <w:t>EuroGender Network</w:t>
      </w:r>
      <w:r w:rsidRPr="00C87C61">
        <w:rPr>
          <w:b/>
          <w:lang w:val="en-GB"/>
        </w:rPr>
        <w:t xml:space="preserve"> -</w:t>
      </w:r>
      <w:r w:rsidRPr="00C87C61">
        <w:rPr>
          <w:lang w:val="en-GB"/>
        </w:rPr>
        <w:t xml:space="preserve"> </w:t>
      </w:r>
      <w:hyperlink r:id="rId27" w:history="1">
        <w:r w:rsidR="0028756D" w:rsidRPr="00944D6F">
          <w:rPr>
            <w:rStyle w:val="Hyperlink"/>
            <w:lang w:val="en-US"/>
          </w:rPr>
          <w:t>Online Discussion on Good Practice Initiatives in the Field of Prevention of Gender-based Violence in Sport</w:t>
        </w:r>
      </w:hyperlink>
      <w:r w:rsidR="0028756D">
        <w:rPr>
          <w:lang w:val="en-US"/>
        </w:rPr>
        <w:t xml:space="preserve"> </w:t>
      </w:r>
      <w:r w:rsidR="00FB73ED">
        <w:rPr>
          <w:lang w:val="en-GB"/>
        </w:rPr>
        <w:t xml:space="preserve">- </w:t>
      </w:r>
      <w:r w:rsidRPr="00C87C61">
        <w:rPr>
          <w:lang w:val="en-GB"/>
        </w:rPr>
        <w:t xml:space="preserve">Thursday </w:t>
      </w:r>
      <w:r w:rsidR="00944D6F">
        <w:rPr>
          <w:lang w:val="en-GB"/>
        </w:rPr>
        <w:t>9</w:t>
      </w:r>
      <w:r w:rsidR="00944D6F" w:rsidRPr="00944D6F">
        <w:rPr>
          <w:vertAlign w:val="superscript"/>
          <w:lang w:val="en-GB"/>
        </w:rPr>
        <w:t>th</w:t>
      </w:r>
      <w:r w:rsidR="00944D6F">
        <w:rPr>
          <w:lang w:val="en-GB"/>
        </w:rPr>
        <w:t xml:space="preserve"> June 2016</w:t>
      </w:r>
      <w:r>
        <w:rPr>
          <w:lang w:val="en-GB"/>
        </w:rPr>
        <w:tab/>
      </w:r>
    </w:p>
    <w:p w14:paraId="4138C79A" w14:textId="01BAABF1" w:rsidR="00944D6F" w:rsidRDefault="00944D6F" w:rsidP="00FB73ED">
      <w:pPr>
        <w:jc w:val="both"/>
        <w:rPr>
          <w:lang w:val="en-GB"/>
        </w:rPr>
      </w:pPr>
      <w:r w:rsidRPr="00C87C61">
        <w:rPr>
          <w:b/>
          <w:highlight w:val="yellow"/>
          <w:lang w:val="en-GB"/>
        </w:rPr>
        <w:lastRenderedPageBreak/>
        <w:t>EVENT</w:t>
      </w:r>
      <w:r w:rsidRPr="00C87C61">
        <w:rPr>
          <w:b/>
          <w:lang w:val="en-GB"/>
        </w:rPr>
        <w:t xml:space="preserve"> – </w:t>
      </w:r>
      <w:r>
        <w:rPr>
          <w:b/>
          <w:lang w:val="en-GB"/>
        </w:rPr>
        <w:t>Jump Forum (in partnership with OECD)</w:t>
      </w:r>
      <w:r w:rsidRPr="00C87C61">
        <w:rPr>
          <w:b/>
          <w:lang w:val="en-GB"/>
        </w:rPr>
        <w:t xml:space="preserve"> </w:t>
      </w:r>
      <w:r>
        <w:rPr>
          <w:b/>
          <w:lang w:val="en-GB"/>
        </w:rPr>
        <w:t>–</w:t>
      </w:r>
      <w:r w:rsidRPr="00C87C61">
        <w:rPr>
          <w:lang w:val="en-GB"/>
        </w:rPr>
        <w:t xml:space="preserve"> </w:t>
      </w:r>
      <w:hyperlink r:id="rId28" w:history="1">
        <w:r w:rsidRPr="00944D6F">
          <w:rPr>
            <w:rStyle w:val="Hyperlink"/>
            <w:lang w:val="en-US"/>
          </w:rPr>
          <w:t>Jump Forum: advancing gender equality at work</w:t>
        </w:r>
      </w:hyperlink>
      <w:r w:rsidRPr="00C87C61">
        <w:rPr>
          <w:lang w:val="en-GB"/>
        </w:rPr>
        <w:t xml:space="preserve"> – Thursday </w:t>
      </w:r>
      <w:r>
        <w:rPr>
          <w:lang w:val="en-GB"/>
        </w:rPr>
        <w:t>16</w:t>
      </w:r>
      <w:r w:rsidRPr="00944D6F">
        <w:rPr>
          <w:vertAlign w:val="superscript"/>
          <w:lang w:val="en-GB"/>
        </w:rPr>
        <w:t>th</w:t>
      </w:r>
      <w:r w:rsidR="00FB73ED">
        <w:rPr>
          <w:lang w:val="en-GB"/>
        </w:rPr>
        <w:t xml:space="preserve"> June 2016 - </w:t>
      </w:r>
      <w:r>
        <w:rPr>
          <w:lang w:val="en-GB"/>
        </w:rPr>
        <w:t>Paris, France</w:t>
      </w:r>
      <w:r w:rsidR="00A93646">
        <w:rPr>
          <w:lang w:val="en-GB"/>
        </w:rPr>
        <w:tab/>
      </w:r>
      <w:r w:rsidR="00A93646">
        <w:rPr>
          <w:lang w:val="en-GB"/>
        </w:rPr>
        <w:br/>
      </w:r>
    </w:p>
    <w:p w14:paraId="1ACD5EF0" w14:textId="7162F2F2" w:rsidR="009A773C" w:rsidRPr="00810D49" w:rsidRDefault="009A773C" w:rsidP="00C87C61">
      <w:pPr>
        <w:jc w:val="both"/>
        <w:rPr>
          <w:lang w:val="en-US"/>
        </w:rPr>
      </w:pPr>
      <w:r w:rsidRPr="00C87C61">
        <w:rPr>
          <w:b/>
          <w:highlight w:val="yellow"/>
          <w:lang w:val="en-GB"/>
        </w:rPr>
        <w:t>EVENT</w:t>
      </w:r>
      <w:r w:rsidRPr="00C87C61">
        <w:rPr>
          <w:b/>
          <w:lang w:val="en-GB"/>
        </w:rPr>
        <w:t xml:space="preserve"> – </w:t>
      </w:r>
      <w:r>
        <w:rPr>
          <w:b/>
          <w:lang w:val="en-GB"/>
        </w:rPr>
        <w:t>Council of Europe</w:t>
      </w:r>
      <w:r w:rsidRPr="00C87C61">
        <w:rPr>
          <w:b/>
          <w:lang w:val="en-GB"/>
        </w:rPr>
        <w:t xml:space="preserve"> </w:t>
      </w:r>
      <w:r>
        <w:rPr>
          <w:b/>
          <w:lang w:val="en-GB"/>
        </w:rPr>
        <w:t>–</w:t>
      </w:r>
      <w:r w:rsidRPr="00C87C61">
        <w:rPr>
          <w:lang w:val="en-GB"/>
        </w:rPr>
        <w:t xml:space="preserve"> </w:t>
      </w:r>
      <w:hyperlink r:id="rId29" w:history="1">
        <w:r w:rsidRPr="009A773C">
          <w:rPr>
            <w:rStyle w:val="Hyperlink"/>
            <w:lang w:val="en-US"/>
          </w:rPr>
          <w:t>Gender Equality Commission: “Are we there yet? Assessing progress, inspiring action - Council of Europe Gender Equality Strategy 2014-2017”</w:t>
        </w:r>
      </w:hyperlink>
      <w:r>
        <w:rPr>
          <w:lang w:val="en-US"/>
        </w:rPr>
        <w:t xml:space="preserve"> </w:t>
      </w:r>
      <w:r w:rsidRPr="00C87C61">
        <w:rPr>
          <w:lang w:val="en-GB"/>
        </w:rPr>
        <w:t xml:space="preserve">– </w:t>
      </w:r>
      <w:r>
        <w:rPr>
          <w:lang w:val="en-GB"/>
        </w:rPr>
        <w:t>30</w:t>
      </w:r>
      <w:r w:rsidRPr="009A773C">
        <w:rPr>
          <w:vertAlign w:val="superscript"/>
          <w:lang w:val="en-GB"/>
        </w:rPr>
        <w:t>th</w:t>
      </w:r>
      <w:r>
        <w:rPr>
          <w:lang w:val="en-GB"/>
        </w:rPr>
        <w:t xml:space="preserve"> June and 1</w:t>
      </w:r>
      <w:r w:rsidRPr="009A773C">
        <w:rPr>
          <w:vertAlign w:val="superscript"/>
          <w:lang w:val="en-GB"/>
        </w:rPr>
        <w:t>st</w:t>
      </w:r>
      <w:r>
        <w:rPr>
          <w:lang w:val="en-GB"/>
        </w:rPr>
        <w:t xml:space="preserve"> July 2016</w:t>
      </w:r>
      <w:r w:rsidR="009220AD">
        <w:rPr>
          <w:lang w:val="en-GB"/>
        </w:rPr>
        <w:t xml:space="preserve"> -</w:t>
      </w:r>
      <w:r>
        <w:rPr>
          <w:lang w:val="en-GB"/>
        </w:rPr>
        <w:t xml:space="preserve"> </w:t>
      </w:r>
      <w:r w:rsidR="009220AD">
        <w:rPr>
          <w:lang w:val="en-GB"/>
        </w:rPr>
        <w:t>Tallinn</w:t>
      </w:r>
      <w:r>
        <w:rPr>
          <w:lang w:val="en-GB"/>
        </w:rPr>
        <w:t>, Estonia</w:t>
      </w:r>
      <w:r w:rsidR="00A93646">
        <w:rPr>
          <w:lang w:val="en-GB"/>
        </w:rPr>
        <w:br/>
      </w:r>
    </w:p>
    <w:p w14:paraId="6AEAC491" w14:textId="77777777" w:rsidR="009220AD" w:rsidRPr="009220AD" w:rsidRDefault="009220AD" w:rsidP="009220AD">
      <w:pPr>
        <w:spacing w:line="240" w:lineRule="auto"/>
        <w:jc w:val="both"/>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sidRPr="00E86A7A">
        <w:rPr>
          <w:lang w:val="en-GB"/>
        </w:rPr>
        <w:t xml:space="preserve"> </w:t>
      </w:r>
      <w:r>
        <w:rPr>
          <w:rFonts w:ascii="Calibri" w:eastAsia="Calibri" w:hAnsi="Calibri" w:cs="Times New Roman"/>
          <w:b/>
          <w:lang w:val="en-GB"/>
        </w:rPr>
        <w:t>European Commission</w:t>
      </w:r>
      <w:r>
        <w:rPr>
          <w:rFonts w:ascii="Calibri" w:eastAsia="Calibri" w:hAnsi="Calibri" w:cs="Times New Roman"/>
          <w:lang w:val="en-GB"/>
        </w:rPr>
        <w:t xml:space="preserve"> – </w:t>
      </w:r>
      <w:r w:rsidRPr="009220AD">
        <w:rPr>
          <w:rFonts w:ascii="Calibri" w:eastAsia="Calibri" w:hAnsi="Calibri" w:cs="Times New Roman"/>
          <w:b/>
          <w:lang w:val="en-GB"/>
        </w:rPr>
        <w:t xml:space="preserve">European </w:t>
      </w:r>
      <w:r>
        <w:rPr>
          <w:rFonts w:ascii="Calibri" w:eastAsia="Calibri" w:hAnsi="Calibri" w:cs="Times New Roman"/>
          <w:b/>
          <w:lang w:val="en-GB"/>
        </w:rPr>
        <w:t>Network of Legal E</w:t>
      </w:r>
      <w:r w:rsidRPr="009220AD">
        <w:rPr>
          <w:rFonts w:ascii="Calibri" w:eastAsia="Calibri" w:hAnsi="Calibri" w:cs="Times New Roman"/>
          <w:b/>
          <w:lang w:val="en-GB"/>
        </w:rPr>
        <w:t xml:space="preserve">xperts in </w:t>
      </w:r>
      <w:r>
        <w:rPr>
          <w:rFonts w:ascii="Calibri" w:eastAsia="Calibri" w:hAnsi="Calibri" w:cs="Times New Roman"/>
          <w:b/>
          <w:lang w:val="en-GB"/>
        </w:rPr>
        <w:t>Gender E</w:t>
      </w:r>
      <w:r w:rsidRPr="009220AD">
        <w:rPr>
          <w:rFonts w:ascii="Calibri" w:eastAsia="Calibri" w:hAnsi="Calibri" w:cs="Times New Roman"/>
          <w:b/>
          <w:lang w:val="en-GB"/>
        </w:rPr>
        <w:t xml:space="preserve">quality and </w:t>
      </w:r>
      <w:r>
        <w:rPr>
          <w:rFonts w:ascii="Calibri" w:eastAsia="Calibri" w:hAnsi="Calibri" w:cs="Times New Roman"/>
          <w:b/>
          <w:lang w:val="en-GB"/>
        </w:rPr>
        <w:t>Non-D</w:t>
      </w:r>
      <w:r w:rsidRPr="009220AD">
        <w:rPr>
          <w:rFonts w:ascii="Calibri" w:eastAsia="Calibri" w:hAnsi="Calibri" w:cs="Times New Roman"/>
          <w:b/>
          <w:lang w:val="en-GB"/>
        </w:rPr>
        <w:t>iscrimination</w:t>
      </w:r>
      <w:r>
        <w:rPr>
          <w:rFonts w:ascii="Calibri" w:eastAsia="Calibri" w:hAnsi="Calibri" w:cs="Times New Roman"/>
          <w:b/>
          <w:lang w:val="en-GB"/>
        </w:rPr>
        <w:t xml:space="preserve"> </w:t>
      </w:r>
      <w:r w:rsidRPr="009220AD">
        <w:rPr>
          <w:rFonts w:ascii="Calibri" w:eastAsia="Calibri" w:hAnsi="Calibri" w:cs="Times New Roman"/>
          <w:lang w:val="en-GB"/>
        </w:rPr>
        <w:t>– Report:</w:t>
      </w:r>
      <w:r>
        <w:rPr>
          <w:rFonts w:ascii="Calibri" w:eastAsia="Calibri" w:hAnsi="Calibri" w:cs="Times New Roman"/>
          <w:lang w:val="en-GB"/>
        </w:rPr>
        <w:t xml:space="preserve">  </w:t>
      </w:r>
      <w:hyperlink r:id="rId30" w:history="1">
        <w:r w:rsidRPr="0089532B">
          <w:rPr>
            <w:rStyle w:val="Hyperlink"/>
            <w:lang w:val="en-GB"/>
          </w:rPr>
          <w:t>Legal implications of EU accession to the Istanbul Convention</w:t>
        </w:r>
      </w:hyperlink>
    </w:p>
    <w:p w14:paraId="4B83DB2C" w14:textId="6CAB661B" w:rsidR="009220AD" w:rsidRDefault="009220AD" w:rsidP="009220AD">
      <w:pPr>
        <w:spacing w:line="240" w:lineRule="auto"/>
        <w:jc w:val="both"/>
        <w:rPr>
          <w:lang w:val="en-GB"/>
        </w:rPr>
      </w:pPr>
      <w:r w:rsidRPr="0089532B">
        <w:rPr>
          <w:lang w:val="en-GB"/>
        </w:rPr>
        <w:t>This report clarifies the legal preconditions and legal impact of the possible accession of the EU to the Council of Europe Convention on Preventing and Combating Violence against Women and Domestic Violence (Istanbul Convention).</w:t>
      </w:r>
      <w:r>
        <w:rPr>
          <w:lang w:val="en-GB"/>
        </w:rPr>
        <w:t xml:space="preserve"> </w:t>
      </w:r>
      <w:r w:rsidRPr="0089532B">
        <w:rPr>
          <w:lang w:val="en-GB"/>
        </w:rPr>
        <w:t>The report is based on a comparative study of country reports submitted by the gender equality experts of the European network of legal experts in gender equality and non-discrimination.</w:t>
      </w:r>
      <w:r w:rsidR="00A93646">
        <w:rPr>
          <w:lang w:val="en-GB"/>
        </w:rPr>
        <w:tab/>
      </w:r>
      <w:r w:rsidR="00A93646">
        <w:rPr>
          <w:lang w:val="en-GB"/>
        </w:rPr>
        <w:br/>
      </w:r>
    </w:p>
    <w:p w14:paraId="63E057B6" w14:textId="6E01C12E" w:rsidR="00CB111C" w:rsidRPr="00CB111C" w:rsidRDefault="00CB111C" w:rsidP="009220AD">
      <w:pPr>
        <w:spacing w:line="240" w:lineRule="auto"/>
        <w:jc w:val="both"/>
        <w:rPr>
          <w:rFonts w:ascii="Calibri" w:eastAsia="Calibri" w:hAnsi="Calibri" w:cs="Times New Roman"/>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sidRPr="00E86A7A">
        <w:rPr>
          <w:lang w:val="en-GB"/>
        </w:rPr>
        <w:t xml:space="preserve"> </w:t>
      </w:r>
      <w:r>
        <w:rPr>
          <w:rFonts w:ascii="Calibri" w:eastAsia="Calibri" w:hAnsi="Calibri" w:cs="Times New Roman"/>
          <w:b/>
          <w:lang w:val="en-GB"/>
        </w:rPr>
        <w:t>European Commission</w:t>
      </w:r>
      <w:r>
        <w:rPr>
          <w:rFonts w:ascii="Calibri" w:eastAsia="Calibri" w:hAnsi="Calibri" w:cs="Times New Roman"/>
          <w:lang w:val="en-GB"/>
        </w:rPr>
        <w:t xml:space="preserve"> – </w:t>
      </w:r>
      <w:r w:rsidRPr="009220AD">
        <w:rPr>
          <w:rFonts w:ascii="Calibri" w:eastAsia="Calibri" w:hAnsi="Calibri" w:cs="Times New Roman"/>
          <w:b/>
          <w:lang w:val="en-GB"/>
        </w:rPr>
        <w:t xml:space="preserve">European </w:t>
      </w:r>
      <w:r>
        <w:rPr>
          <w:rFonts w:ascii="Calibri" w:eastAsia="Calibri" w:hAnsi="Calibri" w:cs="Times New Roman"/>
          <w:b/>
          <w:lang w:val="en-GB"/>
        </w:rPr>
        <w:t>Network of Legal E</w:t>
      </w:r>
      <w:r w:rsidRPr="009220AD">
        <w:rPr>
          <w:rFonts w:ascii="Calibri" w:eastAsia="Calibri" w:hAnsi="Calibri" w:cs="Times New Roman"/>
          <w:b/>
          <w:lang w:val="en-GB"/>
        </w:rPr>
        <w:t xml:space="preserve">xperts in </w:t>
      </w:r>
      <w:r>
        <w:rPr>
          <w:rFonts w:ascii="Calibri" w:eastAsia="Calibri" w:hAnsi="Calibri" w:cs="Times New Roman"/>
          <w:b/>
          <w:lang w:val="en-GB"/>
        </w:rPr>
        <w:t>Gender E</w:t>
      </w:r>
      <w:r w:rsidRPr="009220AD">
        <w:rPr>
          <w:rFonts w:ascii="Calibri" w:eastAsia="Calibri" w:hAnsi="Calibri" w:cs="Times New Roman"/>
          <w:b/>
          <w:lang w:val="en-GB"/>
        </w:rPr>
        <w:t xml:space="preserve">quality and </w:t>
      </w:r>
      <w:r>
        <w:rPr>
          <w:rFonts w:ascii="Calibri" w:eastAsia="Calibri" w:hAnsi="Calibri" w:cs="Times New Roman"/>
          <w:b/>
          <w:lang w:val="en-GB"/>
        </w:rPr>
        <w:t>Non-D</w:t>
      </w:r>
      <w:r w:rsidRPr="009220AD">
        <w:rPr>
          <w:rFonts w:ascii="Calibri" w:eastAsia="Calibri" w:hAnsi="Calibri" w:cs="Times New Roman"/>
          <w:b/>
          <w:lang w:val="en-GB"/>
        </w:rPr>
        <w:t>iscrimination</w:t>
      </w:r>
      <w:r>
        <w:rPr>
          <w:rFonts w:ascii="Calibri" w:eastAsia="Calibri" w:hAnsi="Calibri" w:cs="Times New Roman"/>
          <w:b/>
          <w:lang w:val="en-GB"/>
        </w:rPr>
        <w:t xml:space="preserve"> </w:t>
      </w:r>
      <w:r w:rsidRPr="009220AD">
        <w:rPr>
          <w:rFonts w:ascii="Calibri" w:eastAsia="Calibri" w:hAnsi="Calibri" w:cs="Times New Roman"/>
          <w:lang w:val="en-GB"/>
        </w:rPr>
        <w:t>– Report:</w:t>
      </w:r>
      <w:r>
        <w:rPr>
          <w:rFonts w:ascii="Calibri" w:eastAsia="Calibri" w:hAnsi="Calibri" w:cs="Times New Roman"/>
          <w:lang w:val="en-GB"/>
        </w:rPr>
        <w:t xml:space="preserve">  </w:t>
      </w:r>
      <w:hyperlink r:id="rId31" w:history="1">
        <w:r w:rsidRPr="00CB111C">
          <w:rPr>
            <w:rStyle w:val="Hyperlink"/>
            <w:lang w:val="en-US"/>
          </w:rPr>
          <w:t>A comparative analysis of gender equality law in Europe 2015</w:t>
        </w:r>
      </w:hyperlink>
      <w:r w:rsidR="00A93646">
        <w:rPr>
          <w:lang w:val="en-US"/>
        </w:rPr>
        <w:tab/>
      </w:r>
      <w:r w:rsidR="00A93646">
        <w:rPr>
          <w:lang w:val="en-US"/>
        </w:rPr>
        <w:br/>
      </w:r>
    </w:p>
    <w:p w14:paraId="0365DB2B" w14:textId="0DC36F7B" w:rsidR="009220AD" w:rsidRPr="00F20B36" w:rsidRDefault="009220AD" w:rsidP="009220AD">
      <w:pPr>
        <w:spacing w:line="240" w:lineRule="auto"/>
        <w:jc w:val="both"/>
        <w:rPr>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sidRPr="00E86A7A">
        <w:rPr>
          <w:lang w:val="en-GB"/>
        </w:rPr>
        <w:t xml:space="preserve"> </w:t>
      </w:r>
      <w:r>
        <w:rPr>
          <w:rFonts w:ascii="Calibri" w:eastAsia="Calibri" w:hAnsi="Calibri" w:cs="Times New Roman"/>
          <w:b/>
          <w:lang w:val="en-GB"/>
        </w:rPr>
        <w:t>European Commission</w:t>
      </w:r>
      <w:r>
        <w:rPr>
          <w:rFonts w:ascii="Calibri" w:eastAsia="Calibri" w:hAnsi="Calibri" w:cs="Times New Roman"/>
          <w:lang w:val="en-GB"/>
        </w:rPr>
        <w:t xml:space="preserve"> – Study report: </w:t>
      </w:r>
      <w:hyperlink r:id="rId32" w:history="1">
        <w:r w:rsidRPr="00F20B36">
          <w:rPr>
            <w:rStyle w:val="Hyperlink"/>
            <w:lang w:val="en-GB"/>
          </w:rPr>
          <w:t>Women in Power and Decision-Making in the Eastern Partnership Countries</w:t>
        </w:r>
      </w:hyperlink>
      <w:r w:rsidR="00A93646" w:rsidRPr="00A93646">
        <w:rPr>
          <w:rStyle w:val="Hyperlink"/>
          <w:u w:val="none"/>
          <w:lang w:val="en-GB"/>
        </w:rPr>
        <w:tab/>
      </w:r>
      <w:r w:rsidR="00A93646">
        <w:rPr>
          <w:rStyle w:val="Hyperlink"/>
          <w:lang w:val="en-GB"/>
        </w:rPr>
        <w:br/>
      </w:r>
    </w:p>
    <w:p w14:paraId="1DE2CE41" w14:textId="7ED6006A" w:rsidR="0028756D" w:rsidRPr="0028756D" w:rsidRDefault="00B83CEA" w:rsidP="00B83CEA">
      <w:pPr>
        <w:spacing w:line="240" w:lineRule="auto"/>
        <w:jc w:val="both"/>
        <w:rPr>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sidRPr="00E86A7A">
        <w:rPr>
          <w:rFonts w:ascii="Calibri" w:eastAsia="Calibri" w:hAnsi="Calibri" w:cs="Times New Roman"/>
          <w:b/>
          <w:lang w:val="en-GB"/>
        </w:rPr>
        <w:t>European Institute for Gender Equality</w:t>
      </w:r>
      <w:r>
        <w:rPr>
          <w:rFonts w:ascii="Calibri" w:eastAsia="Calibri" w:hAnsi="Calibri" w:cs="Times New Roman"/>
          <w:lang w:val="en-GB"/>
        </w:rPr>
        <w:t xml:space="preserve"> </w:t>
      </w:r>
      <w:r>
        <w:rPr>
          <w:rFonts w:ascii="Calibri" w:eastAsia="Calibri" w:hAnsi="Calibri" w:cs="Times New Roman"/>
          <w:b/>
          <w:lang w:val="en-GB"/>
        </w:rPr>
        <w:t xml:space="preserve">(EIGE) </w:t>
      </w:r>
      <w:r>
        <w:rPr>
          <w:rFonts w:ascii="Calibri" w:eastAsia="Calibri" w:hAnsi="Calibri" w:cs="Times New Roman"/>
          <w:lang w:val="en-GB"/>
        </w:rPr>
        <w:t>–</w:t>
      </w:r>
      <w:r w:rsidR="009220AD">
        <w:rPr>
          <w:rFonts w:ascii="Calibri" w:eastAsia="Calibri" w:hAnsi="Calibri" w:cs="Times New Roman"/>
          <w:lang w:val="en-GB"/>
        </w:rPr>
        <w:t xml:space="preserve"> Report:</w:t>
      </w:r>
      <w:r>
        <w:rPr>
          <w:rFonts w:ascii="Calibri" w:eastAsia="Calibri" w:hAnsi="Calibri" w:cs="Times New Roman"/>
          <w:lang w:val="en-GB"/>
        </w:rPr>
        <w:t xml:space="preserve"> </w:t>
      </w:r>
      <w:hyperlink r:id="rId33" w:history="1">
        <w:r w:rsidR="0028756D" w:rsidRPr="0028756D">
          <w:rPr>
            <w:rStyle w:val="Hyperlink"/>
            <w:lang w:val="en-US"/>
          </w:rPr>
          <w:t>Estimation of girls at risk of female genital mutilation in the European Union</w:t>
        </w:r>
      </w:hyperlink>
      <w:r w:rsidR="00A93646" w:rsidRPr="00A93646">
        <w:rPr>
          <w:rStyle w:val="Hyperlink"/>
          <w:u w:val="none"/>
          <w:lang w:val="en-US"/>
        </w:rPr>
        <w:tab/>
      </w:r>
      <w:r w:rsidR="00A93646">
        <w:rPr>
          <w:rStyle w:val="Hyperlink"/>
          <w:lang w:val="en-US"/>
        </w:rPr>
        <w:br/>
      </w:r>
    </w:p>
    <w:p w14:paraId="1939DD3D" w14:textId="50D6A1B2" w:rsidR="00F20B36" w:rsidRDefault="006A0A69" w:rsidP="0028756D">
      <w:pPr>
        <w:spacing w:line="240" w:lineRule="auto"/>
        <w:jc w:val="both"/>
        <w:rPr>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Pr="001A3BA9">
        <w:rPr>
          <w:b/>
          <w:lang w:val="en-GB"/>
        </w:rPr>
        <w:t xml:space="preserve">European </w:t>
      </w:r>
      <w:r w:rsidR="0028756D">
        <w:rPr>
          <w:b/>
          <w:lang w:val="en-GB"/>
        </w:rPr>
        <w:t>Parliament</w:t>
      </w:r>
      <w:r w:rsidR="005C3238" w:rsidRPr="001A3BA9">
        <w:rPr>
          <w:lang w:val="en-GB"/>
        </w:rPr>
        <w:t xml:space="preserve"> </w:t>
      </w:r>
      <w:r w:rsidRPr="001A3BA9">
        <w:rPr>
          <w:lang w:val="en-GB"/>
        </w:rPr>
        <w:t xml:space="preserve">– </w:t>
      </w:r>
      <w:r w:rsidR="009220AD">
        <w:rPr>
          <w:lang w:val="en-GB"/>
        </w:rPr>
        <w:t xml:space="preserve">Report: </w:t>
      </w:r>
      <w:hyperlink r:id="rId34" w:history="1">
        <w:r w:rsidR="0028756D" w:rsidRPr="0028756D">
          <w:rPr>
            <w:rStyle w:val="Hyperlink"/>
            <w:lang w:val="en-US"/>
          </w:rPr>
          <w:t>Mapping of NGO's working for women's rights in selected EU Member States</w:t>
        </w:r>
      </w:hyperlink>
      <w:r w:rsidR="00A93646">
        <w:rPr>
          <w:rStyle w:val="Hyperlink"/>
          <w:lang w:val="en-US"/>
        </w:rPr>
        <w:tab/>
      </w:r>
      <w:r w:rsidR="00A93646">
        <w:rPr>
          <w:rStyle w:val="Hyperlink"/>
          <w:lang w:val="en-US"/>
        </w:rPr>
        <w:br/>
      </w:r>
    </w:p>
    <w:p w14:paraId="00E4E099" w14:textId="03D1E785" w:rsidR="00CB111C" w:rsidRDefault="00CB111C" w:rsidP="00CB111C">
      <w:pPr>
        <w:spacing w:line="240" w:lineRule="auto"/>
        <w:jc w:val="both"/>
        <w:rPr>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Pr>
          <w:b/>
          <w:lang w:val="en-GB"/>
        </w:rPr>
        <w:t>ENAR – The European Network against Racism</w:t>
      </w:r>
      <w:r w:rsidRPr="001A3BA9">
        <w:rPr>
          <w:lang w:val="en-GB"/>
        </w:rPr>
        <w:t xml:space="preserve"> – </w:t>
      </w:r>
      <w:r>
        <w:rPr>
          <w:lang w:val="en-GB"/>
        </w:rPr>
        <w:t xml:space="preserve">Report: </w:t>
      </w:r>
      <w:hyperlink r:id="rId35" w:history="1">
        <w:r w:rsidRPr="00CB111C">
          <w:rPr>
            <w:rStyle w:val="Hyperlink"/>
            <w:lang w:val="en-US"/>
          </w:rPr>
          <w:t>Forgotten women – the impact of islamophobia on Muslim women</w:t>
        </w:r>
      </w:hyperlink>
    </w:p>
    <w:p w14:paraId="5754B2A8" w14:textId="1547CFB6" w:rsidR="0089532B" w:rsidRDefault="00B83CEA" w:rsidP="00CE7D4C">
      <w:pPr>
        <w:spacing w:line="240" w:lineRule="auto"/>
        <w:jc w:val="both"/>
        <w:rPr>
          <w:lang w:val="en-GB"/>
        </w:rPr>
      </w:pPr>
      <w:r>
        <w:rPr>
          <w:rFonts w:ascii="Calibri" w:eastAsia="Calibri" w:hAnsi="Calibri" w:cs="Times New Roman"/>
          <w:lang w:val="en-GB"/>
        </w:rPr>
        <w:br/>
      </w:r>
      <w:r w:rsidR="00E26FA0">
        <w:rPr>
          <w:lang w:val="en-GB"/>
        </w:rPr>
        <w:t xml:space="preserve"> </w:t>
      </w:r>
    </w:p>
    <w:p w14:paraId="4AEF99B4" w14:textId="77777777" w:rsidR="00B6131B" w:rsidRPr="001A3BA9" w:rsidRDefault="00B6131B" w:rsidP="00CE7D4C">
      <w:pPr>
        <w:spacing w:line="240" w:lineRule="auto"/>
        <w:jc w:val="both"/>
        <w:rPr>
          <w:lang w:val="en-GB"/>
        </w:rPr>
      </w:pPr>
    </w:p>
    <w:p w14:paraId="4279531E" w14:textId="5EC9888F" w:rsidR="00C842B1" w:rsidRPr="001A3BA9" w:rsidRDefault="00F93FE2" w:rsidP="00CE7D4C">
      <w:pPr>
        <w:pStyle w:val="Heading1"/>
        <w:pBdr>
          <w:top w:val="dotted" w:sz="4" w:space="1" w:color="auto"/>
          <w:bottom w:val="dotted" w:sz="4" w:space="1" w:color="auto"/>
        </w:pBdr>
        <w:spacing w:line="240" w:lineRule="auto"/>
        <w:rPr>
          <w:lang w:val="en-GB"/>
        </w:rPr>
      </w:pPr>
      <w:bookmarkStart w:id="17" w:name="_Race/ethnic_origin"/>
      <w:bookmarkStart w:id="18" w:name="_Toc418770748"/>
      <w:bookmarkStart w:id="19" w:name="_Ref418784315"/>
      <w:bookmarkStart w:id="20" w:name="_Ref418784316"/>
      <w:bookmarkEnd w:id="12"/>
      <w:bookmarkEnd w:id="13"/>
      <w:bookmarkEnd w:id="17"/>
      <w:r w:rsidRPr="001A3BA9">
        <w:rPr>
          <w:lang w:val="en-GB"/>
        </w:rPr>
        <w:t>Race/ethnic origin</w:t>
      </w:r>
    </w:p>
    <w:p w14:paraId="1FF61614" w14:textId="0AE12B28" w:rsidR="009E42A3" w:rsidRPr="001A3BA9" w:rsidRDefault="009E42A3" w:rsidP="00CE7D4C">
      <w:pPr>
        <w:spacing w:line="240" w:lineRule="auto"/>
        <w:rPr>
          <w:lang w:val="en-GB"/>
        </w:rPr>
      </w:pPr>
      <w:bookmarkStart w:id="21" w:name="_Ref421267530"/>
    </w:p>
    <w:p w14:paraId="40EAB68D" w14:textId="43517BB0" w:rsidR="004830B4" w:rsidRPr="004830B4" w:rsidRDefault="00677CCA" w:rsidP="004830B4">
      <w:pPr>
        <w:pStyle w:val="Heading2"/>
        <w:spacing w:line="240" w:lineRule="auto"/>
        <w:rPr>
          <w:lang w:val="en-GB"/>
        </w:rPr>
      </w:pPr>
      <w:r w:rsidRPr="001A3BA9">
        <w:rPr>
          <w:lang w:val="en-GB"/>
        </w:rPr>
        <w:t>Policy developments</w:t>
      </w:r>
      <w:r w:rsidR="004830B4">
        <w:rPr>
          <w:lang w:val="en-GB"/>
        </w:rPr>
        <w:br/>
      </w:r>
    </w:p>
    <w:p w14:paraId="07062FDC" w14:textId="169AE443" w:rsidR="00EA5C3B" w:rsidRDefault="00EA5C3B" w:rsidP="00EA5C3B">
      <w:pPr>
        <w:pStyle w:val="ListParagraph"/>
        <w:numPr>
          <w:ilvl w:val="0"/>
          <w:numId w:val="17"/>
        </w:numPr>
        <w:spacing w:line="240" w:lineRule="auto"/>
        <w:jc w:val="both"/>
        <w:rPr>
          <w:b/>
          <w:color w:val="1F3864" w:themeColor="accent5" w:themeShade="80"/>
          <w:lang w:val="en-GB"/>
        </w:rPr>
      </w:pPr>
      <w:r>
        <w:rPr>
          <w:b/>
          <w:color w:val="1F3864" w:themeColor="accent5" w:themeShade="80"/>
          <w:lang w:val="en-GB"/>
        </w:rPr>
        <w:t>Discrimination of Roma children in education: European Commission launches infringement procedure against Hungary</w:t>
      </w:r>
    </w:p>
    <w:p w14:paraId="0F8BF36C" w14:textId="341EE273" w:rsidR="00EA5C3B" w:rsidRDefault="00EA5C3B" w:rsidP="00EA5C3B">
      <w:pPr>
        <w:spacing w:line="240" w:lineRule="auto"/>
        <w:jc w:val="both"/>
        <w:rPr>
          <w:lang w:val="en-GB"/>
        </w:rPr>
      </w:pPr>
      <w:r w:rsidRPr="00EA5C3B">
        <w:rPr>
          <w:lang w:val="en-GB"/>
        </w:rPr>
        <w:t xml:space="preserve">Last week, the European Commission formally launched the procedure requesting Hungary to ensure that Roma children have access to quality education on the same terms as all other children. It also urges the Hungarian government to bring its national laws on equal treatment and education into line with the Racial Equality Directive (2000/43/EC). </w:t>
      </w:r>
    </w:p>
    <w:p w14:paraId="49BCA9A5" w14:textId="5F751A3D" w:rsidR="00EA5C3B" w:rsidRPr="00EA5C3B" w:rsidRDefault="00EA5C3B" w:rsidP="00EA5C3B">
      <w:pPr>
        <w:spacing w:line="240" w:lineRule="auto"/>
        <w:jc w:val="both"/>
        <w:rPr>
          <w:lang w:val="en-GB"/>
        </w:rPr>
      </w:pPr>
      <w:r>
        <w:rPr>
          <w:lang w:val="en-GB"/>
        </w:rPr>
        <w:t>More information about the procedure is available</w:t>
      </w:r>
      <w:hyperlink r:id="rId36" w:history="1">
        <w:r w:rsidRPr="00C1382E">
          <w:rPr>
            <w:rStyle w:val="Hyperlink"/>
            <w:lang w:val="en-GB"/>
          </w:rPr>
          <w:t xml:space="preserve"> here</w:t>
        </w:r>
      </w:hyperlink>
      <w:r>
        <w:rPr>
          <w:lang w:val="en-GB"/>
        </w:rPr>
        <w:t xml:space="preserve">. </w:t>
      </w:r>
    </w:p>
    <w:p w14:paraId="76A53B49" w14:textId="4D3D09C2" w:rsidR="0011369A" w:rsidRDefault="003A343E" w:rsidP="00EF7FCC">
      <w:pPr>
        <w:pStyle w:val="ListParagraph"/>
        <w:numPr>
          <w:ilvl w:val="0"/>
          <w:numId w:val="17"/>
        </w:numPr>
        <w:spacing w:line="240" w:lineRule="auto"/>
        <w:jc w:val="both"/>
        <w:rPr>
          <w:b/>
          <w:color w:val="1F3864" w:themeColor="accent5" w:themeShade="80"/>
          <w:lang w:val="en-GB"/>
        </w:rPr>
      </w:pPr>
      <w:r>
        <w:rPr>
          <w:b/>
          <w:color w:val="1F3864" w:themeColor="accent5" w:themeShade="80"/>
          <w:lang w:val="en-GB"/>
        </w:rPr>
        <w:t xml:space="preserve">Joint statement </w:t>
      </w:r>
      <w:r w:rsidRPr="003A343E">
        <w:rPr>
          <w:b/>
          <w:color w:val="1F3864" w:themeColor="accent5" w:themeShade="80"/>
          <w:lang w:val="en-GB"/>
        </w:rPr>
        <w:t>from E</w:t>
      </w:r>
      <w:r>
        <w:rPr>
          <w:b/>
          <w:color w:val="1F3864" w:themeColor="accent5" w:themeShade="80"/>
          <w:lang w:val="en-GB"/>
        </w:rPr>
        <w:t xml:space="preserve">uropean </w:t>
      </w:r>
      <w:r w:rsidRPr="003A343E">
        <w:rPr>
          <w:b/>
          <w:color w:val="1F3864" w:themeColor="accent5" w:themeShade="80"/>
          <w:lang w:val="en-GB"/>
        </w:rPr>
        <w:t>N</w:t>
      </w:r>
      <w:r>
        <w:rPr>
          <w:b/>
          <w:color w:val="1F3864" w:themeColor="accent5" w:themeShade="80"/>
          <w:lang w:val="en-GB"/>
        </w:rPr>
        <w:t xml:space="preserve">etwork </w:t>
      </w:r>
      <w:r w:rsidR="00EF7FCC">
        <w:rPr>
          <w:b/>
          <w:color w:val="1F3864" w:themeColor="accent5" w:themeShade="80"/>
          <w:lang w:val="en-GB"/>
        </w:rPr>
        <w:t>a</w:t>
      </w:r>
      <w:r>
        <w:rPr>
          <w:b/>
          <w:color w:val="1F3864" w:themeColor="accent5" w:themeShade="80"/>
          <w:lang w:val="en-GB"/>
        </w:rPr>
        <w:t xml:space="preserve">gainst </w:t>
      </w:r>
      <w:r w:rsidRPr="003A343E">
        <w:rPr>
          <w:b/>
          <w:color w:val="1F3864" w:themeColor="accent5" w:themeShade="80"/>
          <w:lang w:val="en-GB"/>
        </w:rPr>
        <w:t>R</w:t>
      </w:r>
      <w:r>
        <w:rPr>
          <w:b/>
          <w:color w:val="1F3864" w:themeColor="accent5" w:themeShade="80"/>
          <w:lang w:val="en-GB"/>
        </w:rPr>
        <w:t>acism</w:t>
      </w:r>
      <w:r w:rsidRPr="003A343E">
        <w:rPr>
          <w:b/>
          <w:color w:val="1F3864" w:themeColor="accent5" w:themeShade="80"/>
          <w:lang w:val="en-GB"/>
        </w:rPr>
        <w:t>, the European Women's Lobby, CEJI and ILGA-Europe.</w:t>
      </w:r>
    </w:p>
    <w:p w14:paraId="00F2962F" w14:textId="15AFA688" w:rsidR="004830B4" w:rsidRDefault="003A343E" w:rsidP="00EF7FCC">
      <w:pPr>
        <w:spacing w:line="240" w:lineRule="auto"/>
        <w:jc w:val="both"/>
        <w:rPr>
          <w:lang w:val="en-GB"/>
        </w:rPr>
      </w:pPr>
      <w:r>
        <w:rPr>
          <w:lang w:val="en-GB"/>
        </w:rPr>
        <w:t xml:space="preserve">On the occasion of the </w:t>
      </w:r>
      <w:r w:rsidR="00EF7FCC">
        <w:rPr>
          <w:lang w:val="en-GB"/>
        </w:rPr>
        <w:t>last</w:t>
      </w:r>
      <w:r w:rsidRPr="003A343E">
        <w:rPr>
          <w:lang w:val="en-GB"/>
        </w:rPr>
        <w:t xml:space="preserve"> General Affairs Council of the European Union </w:t>
      </w:r>
      <w:r>
        <w:rPr>
          <w:lang w:val="en-GB"/>
        </w:rPr>
        <w:t>discussion on</w:t>
      </w:r>
      <w:r w:rsidRPr="003A343E">
        <w:rPr>
          <w:lang w:val="en-GB"/>
        </w:rPr>
        <w:t xml:space="preserve"> integration of migrants in a rule of law dialogue</w:t>
      </w:r>
      <w:r>
        <w:rPr>
          <w:lang w:val="en-GB"/>
        </w:rPr>
        <w:t>,</w:t>
      </w:r>
      <w:r w:rsidR="00EF7FCC">
        <w:rPr>
          <w:lang w:val="en-GB"/>
        </w:rPr>
        <w:t xml:space="preserve"> four European civil society</w:t>
      </w:r>
      <w:r>
        <w:rPr>
          <w:lang w:val="en-GB"/>
        </w:rPr>
        <w:t xml:space="preserve"> organisations joined common grounds </w:t>
      </w:r>
      <w:r w:rsidRPr="003A343E">
        <w:rPr>
          <w:lang w:val="en-GB"/>
        </w:rPr>
        <w:t xml:space="preserve">to </w:t>
      </w:r>
      <w:r w:rsidRPr="00EF7FCC">
        <w:rPr>
          <w:b/>
          <w:lang w:val="en-GB"/>
        </w:rPr>
        <w:t>recall the spirit of Article 2 of the Universal Declaration of Human Rights</w:t>
      </w:r>
      <w:r>
        <w:rPr>
          <w:lang w:val="en-GB"/>
        </w:rPr>
        <w:t>, as “t</w:t>
      </w:r>
      <w:r w:rsidRPr="003A343E">
        <w:rPr>
          <w:lang w:val="en-GB"/>
        </w:rPr>
        <w:t>his must be the basis of any discussion withi</w:t>
      </w:r>
      <w:r>
        <w:rPr>
          <w:lang w:val="en-GB"/>
        </w:rPr>
        <w:t xml:space="preserve">n the European Union regarding </w:t>
      </w:r>
      <w:r w:rsidRPr="003A343E">
        <w:rPr>
          <w:lang w:val="en-GB"/>
        </w:rPr>
        <w:t xml:space="preserve">fundamental values, </w:t>
      </w:r>
      <w:r>
        <w:rPr>
          <w:lang w:val="en-GB"/>
        </w:rPr>
        <w:t xml:space="preserve">integration and the rule of law”. You can read the statement </w:t>
      </w:r>
      <w:hyperlink r:id="rId37" w:history="1">
        <w:r w:rsidRPr="003A343E">
          <w:rPr>
            <w:rStyle w:val="Hyperlink"/>
            <w:lang w:val="en-GB"/>
          </w:rPr>
          <w:t>here</w:t>
        </w:r>
      </w:hyperlink>
      <w:bookmarkStart w:id="22" w:name="_Sexual_Orientation_and"/>
      <w:bookmarkEnd w:id="22"/>
    </w:p>
    <w:p w14:paraId="47008499" w14:textId="77777777" w:rsidR="00EF7FCC" w:rsidRPr="00EF7FCC" w:rsidRDefault="00EF7FCC" w:rsidP="00EF7FCC">
      <w:pPr>
        <w:spacing w:line="240" w:lineRule="auto"/>
        <w:jc w:val="both"/>
        <w:rPr>
          <w:lang w:val="en-GB"/>
        </w:rPr>
      </w:pPr>
    </w:p>
    <w:p w14:paraId="4376734D" w14:textId="2C84E283" w:rsidR="00624AFF" w:rsidRPr="00842C67" w:rsidRDefault="00D05673" w:rsidP="00CE7D4C">
      <w:pPr>
        <w:pStyle w:val="Heading1"/>
        <w:pBdr>
          <w:top w:val="dotted" w:sz="4" w:space="1" w:color="auto"/>
          <w:bottom w:val="dotted" w:sz="4" w:space="1" w:color="auto"/>
        </w:pBdr>
        <w:spacing w:line="240" w:lineRule="auto"/>
        <w:rPr>
          <w:lang w:val="en-GB"/>
        </w:rPr>
      </w:pPr>
      <w:r w:rsidRPr="001A3BA9">
        <w:rPr>
          <w:lang w:val="en-GB"/>
        </w:rPr>
        <w:t>Sexual Orientation and Gender Identity</w:t>
      </w:r>
      <w:bookmarkEnd w:id="18"/>
      <w:bookmarkEnd w:id="19"/>
      <w:bookmarkEnd w:id="20"/>
      <w:bookmarkEnd w:id="21"/>
    </w:p>
    <w:p w14:paraId="439731E8" w14:textId="77777777" w:rsidR="00D51E65" w:rsidRDefault="00D51E65" w:rsidP="004830B4">
      <w:pPr>
        <w:rPr>
          <w:lang w:val="en-GB"/>
        </w:rPr>
      </w:pPr>
    </w:p>
    <w:p w14:paraId="05C80605" w14:textId="247DF04D" w:rsidR="00842C67" w:rsidRPr="00842C67" w:rsidRDefault="00EF446F" w:rsidP="00CE7D4C">
      <w:pPr>
        <w:pStyle w:val="Heading2"/>
        <w:spacing w:line="240" w:lineRule="auto"/>
        <w:rPr>
          <w:lang w:val="en-GB"/>
        </w:rPr>
      </w:pPr>
      <w:r w:rsidRPr="001A3BA9">
        <w:rPr>
          <w:lang w:val="en-GB"/>
        </w:rPr>
        <w:t>Publications, funding opportunities and events</w:t>
      </w:r>
      <w:r w:rsidR="00842C67">
        <w:rPr>
          <w:lang w:val="en-GB"/>
        </w:rPr>
        <w:br/>
      </w:r>
    </w:p>
    <w:p w14:paraId="625219EE" w14:textId="63EC3015" w:rsidR="00EF7FCC" w:rsidRPr="00EF7FCC" w:rsidRDefault="00EF7FCC" w:rsidP="00EF7FCC">
      <w:pPr>
        <w:spacing w:line="240" w:lineRule="auto"/>
        <w:jc w:val="both"/>
        <w:rPr>
          <w:lang w:val="en-GB"/>
        </w:rPr>
      </w:pPr>
      <w:r>
        <w:rPr>
          <w:b/>
          <w:shd w:val="clear" w:color="auto" w:fill="FFFF00"/>
          <w:lang w:val="en-GB"/>
        </w:rPr>
        <w:t>EVENT</w:t>
      </w:r>
      <w:r>
        <w:rPr>
          <w:b/>
          <w:lang w:val="en-GB"/>
        </w:rPr>
        <w:t xml:space="preserve"> – Council of Europe/</w:t>
      </w:r>
      <w:r w:rsidRPr="000B4792">
        <w:rPr>
          <w:b/>
          <w:lang w:val="en-GB"/>
        </w:rPr>
        <w:t xml:space="preserve">Montenegrin Ministry of Human Rights and Minority Rights </w:t>
      </w:r>
      <w:r>
        <w:rPr>
          <w:lang w:val="en-GB"/>
        </w:rPr>
        <w:t xml:space="preserve">– </w:t>
      </w:r>
      <w:hyperlink r:id="rId38" w:history="1">
        <w:r w:rsidRPr="00D50634">
          <w:rPr>
            <w:rStyle w:val="Hyperlink"/>
            <w:lang w:val="en-GB"/>
          </w:rPr>
          <w:t>Workshop on legal protection for same-sex couples in Montenegro</w:t>
        </w:r>
      </w:hyperlink>
      <w:r>
        <w:rPr>
          <w:lang w:val="en-GB"/>
        </w:rPr>
        <w:t xml:space="preserve"> </w:t>
      </w:r>
      <w:r>
        <w:rPr>
          <w:rStyle w:val="Hyperlink"/>
          <w:color w:val="auto"/>
          <w:u w:val="none"/>
          <w:lang w:val="en-GB"/>
        </w:rPr>
        <w:t>– 9-10</w:t>
      </w:r>
      <w:r w:rsidRPr="004830B4">
        <w:rPr>
          <w:rStyle w:val="Hyperlink"/>
          <w:color w:val="auto"/>
          <w:u w:val="none"/>
          <w:lang w:val="en-GB"/>
        </w:rPr>
        <w:t xml:space="preserve"> </w:t>
      </w:r>
      <w:r>
        <w:rPr>
          <w:rStyle w:val="Hyperlink"/>
          <w:color w:val="auto"/>
          <w:u w:val="none"/>
          <w:lang w:val="en-GB"/>
        </w:rPr>
        <w:t>June</w:t>
      </w:r>
      <w:r w:rsidRPr="004830B4">
        <w:rPr>
          <w:rStyle w:val="Hyperlink"/>
          <w:color w:val="auto"/>
          <w:u w:val="none"/>
          <w:lang w:val="en-GB"/>
        </w:rPr>
        <w:t xml:space="preserve"> 2016, </w:t>
      </w:r>
      <w:r>
        <w:rPr>
          <w:rStyle w:val="Hyperlink"/>
          <w:color w:val="auto"/>
          <w:u w:val="none"/>
          <w:lang w:val="en-GB"/>
        </w:rPr>
        <w:t>Podgorica</w:t>
      </w:r>
      <w:r w:rsidRPr="004830B4">
        <w:rPr>
          <w:rStyle w:val="Hyperlink"/>
          <w:color w:val="auto"/>
          <w:u w:val="none"/>
          <w:lang w:val="en-GB"/>
        </w:rPr>
        <w:t xml:space="preserve">, </w:t>
      </w:r>
      <w:r>
        <w:rPr>
          <w:rStyle w:val="Hyperlink"/>
          <w:color w:val="auto"/>
          <w:u w:val="none"/>
          <w:lang w:val="en-GB"/>
        </w:rPr>
        <w:t>Montenegro</w:t>
      </w:r>
      <w:r w:rsidRPr="004830B4">
        <w:rPr>
          <w:rStyle w:val="Hyperlink"/>
          <w:color w:val="auto"/>
          <w:u w:val="none"/>
          <w:lang w:val="en-GB"/>
        </w:rPr>
        <w:t xml:space="preserve"> </w:t>
      </w:r>
      <w:r w:rsidR="00A93646">
        <w:rPr>
          <w:rStyle w:val="Hyperlink"/>
          <w:color w:val="auto"/>
          <w:u w:val="none"/>
          <w:lang w:val="en-GB"/>
        </w:rPr>
        <w:tab/>
      </w:r>
      <w:r w:rsidR="00A93646">
        <w:rPr>
          <w:rStyle w:val="Hyperlink"/>
          <w:color w:val="auto"/>
          <w:u w:val="none"/>
          <w:lang w:val="en-GB"/>
        </w:rPr>
        <w:br/>
      </w:r>
    </w:p>
    <w:p w14:paraId="5061DFE8" w14:textId="785BAA34" w:rsidR="00EF7FCC" w:rsidRDefault="00BE3F66" w:rsidP="00CE7D4C">
      <w:pPr>
        <w:spacing w:line="240" w:lineRule="auto"/>
        <w:jc w:val="both"/>
        <w:rPr>
          <w:rStyle w:val="Hyperlink"/>
          <w:color w:val="auto"/>
          <w:u w:val="none"/>
          <w:lang w:val="en-GB"/>
        </w:rPr>
      </w:pPr>
      <w:r>
        <w:rPr>
          <w:b/>
          <w:shd w:val="clear" w:color="auto" w:fill="FFFF00"/>
          <w:lang w:val="en-GB"/>
        </w:rPr>
        <w:t>EVENT</w:t>
      </w:r>
      <w:r>
        <w:rPr>
          <w:b/>
          <w:lang w:val="en-GB"/>
        </w:rPr>
        <w:t xml:space="preserve"> – </w:t>
      </w:r>
      <w:r w:rsidR="00545EC8">
        <w:rPr>
          <w:b/>
          <w:lang w:val="en-GB"/>
        </w:rPr>
        <w:t>Transgender Europe</w:t>
      </w:r>
      <w:r>
        <w:rPr>
          <w:lang w:val="en-GB"/>
        </w:rPr>
        <w:t xml:space="preserve"> – </w:t>
      </w:r>
      <w:hyperlink r:id="rId39" w:history="1">
        <w:r w:rsidR="00545EC8" w:rsidRPr="00545EC8">
          <w:rPr>
            <w:rStyle w:val="Hyperlink"/>
            <w:lang w:val="en-GB"/>
          </w:rPr>
          <w:t>6th European Transgender Council</w:t>
        </w:r>
      </w:hyperlink>
      <w:r w:rsidR="00545EC8">
        <w:rPr>
          <w:lang w:val="en-GB"/>
        </w:rPr>
        <w:t xml:space="preserve"> </w:t>
      </w:r>
      <w:r w:rsidR="00545EC8">
        <w:rPr>
          <w:rStyle w:val="Hyperlink"/>
          <w:color w:val="auto"/>
          <w:u w:val="none"/>
          <w:lang w:val="en-GB"/>
        </w:rPr>
        <w:t>– 2-5</w:t>
      </w:r>
      <w:r w:rsidR="004830B4" w:rsidRPr="004830B4">
        <w:rPr>
          <w:rStyle w:val="Hyperlink"/>
          <w:color w:val="auto"/>
          <w:u w:val="none"/>
          <w:lang w:val="en-GB"/>
        </w:rPr>
        <w:t xml:space="preserve"> </w:t>
      </w:r>
      <w:r w:rsidR="00545EC8">
        <w:rPr>
          <w:rStyle w:val="Hyperlink"/>
          <w:color w:val="auto"/>
          <w:u w:val="none"/>
          <w:lang w:val="en-GB"/>
        </w:rPr>
        <w:t>June</w:t>
      </w:r>
      <w:r w:rsidR="00EF7FCC">
        <w:rPr>
          <w:rStyle w:val="Hyperlink"/>
          <w:color w:val="auto"/>
          <w:u w:val="none"/>
          <w:lang w:val="en-GB"/>
        </w:rPr>
        <w:t xml:space="preserve"> 2016 - </w:t>
      </w:r>
      <w:r w:rsidR="00545EC8">
        <w:rPr>
          <w:rStyle w:val="Hyperlink"/>
          <w:color w:val="auto"/>
          <w:u w:val="none"/>
          <w:lang w:val="en-GB"/>
        </w:rPr>
        <w:t>Bologna</w:t>
      </w:r>
      <w:r w:rsidR="004830B4" w:rsidRPr="004830B4">
        <w:rPr>
          <w:rStyle w:val="Hyperlink"/>
          <w:color w:val="auto"/>
          <w:u w:val="none"/>
          <w:lang w:val="en-GB"/>
        </w:rPr>
        <w:t xml:space="preserve">, </w:t>
      </w:r>
      <w:r w:rsidR="00545EC8">
        <w:rPr>
          <w:rStyle w:val="Hyperlink"/>
          <w:color w:val="auto"/>
          <w:u w:val="none"/>
          <w:lang w:val="en-GB"/>
        </w:rPr>
        <w:t>Italy</w:t>
      </w:r>
      <w:r w:rsidR="004830B4" w:rsidRPr="004830B4">
        <w:rPr>
          <w:rStyle w:val="Hyperlink"/>
          <w:color w:val="auto"/>
          <w:u w:val="none"/>
          <w:lang w:val="en-GB"/>
        </w:rPr>
        <w:t xml:space="preserve"> </w:t>
      </w:r>
      <w:r w:rsidR="00A93646">
        <w:rPr>
          <w:rStyle w:val="Hyperlink"/>
          <w:color w:val="auto"/>
          <w:u w:val="none"/>
          <w:lang w:val="en-GB"/>
        </w:rPr>
        <w:tab/>
      </w:r>
      <w:r w:rsidR="00A93646">
        <w:rPr>
          <w:rStyle w:val="Hyperlink"/>
          <w:color w:val="auto"/>
          <w:u w:val="none"/>
          <w:lang w:val="en-GB"/>
        </w:rPr>
        <w:br/>
      </w:r>
    </w:p>
    <w:p w14:paraId="199BA29C" w14:textId="38D894DF" w:rsidR="00BE3F66" w:rsidRPr="008F4A3A" w:rsidRDefault="00BE3F66" w:rsidP="00CE7D4C">
      <w:pPr>
        <w:spacing w:line="240" w:lineRule="auto"/>
        <w:jc w:val="both"/>
        <w:rPr>
          <w:color w:val="0563C1" w:themeColor="hyperlink"/>
          <w:u w:val="single"/>
          <w:lang w:val="en-GB"/>
        </w:rPr>
      </w:pPr>
      <w:r w:rsidRPr="00BE3F66">
        <w:rPr>
          <w:b/>
          <w:shd w:val="clear" w:color="auto" w:fill="FFFF00"/>
          <w:lang w:val="en-GB"/>
        </w:rPr>
        <w:t>EVENT</w:t>
      </w:r>
      <w:r w:rsidRPr="00BE3F66">
        <w:rPr>
          <w:b/>
          <w:lang w:val="en-GB"/>
        </w:rPr>
        <w:t xml:space="preserve"> – </w:t>
      </w:r>
      <w:r w:rsidR="00545EC8">
        <w:rPr>
          <w:b/>
          <w:lang w:val="en-GB"/>
        </w:rPr>
        <w:t xml:space="preserve">Transgender Europe </w:t>
      </w:r>
      <w:r w:rsidRPr="00BE3F66">
        <w:rPr>
          <w:lang w:val="en-GB"/>
        </w:rPr>
        <w:t>–</w:t>
      </w:r>
      <w:r w:rsidR="00545EC8" w:rsidRPr="00545EC8">
        <w:rPr>
          <w:lang w:val="en-US"/>
        </w:rPr>
        <w:t xml:space="preserve"> </w:t>
      </w:r>
      <w:hyperlink r:id="rId40" w:history="1">
        <w:r w:rsidR="00545EC8" w:rsidRPr="00545EC8">
          <w:rPr>
            <w:rStyle w:val="Hyperlink"/>
            <w:lang w:val="en-US"/>
          </w:rPr>
          <w:t>TGEU 3rd Legal Practitioners’ Seminar</w:t>
        </w:r>
      </w:hyperlink>
      <w:r w:rsidR="00545EC8">
        <w:rPr>
          <w:lang w:val="en-US"/>
        </w:rPr>
        <w:t xml:space="preserve"> </w:t>
      </w:r>
      <w:r w:rsidR="004830B4" w:rsidRPr="004830B4">
        <w:rPr>
          <w:rStyle w:val="Hyperlink"/>
          <w:color w:val="auto"/>
          <w:u w:val="none"/>
          <w:lang w:val="en-GB"/>
        </w:rPr>
        <w:t xml:space="preserve">– </w:t>
      </w:r>
      <w:r w:rsidR="00545EC8">
        <w:rPr>
          <w:rStyle w:val="Hyperlink"/>
          <w:color w:val="auto"/>
          <w:u w:val="none"/>
          <w:lang w:val="en-GB"/>
        </w:rPr>
        <w:t>8</w:t>
      </w:r>
      <w:r w:rsidR="004830B4" w:rsidRPr="004830B4">
        <w:rPr>
          <w:rStyle w:val="Hyperlink"/>
          <w:color w:val="auto"/>
          <w:u w:val="none"/>
          <w:lang w:val="en-GB"/>
        </w:rPr>
        <w:t>-</w:t>
      </w:r>
      <w:r w:rsidR="00545EC8">
        <w:rPr>
          <w:rStyle w:val="Hyperlink"/>
          <w:color w:val="auto"/>
          <w:u w:val="none"/>
          <w:lang w:val="en-GB"/>
        </w:rPr>
        <w:t>9</w:t>
      </w:r>
      <w:r w:rsidR="004830B4" w:rsidRPr="004830B4">
        <w:rPr>
          <w:rStyle w:val="Hyperlink"/>
          <w:color w:val="auto"/>
          <w:u w:val="none"/>
          <w:lang w:val="en-GB"/>
        </w:rPr>
        <w:t xml:space="preserve"> </w:t>
      </w:r>
      <w:r w:rsidR="00545EC8">
        <w:rPr>
          <w:rStyle w:val="Hyperlink"/>
          <w:color w:val="auto"/>
          <w:u w:val="none"/>
          <w:lang w:val="en-GB"/>
        </w:rPr>
        <w:t>September</w:t>
      </w:r>
      <w:r w:rsidR="004830B4" w:rsidRPr="004830B4">
        <w:rPr>
          <w:rStyle w:val="Hyperlink"/>
          <w:color w:val="auto"/>
          <w:u w:val="none"/>
          <w:lang w:val="en-GB"/>
        </w:rPr>
        <w:t xml:space="preserve"> 2016, </w:t>
      </w:r>
      <w:r w:rsidR="00545EC8">
        <w:rPr>
          <w:rStyle w:val="Hyperlink"/>
          <w:color w:val="auto"/>
          <w:u w:val="none"/>
          <w:lang w:val="en-GB"/>
        </w:rPr>
        <w:t>Athens</w:t>
      </w:r>
      <w:r w:rsidR="004830B4" w:rsidRPr="004830B4">
        <w:rPr>
          <w:rStyle w:val="Hyperlink"/>
          <w:color w:val="auto"/>
          <w:u w:val="none"/>
          <w:lang w:val="en-GB"/>
        </w:rPr>
        <w:t xml:space="preserve">, </w:t>
      </w:r>
      <w:r w:rsidR="00545EC8">
        <w:rPr>
          <w:rStyle w:val="Hyperlink"/>
          <w:color w:val="auto"/>
          <w:u w:val="none"/>
          <w:lang w:val="en-GB"/>
        </w:rPr>
        <w:t>Greece (Deadline for application: 20</w:t>
      </w:r>
      <w:r w:rsidR="004830B4" w:rsidRPr="004830B4">
        <w:rPr>
          <w:rStyle w:val="Hyperlink"/>
          <w:color w:val="auto"/>
          <w:u w:val="none"/>
          <w:vertAlign w:val="superscript"/>
          <w:lang w:val="en-GB"/>
        </w:rPr>
        <w:t>th</w:t>
      </w:r>
      <w:r w:rsidR="004830B4" w:rsidRPr="004830B4">
        <w:rPr>
          <w:rStyle w:val="Hyperlink"/>
          <w:color w:val="auto"/>
          <w:u w:val="none"/>
          <w:lang w:val="en-GB"/>
        </w:rPr>
        <w:t xml:space="preserve"> </w:t>
      </w:r>
      <w:r w:rsidR="00545EC8">
        <w:rPr>
          <w:rStyle w:val="Hyperlink"/>
          <w:color w:val="auto"/>
          <w:u w:val="none"/>
          <w:lang w:val="en-GB"/>
        </w:rPr>
        <w:t>June</w:t>
      </w:r>
      <w:r w:rsidR="004830B4" w:rsidRPr="004830B4">
        <w:rPr>
          <w:rStyle w:val="Hyperlink"/>
          <w:color w:val="auto"/>
          <w:u w:val="none"/>
          <w:lang w:val="en-GB"/>
        </w:rPr>
        <w:t xml:space="preserve"> 2016)</w:t>
      </w:r>
    </w:p>
    <w:p w14:paraId="298670E3" w14:textId="77777777" w:rsidR="0034362B" w:rsidRPr="001A3BA9" w:rsidRDefault="0034362B" w:rsidP="00CE7D4C">
      <w:pPr>
        <w:spacing w:line="240" w:lineRule="auto"/>
        <w:jc w:val="both"/>
        <w:rPr>
          <w:lang w:val="en-GB"/>
        </w:rPr>
      </w:pPr>
    </w:p>
    <w:p w14:paraId="11326F81" w14:textId="4967F78B" w:rsidR="00EF446F" w:rsidRPr="00221952" w:rsidRDefault="004A7771" w:rsidP="00221952">
      <w:pPr>
        <w:pStyle w:val="Heading1"/>
        <w:pBdr>
          <w:top w:val="dotted" w:sz="4" w:space="1" w:color="auto"/>
          <w:bottom w:val="dotted" w:sz="4" w:space="1" w:color="auto"/>
        </w:pBdr>
        <w:rPr>
          <w:color w:val="0070C0"/>
          <w:lang w:val="en-GB"/>
        </w:rPr>
      </w:pPr>
      <w:bookmarkStart w:id="23" w:name="_Disability"/>
      <w:bookmarkStart w:id="24" w:name="_Toc418770750"/>
      <w:bookmarkStart w:id="25" w:name="_Ref418784334"/>
      <w:bookmarkStart w:id="26" w:name="_Ref421267538"/>
      <w:bookmarkEnd w:id="23"/>
      <w:r w:rsidRPr="001A3BA9">
        <w:rPr>
          <w:lang w:val="en-GB"/>
        </w:rPr>
        <w:t>Disability</w:t>
      </w:r>
      <w:bookmarkEnd w:id="24"/>
      <w:bookmarkEnd w:id="25"/>
      <w:bookmarkEnd w:id="26"/>
    </w:p>
    <w:p w14:paraId="0D7C94EB" w14:textId="77777777" w:rsidR="00FE5DDF" w:rsidRPr="001A3BA9" w:rsidRDefault="00FE5DDF" w:rsidP="00CE7D4C">
      <w:pPr>
        <w:spacing w:line="240" w:lineRule="auto"/>
        <w:rPr>
          <w:lang w:val="en-GB"/>
        </w:rPr>
      </w:pPr>
    </w:p>
    <w:p w14:paraId="70D519D8" w14:textId="12000456" w:rsidR="00700753" w:rsidRDefault="005223B3" w:rsidP="00221952">
      <w:pPr>
        <w:pStyle w:val="Heading2"/>
        <w:spacing w:line="240" w:lineRule="auto"/>
        <w:jc w:val="both"/>
        <w:rPr>
          <w:lang w:val="en-GB"/>
        </w:rPr>
      </w:pPr>
      <w:r w:rsidRPr="001A3BA9">
        <w:rPr>
          <w:lang w:val="en-GB"/>
        </w:rPr>
        <w:t>Policy developments</w:t>
      </w:r>
    </w:p>
    <w:p w14:paraId="25B31728" w14:textId="77777777" w:rsidR="00221952" w:rsidRPr="00221952" w:rsidRDefault="00221952" w:rsidP="00221952">
      <w:pPr>
        <w:rPr>
          <w:lang w:val="en-GB"/>
        </w:rPr>
      </w:pPr>
    </w:p>
    <w:p w14:paraId="2110CBA5" w14:textId="3218F7BC" w:rsidR="004B535D" w:rsidRDefault="009C69E6" w:rsidP="00221952">
      <w:pPr>
        <w:pStyle w:val="ListParagraph"/>
        <w:numPr>
          <w:ilvl w:val="0"/>
          <w:numId w:val="17"/>
        </w:numPr>
        <w:spacing w:line="240" w:lineRule="auto"/>
        <w:jc w:val="both"/>
        <w:rPr>
          <w:b/>
          <w:color w:val="1F3864" w:themeColor="accent5" w:themeShade="80"/>
          <w:lang w:val="en-GB"/>
        </w:rPr>
      </w:pPr>
      <w:r>
        <w:rPr>
          <w:b/>
          <w:color w:val="1F3864" w:themeColor="accent5" w:themeShade="80"/>
          <w:lang w:val="en-GB"/>
        </w:rPr>
        <w:t>E</w:t>
      </w:r>
      <w:r w:rsidR="00221952">
        <w:rPr>
          <w:b/>
          <w:color w:val="1F3864" w:themeColor="accent5" w:themeShade="80"/>
          <w:lang w:val="en-GB"/>
        </w:rPr>
        <w:t>uropean Parliament adopts provisional d</w:t>
      </w:r>
      <w:r w:rsidRPr="009C69E6">
        <w:rPr>
          <w:b/>
          <w:color w:val="1F3864" w:themeColor="accent5" w:themeShade="80"/>
          <w:lang w:val="en-GB"/>
        </w:rPr>
        <w:t>eal on rules to help elderly and disabled people access online public services</w:t>
      </w:r>
    </w:p>
    <w:p w14:paraId="0A791AEE" w14:textId="12D88FA7" w:rsidR="00DA17FE" w:rsidRDefault="00DA17FE" w:rsidP="004A6114">
      <w:pPr>
        <w:jc w:val="both"/>
        <w:rPr>
          <w:lang w:val="en-US"/>
        </w:rPr>
      </w:pPr>
      <w:r w:rsidRPr="00DA17FE">
        <w:rPr>
          <w:lang w:val="en-US"/>
        </w:rPr>
        <w:t xml:space="preserve">Public sector bodies' websites and mobile applications will have to be made accessible to everyone, under a provisional </w:t>
      </w:r>
      <w:hyperlink r:id="rId41" w:history="1">
        <w:r w:rsidRPr="00DA17FE">
          <w:rPr>
            <w:rStyle w:val="Hyperlink"/>
            <w:lang w:val="en-US"/>
          </w:rPr>
          <w:t>deal struck by Parliament and Council negotiators</w:t>
        </w:r>
      </w:hyperlink>
      <w:r w:rsidRPr="00DA17FE">
        <w:rPr>
          <w:lang w:val="en-US"/>
        </w:rPr>
        <w:t xml:space="preserve"> on </w:t>
      </w:r>
      <w:r w:rsidR="00221952">
        <w:rPr>
          <w:lang w:val="en-US"/>
        </w:rPr>
        <w:t>4</w:t>
      </w:r>
      <w:r w:rsidR="00221952" w:rsidRPr="00DA17FE">
        <w:rPr>
          <w:vertAlign w:val="superscript"/>
          <w:lang w:val="en-US"/>
        </w:rPr>
        <w:t>th</w:t>
      </w:r>
      <w:r w:rsidR="00221952">
        <w:rPr>
          <w:lang w:val="en-US"/>
        </w:rPr>
        <w:t xml:space="preserve"> </w:t>
      </w:r>
      <w:r>
        <w:rPr>
          <w:lang w:val="en-US"/>
        </w:rPr>
        <w:t>May</w:t>
      </w:r>
      <w:r w:rsidRPr="00DA17FE">
        <w:rPr>
          <w:lang w:val="en-US"/>
        </w:rPr>
        <w:t>. Over 167 million EU citizens have a disability (either medical or due to age) which prevents them accessing data and services on the Internet, e.g. to file a tax declaration, apply for an allowance, pay fees or register a child at school.</w:t>
      </w:r>
      <w:r w:rsidR="004A6114">
        <w:rPr>
          <w:lang w:val="en-US"/>
        </w:rPr>
        <w:tab/>
      </w:r>
      <w:r w:rsidR="004A6114">
        <w:rPr>
          <w:lang w:val="en-US"/>
        </w:rPr>
        <w:br/>
      </w:r>
      <w:r w:rsidR="00221952">
        <w:rPr>
          <w:lang w:val="en-US"/>
        </w:rPr>
        <w:t xml:space="preserve">The final deal will be discussed by the European Parliament and the Council of the EU in the coming weeks. </w:t>
      </w:r>
    </w:p>
    <w:p w14:paraId="190BB7C9" w14:textId="77777777" w:rsidR="004A6114" w:rsidRDefault="004A6114" w:rsidP="004A6114">
      <w:pPr>
        <w:jc w:val="both"/>
        <w:rPr>
          <w:lang w:val="en-US"/>
        </w:rPr>
      </w:pPr>
    </w:p>
    <w:p w14:paraId="666CBC98" w14:textId="2D7C092F" w:rsidR="0049407A" w:rsidRDefault="0049407A" w:rsidP="00CE7D4C">
      <w:pPr>
        <w:pStyle w:val="Heading2"/>
        <w:spacing w:line="240" w:lineRule="auto"/>
        <w:jc w:val="both"/>
        <w:rPr>
          <w:lang w:val="en-GB"/>
        </w:rPr>
      </w:pPr>
      <w:r w:rsidRPr="001A3BA9">
        <w:rPr>
          <w:lang w:val="en-GB"/>
        </w:rPr>
        <w:t>Publications, funding opportunities and events</w:t>
      </w:r>
    </w:p>
    <w:p w14:paraId="083D2215" w14:textId="77777777" w:rsidR="00E62BDF" w:rsidRDefault="00E62BDF" w:rsidP="00E62BDF">
      <w:pPr>
        <w:spacing w:line="240" w:lineRule="auto"/>
        <w:rPr>
          <w:lang w:val="en-GB"/>
        </w:rPr>
      </w:pPr>
    </w:p>
    <w:p w14:paraId="6E8C5D17" w14:textId="0E34B1B7" w:rsidR="007F21E0" w:rsidRDefault="007F21E0" w:rsidP="007F21E0">
      <w:pPr>
        <w:spacing w:line="240" w:lineRule="auto"/>
        <w:jc w:val="both"/>
        <w:rPr>
          <w:lang w:val="en-GB"/>
        </w:rPr>
      </w:pPr>
      <w:r w:rsidRPr="00BE3F66">
        <w:rPr>
          <w:b/>
          <w:shd w:val="clear" w:color="auto" w:fill="FFFF00"/>
          <w:lang w:val="en-GB"/>
        </w:rPr>
        <w:t>EVENT</w:t>
      </w:r>
      <w:r w:rsidRPr="00BE3F66">
        <w:rPr>
          <w:b/>
          <w:lang w:val="en-GB"/>
        </w:rPr>
        <w:t xml:space="preserve"> –</w:t>
      </w:r>
      <w:r>
        <w:rPr>
          <w:b/>
          <w:lang w:val="en-GB"/>
        </w:rPr>
        <w:t xml:space="preserve"> European Commission </w:t>
      </w:r>
      <w:r w:rsidRPr="0049407A">
        <w:rPr>
          <w:lang w:val="en-GB"/>
        </w:rPr>
        <w:t xml:space="preserve">– </w:t>
      </w:r>
      <w:hyperlink r:id="rId42" w:history="1">
        <w:r w:rsidRPr="00A90112">
          <w:rPr>
            <w:rStyle w:val="Hyperlink"/>
            <w:lang w:val="en-US"/>
          </w:rPr>
          <w:t>2016 Work Forum on the implementation of the UN Convention on the rights of persons with disabilities</w:t>
        </w:r>
      </w:hyperlink>
      <w:r>
        <w:rPr>
          <w:lang w:val="en-US"/>
        </w:rPr>
        <w:t xml:space="preserve"> </w:t>
      </w:r>
      <w:r>
        <w:rPr>
          <w:lang w:val="en-GB"/>
        </w:rPr>
        <w:t>– 10</w:t>
      </w:r>
      <w:r w:rsidRPr="0086661C">
        <w:rPr>
          <w:vertAlign w:val="superscript"/>
          <w:lang w:val="en-GB"/>
        </w:rPr>
        <w:t>th</w:t>
      </w:r>
      <w:r>
        <w:rPr>
          <w:lang w:val="en-GB"/>
        </w:rPr>
        <w:t xml:space="preserve"> June 2016, Brussels</w:t>
      </w:r>
      <w:r w:rsidR="009E5FF0">
        <w:rPr>
          <w:lang w:val="en-GB"/>
        </w:rPr>
        <w:tab/>
      </w:r>
      <w:r w:rsidR="009E5FF0">
        <w:rPr>
          <w:lang w:val="en-GB"/>
        </w:rPr>
        <w:br/>
      </w:r>
    </w:p>
    <w:p w14:paraId="5998CE1C" w14:textId="04AACFC2" w:rsidR="00842C67" w:rsidRPr="00E62BDF" w:rsidRDefault="009E5FF0" w:rsidP="004A6114">
      <w:pPr>
        <w:spacing w:line="240" w:lineRule="auto"/>
        <w:jc w:val="both"/>
        <w:rPr>
          <w:lang w:val="en-GB"/>
        </w:rPr>
      </w:pPr>
      <w:r w:rsidRPr="009E5FF0">
        <w:rPr>
          <w:b/>
          <w:highlight w:val="yellow"/>
          <w:lang w:val="en-GB"/>
        </w:rPr>
        <w:t>EVENT</w:t>
      </w:r>
      <w:r w:rsidRPr="009E5FF0">
        <w:rPr>
          <w:b/>
          <w:lang w:val="en-GB"/>
        </w:rPr>
        <w:t xml:space="preserve"> </w:t>
      </w:r>
      <w:r>
        <w:rPr>
          <w:lang w:val="en-GB"/>
        </w:rPr>
        <w:t xml:space="preserve">- </w:t>
      </w:r>
      <w:r w:rsidRPr="009E5FF0">
        <w:rPr>
          <w:b/>
          <w:lang w:val="en-GB"/>
        </w:rPr>
        <w:t>European Association of Service Providers for Persons with Disabilities</w:t>
      </w:r>
      <w:r>
        <w:rPr>
          <w:lang w:val="en-GB"/>
        </w:rPr>
        <w:t xml:space="preserve"> - </w:t>
      </w:r>
      <w:hyperlink r:id="rId43" w:anchor="sthash.TL8XIMND.dpuf" w:history="1">
        <w:r w:rsidRPr="009E5FF0">
          <w:rPr>
            <w:rStyle w:val="Hyperlink"/>
            <w:lang w:val="en-GB"/>
          </w:rPr>
          <w:t>Webinar on the UN Convention on the Rights of Persons with Disabilities</w:t>
        </w:r>
      </w:hyperlink>
      <w:r w:rsidRPr="009E5FF0">
        <w:rPr>
          <w:lang w:val="en-GB"/>
        </w:rPr>
        <w:t xml:space="preserve"> </w:t>
      </w:r>
      <w:r>
        <w:rPr>
          <w:lang w:val="en-GB"/>
        </w:rPr>
        <w:t>–</w:t>
      </w:r>
      <w:r w:rsidRPr="009E5FF0">
        <w:rPr>
          <w:lang w:val="en-GB"/>
        </w:rPr>
        <w:t xml:space="preserve"> </w:t>
      </w:r>
      <w:r>
        <w:rPr>
          <w:lang w:val="en-GB"/>
        </w:rPr>
        <w:t>14</w:t>
      </w:r>
      <w:r w:rsidRPr="009E5FF0">
        <w:rPr>
          <w:vertAlign w:val="superscript"/>
          <w:lang w:val="en-GB"/>
        </w:rPr>
        <w:t>th</w:t>
      </w:r>
      <w:r>
        <w:rPr>
          <w:lang w:val="en-GB"/>
        </w:rPr>
        <w:t xml:space="preserve"> June 2016</w:t>
      </w:r>
      <w:r w:rsidRPr="009E5FF0">
        <w:rPr>
          <w:lang w:val="en-GB"/>
        </w:rPr>
        <w:t xml:space="preserve"> </w:t>
      </w:r>
      <w:r>
        <w:rPr>
          <w:lang w:val="en-GB"/>
        </w:rPr>
        <w:tab/>
      </w:r>
      <w:r w:rsidR="00A93646">
        <w:rPr>
          <w:lang w:val="en-GB"/>
        </w:rPr>
        <w:br/>
      </w:r>
      <w:r>
        <w:rPr>
          <w:lang w:val="en-GB"/>
        </w:rPr>
        <w:br/>
      </w:r>
      <w:r w:rsidR="00E62BDF" w:rsidRPr="001A3BA9">
        <w:rPr>
          <w:b/>
          <w:color w:val="FFFFFF" w:themeColor="background1"/>
          <w:shd w:val="clear" w:color="auto" w:fill="7030A0"/>
          <w:lang w:val="en-GB"/>
        </w:rPr>
        <w:t>PUBLICATION</w:t>
      </w:r>
      <w:r w:rsidR="00E62BDF" w:rsidRPr="001A3BA9">
        <w:rPr>
          <w:rFonts w:ascii="Calibri" w:eastAsia="Calibri" w:hAnsi="Calibri" w:cs="Times New Roman"/>
          <w:lang w:val="en-GB"/>
        </w:rPr>
        <w:t xml:space="preserve"> – </w:t>
      </w:r>
      <w:r w:rsidR="00E62BDF" w:rsidRPr="001A75A1">
        <w:rPr>
          <w:rFonts w:ascii="Calibri" w:eastAsia="Calibri" w:hAnsi="Calibri" w:cs="Times New Roman"/>
          <w:b/>
          <w:lang w:val="en-GB"/>
        </w:rPr>
        <w:t>European Union Agen</w:t>
      </w:r>
      <w:r w:rsidR="00E62BDF">
        <w:rPr>
          <w:rFonts w:ascii="Calibri" w:eastAsia="Calibri" w:hAnsi="Calibri" w:cs="Times New Roman"/>
          <w:b/>
          <w:lang w:val="en-GB"/>
        </w:rPr>
        <w:t>cy for Fundamental Rights (FRA)</w:t>
      </w:r>
      <w:r w:rsidR="00E62BDF" w:rsidRPr="001A3BA9">
        <w:rPr>
          <w:rFonts w:ascii="Calibri" w:eastAsia="Calibri" w:hAnsi="Calibri" w:cs="Times New Roman"/>
          <w:lang w:val="en-GB"/>
        </w:rPr>
        <w:t xml:space="preserve"> –</w:t>
      </w:r>
      <w:r w:rsidR="00E62BDF" w:rsidRPr="00E62BDF">
        <w:rPr>
          <w:lang w:val="en-US"/>
        </w:rPr>
        <w:t xml:space="preserve"> </w:t>
      </w:r>
      <w:hyperlink r:id="rId44" w:history="1">
        <w:r w:rsidR="00E62BDF" w:rsidRPr="00E62BDF">
          <w:rPr>
            <w:rStyle w:val="Hyperlink"/>
            <w:lang w:val="en-GB"/>
          </w:rPr>
          <w:t>Opinion concerning requirements under Article 33 (2) of the UN Convention on the Rights of Persons with Disabilities within the EU context</w:t>
        </w:r>
      </w:hyperlink>
    </w:p>
    <w:p w14:paraId="6E4EE83A" w14:textId="77777777" w:rsidR="006762EA" w:rsidRPr="0049407A" w:rsidRDefault="006762EA" w:rsidP="00CE7D4C">
      <w:pPr>
        <w:spacing w:line="240" w:lineRule="auto"/>
        <w:rPr>
          <w:lang w:val="en-GB"/>
        </w:rPr>
      </w:pPr>
    </w:p>
    <w:p w14:paraId="16F13B09" w14:textId="355DCE5B" w:rsidR="00D05673" w:rsidRPr="001A3BA9" w:rsidRDefault="00AB116C" w:rsidP="00CE7D4C">
      <w:pPr>
        <w:pStyle w:val="Heading1"/>
        <w:pBdr>
          <w:top w:val="dotted" w:sz="4" w:space="1" w:color="auto"/>
          <w:bottom w:val="dotted" w:sz="4" w:space="1" w:color="auto"/>
        </w:pBdr>
        <w:spacing w:line="240" w:lineRule="auto"/>
        <w:rPr>
          <w:lang w:val="en-GB"/>
        </w:rPr>
      </w:pPr>
      <w:bookmarkStart w:id="27" w:name="_Age"/>
      <w:bookmarkStart w:id="28" w:name="_Ref421267547"/>
      <w:bookmarkEnd w:id="27"/>
      <w:r w:rsidRPr="001A3BA9">
        <w:rPr>
          <w:lang w:val="en-GB"/>
        </w:rPr>
        <w:t>Age</w:t>
      </w:r>
      <w:bookmarkEnd w:id="28"/>
    </w:p>
    <w:p w14:paraId="34F20C56" w14:textId="77777777" w:rsidR="00FE5DDF" w:rsidRPr="001A3BA9" w:rsidRDefault="00FE5DDF" w:rsidP="00CE7D4C">
      <w:pPr>
        <w:spacing w:line="240" w:lineRule="auto"/>
        <w:rPr>
          <w:lang w:val="en-GB"/>
        </w:rPr>
      </w:pPr>
    </w:p>
    <w:p w14:paraId="3AB18B60" w14:textId="483CA443" w:rsidR="00EF446F" w:rsidRDefault="00EF446F" w:rsidP="00CE7D4C">
      <w:pPr>
        <w:pStyle w:val="Heading2"/>
        <w:spacing w:line="240" w:lineRule="auto"/>
        <w:jc w:val="both"/>
        <w:rPr>
          <w:lang w:val="en-GB"/>
        </w:rPr>
      </w:pPr>
      <w:r w:rsidRPr="001A3BA9">
        <w:rPr>
          <w:lang w:val="en-GB"/>
        </w:rPr>
        <w:t>Publications, funding opportunities and events</w:t>
      </w:r>
    </w:p>
    <w:p w14:paraId="19D4C500" w14:textId="77777777" w:rsidR="00842C67" w:rsidRDefault="00842C67" w:rsidP="00CE7D4C">
      <w:pPr>
        <w:spacing w:line="240" w:lineRule="auto"/>
        <w:rPr>
          <w:lang w:val="en-GB"/>
        </w:rPr>
      </w:pPr>
    </w:p>
    <w:p w14:paraId="47CD995A" w14:textId="03BE0472" w:rsidR="00BE45A7" w:rsidRDefault="00BE45A7" w:rsidP="00BE45A7">
      <w:pPr>
        <w:spacing w:line="240" w:lineRule="auto"/>
        <w:jc w:val="both"/>
        <w:rPr>
          <w:lang w:val="en-GB"/>
        </w:rPr>
      </w:pPr>
      <w:r w:rsidRPr="00BE3F66">
        <w:rPr>
          <w:b/>
          <w:shd w:val="clear" w:color="auto" w:fill="FFFF00"/>
          <w:lang w:val="en-GB"/>
        </w:rPr>
        <w:t>EVENT</w:t>
      </w:r>
      <w:r w:rsidRPr="00BE3F66">
        <w:rPr>
          <w:b/>
          <w:lang w:val="en-GB"/>
        </w:rPr>
        <w:t xml:space="preserve"> –</w:t>
      </w:r>
      <w:r>
        <w:rPr>
          <w:b/>
          <w:lang w:val="en-GB"/>
        </w:rPr>
        <w:t xml:space="preserve"> European Commission, Council of Europe, AGE Platform Europe and </w:t>
      </w:r>
      <w:r w:rsidRPr="008F4A3A">
        <w:rPr>
          <w:b/>
          <w:lang w:val="en-GB"/>
        </w:rPr>
        <w:t>ENNHRI</w:t>
      </w:r>
      <w:r>
        <w:rPr>
          <w:b/>
          <w:lang w:val="en-GB"/>
        </w:rPr>
        <w:t xml:space="preserve"> </w:t>
      </w:r>
      <w:r w:rsidRPr="0049407A">
        <w:rPr>
          <w:lang w:val="en-GB"/>
        </w:rPr>
        <w:t>–</w:t>
      </w:r>
      <w:r>
        <w:rPr>
          <w:lang w:val="en-US"/>
        </w:rPr>
        <w:t xml:space="preserve"> </w:t>
      </w:r>
      <w:hyperlink r:id="rId45" w:history="1">
        <w:r w:rsidRPr="008F4A3A">
          <w:rPr>
            <w:rStyle w:val="Hyperlink"/>
            <w:lang w:val="en-US"/>
          </w:rPr>
          <w:t>Fighting elder abuse in health and long-term care</w:t>
        </w:r>
      </w:hyperlink>
      <w:r>
        <w:rPr>
          <w:lang w:val="en-US"/>
        </w:rPr>
        <w:t xml:space="preserve"> </w:t>
      </w:r>
      <w:r>
        <w:rPr>
          <w:lang w:val="en-GB"/>
        </w:rPr>
        <w:t>– Thursday 16</w:t>
      </w:r>
      <w:r w:rsidRPr="008F4A3A">
        <w:rPr>
          <w:vertAlign w:val="superscript"/>
          <w:lang w:val="en-GB"/>
        </w:rPr>
        <w:t>th</w:t>
      </w:r>
      <w:r>
        <w:rPr>
          <w:lang w:val="en-GB"/>
        </w:rPr>
        <w:t xml:space="preserve"> June 2016, Brussels, Belgium</w:t>
      </w:r>
      <w:r w:rsidR="009E5FF0">
        <w:rPr>
          <w:lang w:val="en-GB"/>
        </w:rPr>
        <w:tab/>
      </w:r>
      <w:r w:rsidR="009E5FF0">
        <w:rPr>
          <w:lang w:val="en-GB"/>
        </w:rPr>
        <w:br/>
      </w:r>
    </w:p>
    <w:p w14:paraId="734CA765" w14:textId="1520B0A7" w:rsidR="00BE45A7" w:rsidRDefault="00BE45A7" w:rsidP="00BE45A7">
      <w:pPr>
        <w:spacing w:line="240" w:lineRule="auto"/>
        <w:jc w:val="both"/>
        <w:rPr>
          <w:lang w:val="en-GB"/>
        </w:rPr>
      </w:pPr>
      <w:r w:rsidRPr="00BE3F66">
        <w:rPr>
          <w:b/>
          <w:shd w:val="clear" w:color="auto" w:fill="FFFF00"/>
          <w:lang w:val="en-GB"/>
        </w:rPr>
        <w:t>EVENT</w:t>
      </w:r>
      <w:r w:rsidRPr="00BE3F66">
        <w:rPr>
          <w:b/>
          <w:lang w:val="en-GB"/>
        </w:rPr>
        <w:t xml:space="preserve"> –</w:t>
      </w:r>
      <w:r>
        <w:rPr>
          <w:b/>
          <w:lang w:val="en-GB"/>
        </w:rPr>
        <w:t xml:space="preserve"> Council of Europe </w:t>
      </w:r>
      <w:r w:rsidRPr="0049407A">
        <w:rPr>
          <w:lang w:val="en-GB"/>
        </w:rPr>
        <w:t>–</w:t>
      </w:r>
      <w:r>
        <w:rPr>
          <w:lang w:val="en-US"/>
        </w:rPr>
        <w:t xml:space="preserve"> </w:t>
      </w:r>
      <w:hyperlink r:id="rId46" w:history="1">
        <w:r w:rsidRPr="00D72AF7">
          <w:rPr>
            <w:rStyle w:val="Hyperlink"/>
            <w:lang w:val="en-US"/>
          </w:rPr>
          <w:t>Global High-Level Conference ‘Towards Childhoods free from Corporal Punishment’</w:t>
        </w:r>
      </w:hyperlink>
      <w:r>
        <w:rPr>
          <w:lang w:val="en-US"/>
        </w:rPr>
        <w:t xml:space="preserve"> </w:t>
      </w:r>
      <w:r>
        <w:rPr>
          <w:lang w:val="en-GB"/>
        </w:rPr>
        <w:t>– 1</w:t>
      </w:r>
      <w:r w:rsidRPr="00D72AF7">
        <w:rPr>
          <w:vertAlign w:val="superscript"/>
          <w:lang w:val="en-GB"/>
        </w:rPr>
        <w:t>st</w:t>
      </w:r>
      <w:r>
        <w:rPr>
          <w:lang w:val="en-GB"/>
        </w:rPr>
        <w:t xml:space="preserve"> and 2</w:t>
      </w:r>
      <w:r w:rsidRPr="00D72AF7">
        <w:rPr>
          <w:vertAlign w:val="superscript"/>
          <w:lang w:val="en-GB"/>
        </w:rPr>
        <w:t>nd</w:t>
      </w:r>
      <w:r>
        <w:rPr>
          <w:lang w:val="en-GB"/>
        </w:rPr>
        <w:t xml:space="preserve"> June 2016, Vienna, Austria</w:t>
      </w:r>
      <w:r w:rsidR="009E5FF0">
        <w:rPr>
          <w:lang w:val="en-GB"/>
        </w:rPr>
        <w:tab/>
      </w:r>
      <w:r w:rsidR="009E5FF0">
        <w:rPr>
          <w:lang w:val="en-GB"/>
        </w:rPr>
        <w:br/>
      </w:r>
    </w:p>
    <w:p w14:paraId="0B62EE09" w14:textId="6B132C75" w:rsidR="00486E96" w:rsidRPr="00D72AF7" w:rsidRDefault="00536A7F" w:rsidP="009C0A5A">
      <w:pPr>
        <w:spacing w:line="240" w:lineRule="auto"/>
        <w:rPr>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Pr>
          <w:rFonts w:ascii="Calibri" w:eastAsia="Calibri" w:hAnsi="Calibri" w:cs="Times New Roman"/>
          <w:b/>
          <w:lang w:val="en-GB"/>
        </w:rPr>
        <w:t>European Youth Forum</w:t>
      </w:r>
      <w:r>
        <w:rPr>
          <w:rFonts w:ascii="Calibri" w:eastAsia="Calibri" w:hAnsi="Calibri" w:cs="Times New Roman"/>
          <w:lang w:val="en-GB"/>
        </w:rPr>
        <w:t xml:space="preserve"> – </w:t>
      </w:r>
      <w:hyperlink r:id="rId47" w:history="1">
        <w:r w:rsidR="0007544B" w:rsidRPr="0007544B">
          <w:rPr>
            <w:rStyle w:val="Hyperlink"/>
            <w:lang w:val="en-US"/>
          </w:rPr>
          <w:t>Social inclusion and young people – excluding youth: a threat to our future</w:t>
        </w:r>
      </w:hyperlink>
    </w:p>
    <w:p w14:paraId="36EF85F0" w14:textId="77777777" w:rsidR="009C0A5A" w:rsidRPr="009C0A5A" w:rsidRDefault="009C0A5A" w:rsidP="009C0A5A">
      <w:pPr>
        <w:spacing w:line="240" w:lineRule="auto"/>
        <w:rPr>
          <w:lang w:val="en-GB"/>
        </w:rPr>
      </w:pPr>
    </w:p>
    <w:p w14:paraId="37A35064" w14:textId="280F6441" w:rsidR="00EF446F" w:rsidRPr="001A3BA9" w:rsidRDefault="00EF446F" w:rsidP="00CE7D4C">
      <w:pPr>
        <w:pStyle w:val="Heading1"/>
        <w:pBdr>
          <w:top w:val="dotted" w:sz="4" w:space="1" w:color="auto"/>
          <w:bottom w:val="dotted" w:sz="4" w:space="1" w:color="auto"/>
        </w:pBdr>
        <w:spacing w:line="240" w:lineRule="auto"/>
        <w:rPr>
          <w:lang w:val="en-GB"/>
        </w:rPr>
      </w:pPr>
      <w:bookmarkStart w:id="29" w:name="_Other"/>
      <w:bookmarkEnd w:id="29"/>
      <w:r w:rsidRPr="001A3BA9">
        <w:rPr>
          <w:lang w:val="en-GB"/>
        </w:rPr>
        <w:t>Other</w:t>
      </w:r>
      <w:r w:rsidR="005F29CB">
        <w:rPr>
          <w:lang w:val="en-GB"/>
        </w:rPr>
        <w:t xml:space="preserve"> </w:t>
      </w:r>
      <w:r w:rsidR="00A64F44">
        <w:rPr>
          <w:lang w:val="en-GB"/>
        </w:rPr>
        <w:t xml:space="preserve">policy areas and </w:t>
      </w:r>
      <w:r w:rsidR="005F29CB">
        <w:rPr>
          <w:lang w:val="en-GB"/>
        </w:rPr>
        <w:t>grounds of discrimination</w:t>
      </w:r>
    </w:p>
    <w:p w14:paraId="165AC62D" w14:textId="77777777" w:rsidR="00A64F44" w:rsidRDefault="00A64F44" w:rsidP="00CE7D4C">
      <w:pPr>
        <w:pStyle w:val="Heading2"/>
        <w:spacing w:line="240" w:lineRule="auto"/>
        <w:rPr>
          <w:lang w:val="en-GB"/>
        </w:rPr>
      </w:pPr>
    </w:p>
    <w:p w14:paraId="3B0B36B4" w14:textId="48699A8C" w:rsidR="003547E8" w:rsidRDefault="003547E8" w:rsidP="00CE7D4C">
      <w:pPr>
        <w:pStyle w:val="Heading2"/>
        <w:spacing w:line="240" w:lineRule="auto"/>
        <w:rPr>
          <w:lang w:val="en-GB"/>
        </w:rPr>
      </w:pPr>
      <w:r w:rsidRPr="001A3BA9">
        <w:rPr>
          <w:lang w:val="en-GB"/>
        </w:rPr>
        <w:t>Publications, funding opportunities and events</w:t>
      </w:r>
    </w:p>
    <w:p w14:paraId="36651DA7" w14:textId="77777777" w:rsidR="00140B5F" w:rsidRPr="00BE45A7" w:rsidRDefault="00140B5F" w:rsidP="00BE45A7">
      <w:pPr>
        <w:rPr>
          <w:lang w:val="en-GB"/>
        </w:rPr>
      </w:pPr>
    </w:p>
    <w:p w14:paraId="6F202D22" w14:textId="5FAB9B6B" w:rsidR="00BE45A7" w:rsidRDefault="00BE45A7" w:rsidP="00BE45A7">
      <w:pPr>
        <w:spacing w:line="240" w:lineRule="auto"/>
        <w:jc w:val="both"/>
        <w:rPr>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00140B5F">
        <w:rPr>
          <w:rFonts w:ascii="Calibri" w:eastAsia="Calibri" w:hAnsi="Calibri" w:cs="Times New Roman"/>
          <w:b/>
          <w:lang w:val="en-GB"/>
        </w:rPr>
        <w:t>Fundamental Rights Agency (FRA)</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sidR="00140B5F">
        <w:rPr>
          <w:rFonts w:ascii="Calibri" w:eastAsia="Calibri" w:hAnsi="Calibri" w:cs="Times New Roman"/>
          <w:lang w:val="en-GB"/>
        </w:rPr>
        <w:t xml:space="preserve">Monthly report on migration – </w:t>
      </w:r>
      <w:hyperlink r:id="rId48" w:history="1">
        <w:r w:rsidR="00140B5F" w:rsidRPr="00140B5F">
          <w:rPr>
            <w:rStyle w:val="Hyperlink"/>
            <w:rFonts w:ascii="Calibri" w:eastAsia="Calibri" w:hAnsi="Calibri" w:cs="Times New Roman"/>
            <w:lang w:val="en-GB"/>
          </w:rPr>
          <w:t>Thematic focus on trafficking in human beings</w:t>
        </w:r>
      </w:hyperlink>
      <w:r w:rsidR="00A93646">
        <w:rPr>
          <w:rFonts w:ascii="Calibri" w:eastAsia="Calibri" w:hAnsi="Calibri" w:cs="Times New Roman"/>
          <w:lang w:val="en-GB"/>
        </w:rPr>
        <w:tab/>
      </w:r>
      <w:r w:rsidR="00A93646">
        <w:rPr>
          <w:rFonts w:ascii="Calibri" w:eastAsia="Calibri" w:hAnsi="Calibri" w:cs="Times New Roman"/>
          <w:lang w:val="en-GB"/>
        </w:rPr>
        <w:br/>
      </w:r>
    </w:p>
    <w:p w14:paraId="3822AA7A" w14:textId="77777777" w:rsidR="00140B5F" w:rsidRPr="00D50634" w:rsidRDefault="00140B5F" w:rsidP="00140B5F">
      <w:pPr>
        <w:spacing w:line="240" w:lineRule="auto"/>
        <w:jc w:val="both"/>
        <w:rPr>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Pr>
          <w:rFonts w:ascii="Calibri" w:eastAsia="Calibri" w:hAnsi="Calibri" w:cs="Times New Roman"/>
          <w:b/>
          <w:lang w:val="en-GB"/>
        </w:rPr>
        <w:t>Council of Europe</w:t>
      </w:r>
      <w:r w:rsidRPr="001A3BA9">
        <w:rPr>
          <w:rFonts w:ascii="Calibri" w:eastAsia="Calibri" w:hAnsi="Calibri" w:cs="Times New Roman"/>
          <w:lang w:val="en-GB"/>
        </w:rPr>
        <w:t xml:space="preserve"> –</w:t>
      </w:r>
      <w:r>
        <w:rPr>
          <w:rFonts w:ascii="Calibri" w:eastAsia="Calibri" w:hAnsi="Calibri" w:cs="Times New Roman"/>
          <w:lang w:val="en-GB"/>
        </w:rPr>
        <w:t xml:space="preserve"> Report on the </w:t>
      </w:r>
      <w:hyperlink r:id="rId49" w:history="1">
        <w:r w:rsidRPr="00BE45A7">
          <w:rPr>
            <w:rStyle w:val="Hyperlink"/>
            <w:rFonts w:ascii="Calibri" w:eastAsia="Calibri" w:hAnsi="Calibri" w:cs="Times New Roman"/>
            <w:lang w:val="en-GB"/>
          </w:rPr>
          <w:t>situation of refugees and migrants in Greece and FYROM</w:t>
        </w:r>
      </w:hyperlink>
      <w:r w:rsidRPr="00D50634">
        <w:rPr>
          <w:lang w:val="en-US"/>
        </w:rPr>
        <w:t xml:space="preserve"> </w:t>
      </w:r>
    </w:p>
    <w:p w14:paraId="43A1C3AD" w14:textId="77777777" w:rsidR="00A64F44" w:rsidRPr="00BE45A7" w:rsidRDefault="00A64F44" w:rsidP="00CE7D4C">
      <w:pPr>
        <w:spacing w:line="240" w:lineRule="auto"/>
        <w:jc w:val="both"/>
        <w:rPr>
          <w:b/>
          <w:color w:val="FFFFFF" w:themeColor="background1"/>
          <w:shd w:val="clear" w:color="auto" w:fill="7030A0"/>
          <w:lang w:val="en-US"/>
        </w:rPr>
      </w:pPr>
    </w:p>
    <w:p w14:paraId="0DEC4F94" w14:textId="77777777" w:rsidR="00610CE4" w:rsidRPr="001A3BA9" w:rsidRDefault="00610CE4" w:rsidP="00CE7D4C">
      <w:pPr>
        <w:pBdr>
          <w:bottom w:val="dotted" w:sz="36" w:space="1" w:color="auto"/>
        </w:pBdr>
        <w:spacing w:line="240" w:lineRule="auto"/>
        <w:rPr>
          <w:lang w:val="en-GB"/>
        </w:rPr>
      </w:pPr>
    </w:p>
    <w:p w14:paraId="6A49563D" w14:textId="333FF7AA" w:rsidR="00B07813" w:rsidRPr="001A3BA9" w:rsidRDefault="00B07813" w:rsidP="00B6131B">
      <w:pPr>
        <w:pStyle w:val="Heading1"/>
        <w:pBdr>
          <w:top w:val="dotted" w:sz="4" w:space="1" w:color="auto"/>
          <w:bottom w:val="dotted" w:sz="4" w:space="1" w:color="auto"/>
        </w:pBdr>
        <w:spacing w:line="240" w:lineRule="auto"/>
        <w:rPr>
          <w:lang w:val="en-GB"/>
        </w:rPr>
      </w:pPr>
      <w:bookmarkStart w:id="30" w:name="_Toc418770756"/>
      <w:bookmarkStart w:id="31" w:name="_Ref418784375"/>
      <w:bookmarkStart w:id="32" w:name="_Ref421267634"/>
      <w:bookmarkStart w:id="33" w:name="_Recent_case-law"/>
      <w:bookmarkEnd w:id="33"/>
      <w:r w:rsidRPr="001A3BA9">
        <w:rPr>
          <w:lang w:val="en-GB"/>
        </w:rPr>
        <w:t>Recent case-law</w:t>
      </w:r>
      <w:bookmarkEnd w:id="30"/>
      <w:bookmarkEnd w:id="31"/>
      <w:bookmarkEnd w:id="32"/>
    </w:p>
    <w:p w14:paraId="1A7E5E2B" w14:textId="77777777" w:rsidR="00AB116C" w:rsidRPr="001A3BA9" w:rsidRDefault="00AB116C" w:rsidP="00CE7D4C">
      <w:pPr>
        <w:spacing w:line="240" w:lineRule="auto"/>
        <w:rPr>
          <w:lang w:val="en-GB"/>
        </w:rPr>
      </w:pPr>
      <w:bookmarkStart w:id="34" w:name="_Toc418770757"/>
      <w:bookmarkStart w:id="35" w:name="_Ref418784385"/>
    </w:p>
    <w:p w14:paraId="5E641C49" w14:textId="74B1E422" w:rsidR="00542158" w:rsidRDefault="00B07813" w:rsidP="00E87DE2">
      <w:pPr>
        <w:pStyle w:val="Heading2"/>
        <w:spacing w:line="240" w:lineRule="auto"/>
        <w:rPr>
          <w:lang w:val="en-GB"/>
        </w:rPr>
      </w:pPr>
      <w:bookmarkStart w:id="36" w:name="_Ref421267642"/>
      <w:r w:rsidRPr="001A3BA9">
        <w:rPr>
          <w:lang w:val="en-GB"/>
        </w:rPr>
        <w:t>European Court of Justice (ECJ)</w:t>
      </w:r>
      <w:bookmarkEnd w:id="34"/>
      <w:bookmarkEnd w:id="35"/>
      <w:bookmarkEnd w:id="36"/>
    </w:p>
    <w:p w14:paraId="1F1D90D0" w14:textId="77777777" w:rsidR="00A97F7C" w:rsidRPr="00A97F7C" w:rsidRDefault="00A97F7C" w:rsidP="00E87DE2">
      <w:pPr>
        <w:spacing w:line="240" w:lineRule="auto"/>
        <w:rPr>
          <w:lang w:val="en-GB"/>
        </w:rPr>
      </w:pPr>
    </w:p>
    <w:p w14:paraId="1EAA568C" w14:textId="56F41900" w:rsidR="00A64F44" w:rsidRPr="0089532B" w:rsidRDefault="00A97F7C" w:rsidP="00E87DE2">
      <w:pPr>
        <w:pStyle w:val="ListParagraph"/>
        <w:numPr>
          <w:ilvl w:val="0"/>
          <w:numId w:val="18"/>
        </w:numPr>
        <w:spacing w:line="240" w:lineRule="auto"/>
        <w:rPr>
          <w:lang w:val="es-ES"/>
        </w:rPr>
      </w:pPr>
      <w:r w:rsidRPr="0089532B">
        <w:rPr>
          <w:b/>
          <w:lang w:val="es-ES"/>
        </w:rPr>
        <w:t>Case C-558/14 – Mimoun Khachab v Subdelegación del Gobierno en Álava (21 April 2016)</w:t>
      </w:r>
    </w:p>
    <w:p w14:paraId="21EF3344" w14:textId="0873B7EA" w:rsidR="0045538F" w:rsidRDefault="00A97F7C" w:rsidP="00E87DE2">
      <w:pPr>
        <w:spacing w:line="240" w:lineRule="auto"/>
        <w:jc w:val="both"/>
        <w:rPr>
          <w:lang w:val="en-GB"/>
        </w:rPr>
      </w:pPr>
      <w:r>
        <w:rPr>
          <w:lang w:val="en-GB"/>
        </w:rPr>
        <w:t xml:space="preserve">The Court decided that EU </w:t>
      </w:r>
      <w:r w:rsidRPr="00A97F7C">
        <w:rPr>
          <w:lang w:val="en-GB"/>
        </w:rPr>
        <w:t>Member States may refuse an application for family reunification if it is</w:t>
      </w:r>
      <w:r>
        <w:rPr>
          <w:lang w:val="en-GB"/>
        </w:rPr>
        <w:t xml:space="preserve"> </w:t>
      </w:r>
      <w:r w:rsidRPr="00A97F7C">
        <w:rPr>
          <w:lang w:val="en-GB"/>
        </w:rPr>
        <w:t>apparent from a prospective assessment that the sponsor will not have stable and</w:t>
      </w:r>
      <w:r>
        <w:rPr>
          <w:lang w:val="en-GB"/>
        </w:rPr>
        <w:t xml:space="preserve"> </w:t>
      </w:r>
      <w:r w:rsidRPr="00A97F7C">
        <w:rPr>
          <w:lang w:val="en-GB"/>
        </w:rPr>
        <w:t>regular resources which are sufficient in the year following the date of submission</w:t>
      </w:r>
      <w:r>
        <w:rPr>
          <w:lang w:val="en-GB"/>
        </w:rPr>
        <w:t xml:space="preserve"> </w:t>
      </w:r>
      <w:r w:rsidRPr="00A97F7C">
        <w:rPr>
          <w:lang w:val="en-GB"/>
        </w:rPr>
        <w:t>of the application</w:t>
      </w:r>
      <w:r>
        <w:rPr>
          <w:lang w:val="en-GB"/>
        </w:rPr>
        <w:t xml:space="preserve">. More information can be found </w:t>
      </w:r>
      <w:hyperlink r:id="rId50" w:history="1">
        <w:r w:rsidRPr="00A97F7C">
          <w:rPr>
            <w:rStyle w:val="Hyperlink"/>
            <w:lang w:val="en-GB"/>
          </w:rPr>
          <w:t>here</w:t>
        </w:r>
      </w:hyperlink>
      <w:r>
        <w:rPr>
          <w:lang w:val="en-GB"/>
        </w:rPr>
        <w:t>.</w:t>
      </w:r>
    </w:p>
    <w:p w14:paraId="1895CF48" w14:textId="68C96054" w:rsidR="009E5FF0" w:rsidRPr="00B6131B" w:rsidRDefault="009E5FF0" w:rsidP="009E5FF0">
      <w:pPr>
        <w:pStyle w:val="ListParagraph"/>
        <w:numPr>
          <w:ilvl w:val="0"/>
          <w:numId w:val="17"/>
        </w:numPr>
        <w:spacing w:line="240" w:lineRule="auto"/>
        <w:jc w:val="both"/>
        <w:rPr>
          <w:b/>
          <w:lang w:val="nl-NL"/>
        </w:rPr>
      </w:pPr>
      <w:r w:rsidRPr="00B6131B">
        <w:rPr>
          <w:b/>
          <w:lang w:val="nl-NL"/>
        </w:rPr>
        <w:t>C-157/15 Samira Achbita and Centrum voor gelijkheid van kansen en voor racismebestrijding v G4S Secure Solutions NV –  Opinion of the Advocate General Kokott (31 May 2016)</w:t>
      </w:r>
    </w:p>
    <w:p w14:paraId="21468B38" w14:textId="47E2F477" w:rsidR="009E5FF0" w:rsidRPr="009E5FF0" w:rsidRDefault="009E5FF0" w:rsidP="009E5FF0">
      <w:pPr>
        <w:spacing w:line="240" w:lineRule="auto"/>
        <w:jc w:val="both"/>
        <w:rPr>
          <w:lang w:val="en-GB"/>
        </w:rPr>
      </w:pPr>
      <w:r w:rsidRPr="009E5FF0">
        <w:rPr>
          <w:lang w:val="en-GB"/>
        </w:rPr>
        <w:t xml:space="preserve">In case </w:t>
      </w:r>
      <w:hyperlink r:id="rId51" w:history="1">
        <w:r w:rsidRPr="009E5FF0">
          <w:rPr>
            <w:rStyle w:val="Hyperlink"/>
            <w:lang w:val="en-GB"/>
          </w:rPr>
          <w:t>C-157/15 Samira Achbita and Centrum voor gelijkheid van kansen en voor racismebestrijding v G4S Secure Solutions NV</w:t>
        </w:r>
      </w:hyperlink>
      <w:r w:rsidRPr="009E5FF0">
        <w:rPr>
          <w:lang w:val="en-GB"/>
        </w:rPr>
        <w:t>, the first ever case in front of the Court of Justice of the EU concerning discrimination on the grounds of religion and belief, Advocate General Kokott issued her Opinion on 31 May 2016.</w:t>
      </w:r>
    </w:p>
    <w:p w14:paraId="75DCFDBC" w14:textId="2A57A01D" w:rsidR="009E5FF0" w:rsidRPr="009E5FF0" w:rsidRDefault="009E5FF0" w:rsidP="009E5FF0">
      <w:pPr>
        <w:spacing w:line="240" w:lineRule="auto"/>
        <w:jc w:val="both"/>
        <w:rPr>
          <w:lang w:val="en-GB"/>
        </w:rPr>
      </w:pPr>
      <w:r w:rsidRPr="009E5FF0">
        <w:rPr>
          <w:lang w:val="en-GB"/>
        </w:rPr>
        <w:t>The Opinion states that if the ban on wearing the headscarf at the workplace is based on a general company rule which prohibits political, philosophical and religious symbols from being worn visibly in the workplace, such a ban may be justified if it enables the employer to pursue the legitimate policy of ensuring religious and ideological neutrality. The Advocate General’s Opinion is not binding on the Court of Justice, however, it is often followed by the Court.</w:t>
      </w:r>
    </w:p>
    <w:p w14:paraId="284F08C7" w14:textId="2CB2BD1D" w:rsidR="00E87DE2" w:rsidRDefault="00E90509" w:rsidP="00E87DE2">
      <w:pPr>
        <w:spacing w:line="240" w:lineRule="auto"/>
        <w:jc w:val="both"/>
        <w:rPr>
          <w:lang w:val="en-GB"/>
        </w:rPr>
      </w:pPr>
      <w:r>
        <w:rPr>
          <w:lang w:val="en-GB"/>
        </w:rPr>
        <w:t xml:space="preserve">More information about the opinion is available on the </w:t>
      </w:r>
      <w:hyperlink r:id="rId52" w:history="1">
        <w:r w:rsidRPr="00E90509">
          <w:rPr>
            <w:rStyle w:val="Hyperlink"/>
            <w:lang w:val="en-GB"/>
          </w:rPr>
          <w:t>Equinet’s website</w:t>
        </w:r>
      </w:hyperlink>
      <w:r>
        <w:rPr>
          <w:lang w:val="en-GB"/>
        </w:rPr>
        <w:t xml:space="preserve">. </w:t>
      </w:r>
    </w:p>
    <w:p w14:paraId="55764471" w14:textId="77777777" w:rsidR="00A93646" w:rsidRPr="00A97F7C" w:rsidRDefault="00A93646" w:rsidP="00E87DE2">
      <w:pPr>
        <w:spacing w:line="240" w:lineRule="auto"/>
        <w:jc w:val="both"/>
        <w:rPr>
          <w:lang w:val="en-GB"/>
        </w:rPr>
      </w:pPr>
    </w:p>
    <w:p w14:paraId="7B10DD56" w14:textId="4A11A56F" w:rsidR="009913B6" w:rsidRPr="001A3BA9" w:rsidRDefault="00AB116C" w:rsidP="00E87DE2">
      <w:pPr>
        <w:pStyle w:val="Heading2"/>
        <w:spacing w:line="240" w:lineRule="auto"/>
        <w:rPr>
          <w:lang w:val="en-GB"/>
        </w:rPr>
      </w:pPr>
      <w:bookmarkStart w:id="37" w:name="_Ref421267644"/>
      <w:r w:rsidRPr="001A3BA9">
        <w:rPr>
          <w:lang w:val="en-GB"/>
        </w:rPr>
        <w:t>European Court of Human Rights (EC</w:t>
      </w:r>
      <w:r w:rsidR="00880B15" w:rsidRPr="001A3BA9">
        <w:rPr>
          <w:lang w:val="en-GB"/>
        </w:rPr>
        <w:t>t</w:t>
      </w:r>
      <w:r w:rsidRPr="001A3BA9">
        <w:rPr>
          <w:lang w:val="en-GB"/>
        </w:rPr>
        <w:t>HR)</w:t>
      </w:r>
      <w:bookmarkEnd w:id="37"/>
      <w:r w:rsidR="009913B6" w:rsidRPr="001A3BA9">
        <w:rPr>
          <w:lang w:val="en-GB"/>
        </w:rPr>
        <w:br/>
      </w:r>
    </w:p>
    <w:p w14:paraId="670B24A7" w14:textId="238D63EA" w:rsidR="00182F22" w:rsidRDefault="00182F22" w:rsidP="003C28EB">
      <w:pPr>
        <w:pStyle w:val="ListParagraph"/>
        <w:numPr>
          <w:ilvl w:val="0"/>
          <w:numId w:val="16"/>
        </w:numPr>
        <w:spacing w:line="240" w:lineRule="auto"/>
        <w:jc w:val="both"/>
        <w:rPr>
          <w:b/>
          <w:lang w:val="en-GB"/>
        </w:rPr>
      </w:pPr>
      <w:r>
        <w:rPr>
          <w:b/>
          <w:lang w:val="en-GB"/>
        </w:rPr>
        <w:t>Application no.</w:t>
      </w:r>
      <w:r w:rsidR="003C28EB" w:rsidRPr="003C28EB">
        <w:rPr>
          <w:lang w:val="en-US"/>
        </w:rPr>
        <w:t xml:space="preserve"> </w:t>
      </w:r>
      <w:r w:rsidR="003C28EB" w:rsidRPr="003C28EB">
        <w:rPr>
          <w:b/>
          <w:lang w:val="en-GB"/>
        </w:rPr>
        <w:t>27013/07</w:t>
      </w:r>
      <w:r w:rsidR="003C28EB">
        <w:rPr>
          <w:b/>
          <w:lang w:val="en-GB"/>
        </w:rPr>
        <w:t xml:space="preserve"> </w:t>
      </w:r>
      <w:r>
        <w:rPr>
          <w:b/>
          <w:lang w:val="en-GB"/>
        </w:rPr>
        <w:t xml:space="preserve">– </w:t>
      </w:r>
      <w:r w:rsidR="003C28EB" w:rsidRPr="003C28EB">
        <w:rPr>
          <w:b/>
          <w:lang w:val="en-GB"/>
        </w:rPr>
        <w:t xml:space="preserve">Winterstein and Others v. France </w:t>
      </w:r>
      <w:r>
        <w:rPr>
          <w:b/>
          <w:lang w:val="en-GB"/>
        </w:rPr>
        <w:t>(</w:t>
      </w:r>
      <w:r w:rsidR="003C28EB">
        <w:rPr>
          <w:b/>
          <w:lang w:val="en-GB"/>
        </w:rPr>
        <w:t>28</w:t>
      </w:r>
      <w:r>
        <w:rPr>
          <w:b/>
          <w:lang w:val="en-GB"/>
        </w:rPr>
        <w:t xml:space="preserve"> </w:t>
      </w:r>
      <w:r w:rsidR="003C28EB">
        <w:rPr>
          <w:b/>
          <w:lang w:val="en-GB"/>
        </w:rPr>
        <w:t>April</w:t>
      </w:r>
      <w:r>
        <w:rPr>
          <w:b/>
          <w:lang w:val="en-GB"/>
        </w:rPr>
        <w:t xml:space="preserve"> 2016)</w:t>
      </w:r>
    </w:p>
    <w:p w14:paraId="61064B5C" w14:textId="7FE2FE35" w:rsidR="003C28EB" w:rsidRDefault="003C28EB" w:rsidP="003C28EB">
      <w:pPr>
        <w:spacing w:line="240" w:lineRule="auto"/>
        <w:jc w:val="both"/>
        <w:rPr>
          <w:lang w:val="en-GB"/>
        </w:rPr>
      </w:pPr>
      <w:r w:rsidRPr="003C28EB">
        <w:rPr>
          <w:lang w:val="en-GB"/>
        </w:rPr>
        <w:t>The European Court of Human Rights judgement on the question of just satisfaction in the case Winterstein and Others v. France (application no. 27013/07) ruled that 25 French Travellers, evicted from land they called home, should receive awards totalling more than €350,000. The applicants are 25 French nationals acting on their own behalf and on behalf of their minor children</w:t>
      </w:r>
      <w:r>
        <w:rPr>
          <w:lang w:val="en-GB"/>
        </w:rPr>
        <w:t xml:space="preserve">. More information can be found </w:t>
      </w:r>
      <w:hyperlink r:id="rId53" w:history="1">
        <w:r w:rsidRPr="0011369A">
          <w:rPr>
            <w:rStyle w:val="Hyperlink"/>
            <w:lang w:val="en-GB"/>
          </w:rPr>
          <w:t>here</w:t>
        </w:r>
      </w:hyperlink>
      <w:r>
        <w:rPr>
          <w:lang w:val="en-GB"/>
        </w:rPr>
        <w:t>.</w:t>
      </w:r>
    </w:p>
    <w:p w14:paraId="2628FA75" w14:textId="77777777" w:rsidR="00E87DE2" w:rsidRPr="001A3BA9" w:rsidRDefault="00E87DE2">
      <w:pPr>
        <w:spacing w:line="240" w:lineRule="auto"/>
        <w:rPr>
          <w:lang w:val="en-GB"/>
        </w:rPr>
      </w:pPr>
    </w:p>
    <w:sectPr w:rsidR="00E87DE2" w:rsidRPr="001A3BA9" w:rsidSect="006415D5">
      <w:footerReference w:type="default" r:id="rId5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FE13" w14:textId="77777777" w:rsidR="00B97583" w:rsidRDefault="00B97583" w:rsidP="001140DC">
      <w:pPr>
        <w:spacing w:after="0" w:line="240" w:lineRule="auto"/>
      </w:pPr>
      <w:r>
        <w:separator/>
      </w:r>
    </w:p>
  </w:endnote>
  <w:endnote w:type="continuationSeparator" w:id="0">
    <w:p w14:paraId="7D464CCC" w14:textId="77777777" w:rsidR="00B97583" w:rsidRDefault="00B9758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1DD77DD1" w:rsidR="00B07813" w:rsidRDefault="00B07813">
        <w:pPr>
          <w:pStyle w:val="Footer"/>
          <w:jc w:val="center"/>
        </w:pPr>
        <w:r>
          <w:fldChar w:fldCharType="begin"/>
        </w:r>
        <w:r>
          <w:instrText xml:space="preserve"> PAGE   \* MERGEFORMAT </w:instrText>
        </w:r>
        <w:r>
          <w:fldChar w:fldCharType="separate"/>
        </w:r>
        <w:r w:rsidR="0095149D">
          <w:rPr>
            <w:noProof/>
          </w:rPr>
          <w:t>7</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1A06B" w14:textId="77777777" w:rsidR="00B97583" w:rsidRDefault="00B97583" w:rsidP="001140DC">
      <w:pPr>
        <w:spacing w:after="0" w:line="240" w:lineRule="auto"/>
      </w:pPr>
      <w:r>
        <w:separator/>
      </w:r>
    </w:p>
  </w:footnote>
  <w:footnote w:type="continuationSeparator" w:id="0">
    <w:p w14:paraId="7898A82D" w14:textId="77777777" w:rsidR="00B97583" w:rsidRDefault="00B9758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5FC"/>
    <w:multiLevelType w:val="hybridMultilevel"/>
    <w:tmpl w:val="842A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6C88"/>
    <w:multiLevelType w:val="hybridMultilevel"/>
    <w:tmpl w:val="B9A8DE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127922"/>
    <w:multiLevelType w:val="hybridMultilevel"/>
    <w:tmpl w:val="C09C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C089D"/>
    <w:multiLevelType w:val="hybridMultilevel"/>
    <w:tmpl w:val="A1DE2B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D633B1B"/>
    <w:multiLevelType w:val="hybridMultilevel"/>
    <w:tmpl w:val="6986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F6B42"/>
    <w:multiLevelType w:val="hybridMultilevel"/>
    <w:tmpl w:val="B3F0B3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C56813"/>
    <w:multiLevelType w:val="hybridMultilevel"/>
    <w:tmpl w:val="44141072"/>
    <w:lvl w:ilvl="0" w:tplc="50EE1F2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D736E"/>
    <w:multiLevelType w:val="hybridMultilevel"/>
    <w:tmpl w:val="A71085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A62188"/>
    <w:multiLevelType w:val="hybridMultilevel"/>
    <w:tmpl w:val="34F860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6702B39"/>
    <w:multiLevelType w:val="hybridMultilevel"/>
    <w:tmpl w:val="CEF291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C3801F0"/>
    <w:multiLevelType w:val="hybridMultilevel"/>
    <w:tmpl w:val="294CC0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68D4DFE"/>
    <w:multiLevelType w:val="hybridMultilevel"/>
    <w:tmpl w:val="BD145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CA81278"/>
    <w:multiLevelType w:val="hybridMultilevel"/>
    <w:tmpl w:val="F46A4A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D217B51"/>
    <w:multiLevelType w:val="hybridMultilevel"/>
    <w:tmpl w:val="5B4253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0434772"/>
    <w:multiLevelType w:val="hybridMultilevel"/>
    <w:tmpl w:val="3DCC0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E03468"/>
    <w:multiLevelType w:val="hybridMultilevel"/>
    <w:tmpl w:val="8E38934E"/>
    <w:lvl w:ilvl="0" w:tplc="2DB03E0E">
      <w:numFmt w:val="bullet"/>
      <w:lvlText w:val="•"/>
      <w:lvlJc w:val="left"/>
      <w:pPr>
        <w:ind w:left="1065" w:hanging="705"/>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77721D03"/>
    <w:multiLevelType w:val="hybridMultilevel"/>
    <w:tmpl w:val="94169BD0"/>
    <w:lvl w:ilvl="0" w:tplc="0A3CF0E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89E0A68"/>
    <w:multiLevelType w:val="hybridMultilevel"/>
    <w:tmpl w:val="F4BC56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96E4406"/>
    <w:multiLevelType w:val="hybridMultilevel"/>
    <w:tmpl w:val="B37C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53976"/>
    <w:multiLevelType w:val="hybridMultilevel"/>
    <w:tmpl w:val="5CE2A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5"/>
  </w:num>
  <w:num w:numId="4">
    <w:abstractNumId w:val="16"/>
  </w:num>
  <w:num w:numId="5">
    <w:abstractNumId w:val="3"/>
  </w:num>
  <w:num w:numId="6">
    <w:abstractNumId w:val="8"/>
  </w:num>
  <w:num w:numId="7">
    <w:abstractNumId w:val="19"/>
  </w:num>
  <w:num w:numId="8">
    <w:abstractNumId w:val="7"/>
  </w:num>
  <w:num w:numId="9">
    <w:abstractNumId w:val="14"/>
  </w:num>
  <w:num w:numId="10">
    <w:abstractNumId w:val="6"/>
  </w:num>
  <w:num w:numId="11">
    <w:abstractNumId w:val="0"/>
  </w:num>
  <w:num w:numId="12">
    <w:abstractNumId w:val="2"/>
  </w:num>
  <w:num w:numId="13">
    <w:abstractNumId w:val="9"/>
  </w:num>
  <w:num w:numId="14">
    <w:abstractNumId w:val="11"/>
  </w:num>
  <w:num w:numId="15">
    <w:abstractNumId w:val="5"/>
  </w:num>
  <w:num w:numId="16">
    <w:abstractNumId w:val="12"/>
  </w:num>
  <w:num w:numId="17">
    <w:abstractNumId w:val="7"/>
  </w:num>
  <w:num w:numId="18">
    <w:abstractNumId w:val="18"/>
  </w:num>
  <w:num w:numId="19">
    <w:abstractNumId w:val="13"/>
  </w:num>
  <w:num w:numId="20">
    <w:abstractNumId w:val="4"/>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5CDB"/>
    <w:rsid w:val="00011489"/>
    <w:rsid w:val="000124F1"/>
    <w:rsid w:val="00025B0B"/>
    <w:rsid w:val="000263B4"/>
    <w:rsid w:val="000322FB"/>
    <w:rsid w:val="00032B4D"/>
    <w:rsid w:val="00033C74"/>
    <w:rsid w:val="000348AB"/>
    <w:rsid w:val="00036CEA"/>
    <w:rsid w:val="000515A0"/>
    <w:rsid w:val="00052136"/>
    <w:rsid w:val="00060AE9"/>
    <w:rsid w:val="00062190"/>
    <w:rsid w:val="00070718"/>
    <w:rsid w:val="00071CE6"/>
    <w:rsid w:val="00074333"/>
    <w:rsid w:val="0007544B"/>
    <w:rsid w:val="000874FA"/>
    <w:rsid w:val="00094672"/>
    <w:rsid w:val="000A426F"/>
    <w:rsid w:val="000B22AC"/>
    <w:rsid w:val="000B440E"/>
    <w:rsid w:val="000B4792"/>
    <w:rsid w:val="000B784B"/>
    <w:rsid w:val="000C07C3"/>
    <w:rsid w:val="000C7863"/>
    <w:rsid w:val="000D5978"/>
    <w:rsid w:val="000E1235"/>
    <w:rsid w:val="000E568F"/>
    <w:rsid w:val="000F46D8"/>
    <w:rsid w:val="000F5307"/>
    <w:rsid w:val="000F79AC"/>
    <w:rsid w:val="0011369A"/>
    <w:rsid w:val="001140DC"/>
    <w:rsid w:val="00114F97"/>
    <w:rsid w:val="001252F9"/>
    <w:rsid w:val="00126C6E"/>
    <w:rsid w:val="00135F22"/>
    <w:rsid w:val="001407CF"/>
    <w:rsid w:val="00140B5F"/>
    <w:rsid w:val="0014109E"/>
    <w:rsid w:val="00141904"/>
    <w:rsid w:val="00156C8C"/>
    <w:rsid w:val="0016113D"/>
    <w:rsid w:val="00164743"/>
    <w:rsid w:val="00167053"/>
    <w:rsid w:val="00167A1B"/>
    <w:rsid w:val="00167D2D"/>
    <w:rsid w:val="00175EA1"/>
    <w:rsid w:val="00177C56"/>
    <w:rsid w:val="00181AC5"/>
    <w:rsid w:val="00181E5F"/>
    <w:rsid w:val="00182F22"/>
    <w:rsid w:val="0018390B"/>
    <w:rsid w:val="0018402A"/>
    <w:rsid w:val="001A3BA9"/>
    <w:rsid w:val="001A75A1"/>
    <w:rsid w:val="001B305F"/>
    <w:rsid w:val="001C172F"/>
    <w:rsid w:val="001C5ACD"/>
    <w:rsid w:val="001D369F"/>
    <w:rsid w:val="001E3467"/>
    <w:rsid w:val="001E6A3C"/>
    <w:rsid w:val="00207FD0"/>
    <w:rsid w:val="00210D58"/>
    <w:rsid w:val="00217BAD"/>
    <w:rsid w:val="00221952"/>
    <w:rsid w:val="002257C4"/>
    <w:rsid w:val="0024578B"/>
    <w:rsid w:val="00253898"/>
    <w:rsid w:val="00255FDB"/>
    <w:rsid w:val="002606F8"/>
    <w:rsid w:val="00274B8D"/>
    <w:rsid w:val="0028756D"/>
    <w:rsid w:val="00290542"/>
    <w:rsid w:val="00291191"/>
    <w:rsid w:val="00291472"/>
    <w:rsid w:val="002A17B3"/>
    <w:rsid w:val="002A226B"/>
    <w:rsid w:val="002B08F4"/>
    <w:rsid w:val="002B685B"/>
    <w:rsid w:val="002B70D2"/>
    <w:rsid w:val="002C2F53"/>
    <w:rsid w:val="002C31FA"/>
    <w:rsid w:val="002C3BF0"/>
    <w:rsid w:val="002D0D1E"/>
    <w:rsid w:val="002D1695"/>
    <w:rsid w:val="002D35C4"/>
    <w:rsid w:val="002E5A0D"/>
    <w:rsid w:val="002F0278"/>
    <w:rsid w:val="002F7E79"/>
    <w:rsid w:val="00300E7F"/>
    <w:rsid w:val="00307D94"/>
    <w:rsid w:val="00317F37"/>
    <w:rsid w:val="003253E5"/>
    <w:rsid w:val="003323C7"/>
    <w:rsid w:val="003334CD"/>
    <w:rsid w:val="00336FE1"/>
    <w:rsid w:val="0034362B"/>
    <w:rsid w:val="00353AB1"/>
    <w:rsid w:val="003547E8"/>
    <w:rsid w:val="003645BF"/>
    <w:rsid w:val="003713E7"/>
    <w:rsid w:val="003722A3"/>
    <w:rsid w:val="00376B56"/>
    <w:rsid w:val="00383A1F"/>
    <w:rsid w:val="0038736A"/>
    <w:rsid w:val="003904F8"/>
    <w:rsid w:val="003A3173"/>
    <w:rsid w:val="003A343E"/>
    <w:rsid w:val="003C28EB"/>
    <w:rsid w:val="003C34AB"/>
    <w:rsid w:val="003C75BF"/>
    <w:rsid w:val="003D11E6"/>
    <w:rsid w:val="003E0A37"/>
    <w:rsid w:val="003E5C38"/>
    <w:rsid w:val="003F59DF"/>
    <w:rsid w:val="004141B8"/>
    <w:rsid w:val="004275EC"/>
    <w:rsid w:val="004407DF"/>
    <w:rsid w:val="004424A6"/>
    <w:rsid w:val="00445864"/>
    <w:rsid w:val="00445DEE"/>
    <w:rsid w:val="0044701A"/>
    <w:rsid w:val="0045538F"/>
    <w:rsid w:val="004676F4"/>
    <w:rsid w:val="004830B4"/>
    <w:rsid w:val="0048576D"/>
    <w:rsid w:val="00486E96"/>
    <w:rsid w:val="0049407A"/>
    <w:rsid w:val="004A6114"/>
    <w:rsid w:val="004A773A"/>
    <w:rsid w:val="004A7771"/>
    <w:rsid w:val="004B0537"/>
    <w:rsid w:val="004B0ABE"/>
    <w:rsid w:val="004B535D"/>
    <w:rsid w:val="004D1EB3"/>
    <w:rsid w:val="004D52AF"/>
    <w:rsid w:val="004E6851"/>
    <w:rsid w:val="004F608B"/>
    <w:rsid w:val="00501C96"/>
    <w:rsid w:val="005047E4"/>
    <w:rsid w:val="0051290D"/>
    <w:rsid w:val="005165D2"/>
    <w:rsid w:val="005215AF"/>
    <w:rsid w:val="00522381"/>
    <w:rsid w:val="005223B3"/>
    <w:rsid w:val="00533A5B"/>
    <w:rsid w:val="00536A7F"/>
    <w:rsid w:val="00542158"/>
    <w:rsid w:val="00543DFC"/>
    <w:rsid w:val="00545EC8"/>
    <w:rsid w:val="00546EB9"/>
    <w:rsid w:val="00564D83"/>
    <w:rsid w:val="00566380"/>
    <w:rsid w:val="00572EC6"/>
    <w:rsid w:val="0059007C"/>
    <w:rsid w:val="005978FA"/>
    <w:rsid w:val="005A59E4"/>
    <w:rsid w:val="005A767B"/>
    <w:rsid w:val="005B04DF"/>
    <w:rsid w:val="005B717A"/>
    <w:rsid w:val="005C3238"/>
    <w:rsid w:val="005D0D68"/>
    <w:rsid w:val="005D3458"/>
    <w:rsid w:val="005F001F"/>
    <w:rsid w:val="005F29CB"/>
    <w:rsid w:val="0060251B"/>
    <w:rsid w:val="00605CAA"/>
    <w:rsid w:val="006075A4"/>
    <w:rsid w:val="00610CE4"/>
    <w:rsid w:val="00611A6B"/>
    <w:rsid w:val="00617C12"/>
    <w:rsid w:val="00624AFF"/>
    <w:rsid w:val="006415D5"/>
    <w:rsid w:val="00661D88"/>
    <w:rsid w:val="0067153F"/>
    <w:rsid w:val="00675A23"/>
    <w:rsid w:val="006762EA"/>
    <w:rsid w:val="00677CCA"/>
    <w:rsid w:val="00680705"/>
    <w:rsid w:val="00683578"/>
    <w:rsid w:val="006A0A69"/>
    <w:rsid w:val="006A569F"/>
    <w:rsid w:val="006B5E9D"/>
    <w:rsid w:val="006B7A01"/>
    <w:rsid w:val="006C3CD5"/>
    <w:rsid w:val="006C7188"/>
    <w:rsid w:val="006D46DE"/>
    <w:rsid w:val="006E6137"/>
    <w:rsid w:val="006F58CF"/>
    <w:rsid w:val="00700753"/>
    <w:rsid w:val="00702D8C"/>
    <w:rsid w:val="0071202A"/>
    <w:rsid w:val="007253DA"/>
    <w:rsid w:val="00725924"/>
    <w:rsid w:val="00735BC7"/>
    <w:rsid w:val="0073740D"/>
    <w:rsid w:val="00742492"/>
    <w:rsid w:val="00754940"/>
    <w:rsid w:val="00757D6D"/>
    <w:rsid w:val="00765560"/>
    <w:rsid w:val="00781677"/>
    <w:rsid w:val="00792C11"/>
    <w:rsid w:val="007A61FC"/>
    <w:rsid w:val="007B3C9B"/>
    <w:rsid w:val="007B3F43"/>
    <w:rsid w:val="007B74FC"/>
    <w:rsid w:val="007F21E0"/>
    <w:rsid w:val="00810D49"/>
    <w:rsid w:val="00837FF6"/>
    <w:rsid w:val="008427D7"/>
    <w:rsid w:val="00842C67"/>
    <w:rsid w:val="00844F30"/>
    <w:rsid w:val="00845CD1"/>
    <w:rsid w:val="00845D30"/>
    <w:rsid w:val="00847B78"/>
    <w:rsid w:val="00854589"/>
    <w:rsid w:val="0086661C"/>
    <w:rsid w:val="008674A8"/>
    <w:rsid w:val="00871587"/>
    <w:rsid w:val="008719D8"/>
    <w:rsid w:val="00871EF1"/>
    <w:rsid w:val="00880B15"/>
    <w:rsid w:val="008860F3"/>
    <w:rsid w:val="00887B95"/>
    <w:rsid w:val="008938E6"/>
    <w:rsid w:val="0089532B"/>
    <w:rsid w:val="00895E09"/>
    <w:rsid w:val="008B45CB"/>
    <w:rsid w:val="008C045F"/>
    <w:rsid w:val="008F31F4"/>
    <w:rsid w:val="008F4A3A"/>
    <w:rsid w:val="008F6AB5"/>
    <w:rsid w:val="00901387"/>
    <w:rsid w:val="00907671"/>
    <w:rsid w:val="009220AD"/>
    <w:rsid w:val="00922F1E"/>
    <w:rsid w:val="00944D6F"/>
    <w:rsid w:val="00946FD6"/>
    <w:rsid w:val="0095149D"/>
    <w:rsid w:val="0095164B"/>
    <w:rsid w:val="009566D7"/>
    <w:rsid w:val="00966A95"/>
    <w:rsid w:val="00966E5D"/>
    <w:rsid w:val="00975348"/>
    <w:rsid w:val="0097583E"/>
    <w:rsid w:val="0098311A"/>
    <w:rsid w:val="009913B6"/>
    <w:rsid w:val="00997A8C"/>
    <w:rsid w:val="009A27B5"/>
    <w:rsid w:val="009A2F0B"/>
    <w:rsid w:val="009A773C"/>
    <w:rsid w:val="009B4DBA"/>
    <w:rsid w:val="009C0A5A"/>
    <w:rsid w:val="009C2CBE"/>
    <w:rsid w:val="009C69E6"/>
    <w:rsid w:val="009D1056"/>
    <w:rsid w:val="009E0E92"/>
    <w:rsid w:val="009E42A3"/>
    <w:rsid w:val="009E5FF0"/>
    <w:rsid w:val="009F48FE"/>
    <w:rsid w:val="00A004B5"/>
    <w:rsid w:val="00A076E2"/>
    <w:rsid w:val="00A11060"/>
    <w:rsid w:val="00A111CC"/>
    <w:rsid w:val="00A2605C"/>
    <w:rsid w:val="00A330D1"/>
    <w:rsid w:val="00A34EB9"/>
    <w:rsid w:val="00A3740D"/>
    <w:rsid w:val="00A40F5A"/>
    <w:rsid w:val="00A572E3"/>
    <w:rsid w:val="00A64F44"/>
    <w:rsid w:val="00A738FC"/>
    <w:rsid w:val="00A73FA9"/>
    <w:rsid w:val="00A74E27"/>
    <w:rsid w:val="00A83053"/>
    <w:rsid w:val="00A86A2F"/>
    <w:rsid w:val="00A90112"/>
    <w:rsid w:val="00A91933"/>
    <w:rsid w:val="00A924CE"/>
    <w:rsid w:val="00A93646"/>
    <w:rsid w:val="00A965AC"/>
    <w:rsid w:val="00A975CF"/>
    <w:rsid w:val="00A97F7C"/>
    <w:rsid w:val="00AA01E3"/>
    <w:rsid w:val="00AA6001"/>
    <w:rsid w:val="00AB00D1"/>
    <w:rsid w:val="00AB116C"/>
    <w:rsid w:val="00AC40EF"/>
    <w:rsid w:val="00AC7F4D"/>
    <w:rsid w:val="00AD0C93"/>
    <w:rsid w:val="00AD0E96"/>
    <w:rsid w:val="00AD1C3F"/>
    <w:rsid w:val="00AD3748"/>
    <w:rsid w:val="00B01F61"/>
    <w:rsid w:val="00B05622"/>
    <w:rsid w:val="00B07813"/>
    <w:rsid w:val="00B154D6"/>
    <w:rsid w:val="00B17291"/>
    <w:rsid w:val="00B211C5"/>
    <w:rsid w:val="00B21946"/>
    <w:rsid w:val="00B22B3F"/>
    <w:rsid w:val="00B2655F"/>
    <w:rsid w:val="00B328C5"/>
    <w:rsid w:val="00B33A99"/>
    <w:rsid w:val="00B40C5A"/>
    <w:rsid w:val="00B43DB6"/>
    <w:rsid w:val="00B46448"/>
    <w:rsid w:val="00B528E1"/>
    <w:rsid w:val="00B6131B"/>
    <w:rsid w:val="00B81B74"/>
    <w:rsid w:val="00B82E36"/>
    <w:rsid w:val="00B83CEA"/>
    <w:rsid w:val="00B97583"/>
    <w:rsid w:val="00BB304C"/>
    <w:rsid w:val="00BC522B"/>
    <w:rsid w:val="00BC7E33"/>
    <w:rsid w:val="00BD5727"/>
    <w:rsid w:val="00BD7FB3"/>
    <w:rsid w:val="00BE1F3C"/>
    <w:rsid w:val="00BE3F66"/>
    <w:rsid w:val="00BE45A7"/>
    <w:rsid w:val="00BE506C"/>
    <w:rsid w:val="00BF1E90"/>
    <w:rsid w:val="00BF7990"/>
    <w:rsid w:val="00BF7D99"/>
    <w:rsid w:val="00C0290D"/>
    <w:rsid w:val="00C07F99"/>
    <w:rsid w:val="00C117CA"/>
    <w:rsid w:val="00C1382E"/>
    <w:rsid w:val="00C24AD8"/>
    <w:rsid w:val="00C32C29"/>
    <w:rsid w:val="00C33770"/>
    <w:rsid w:val="00C358BD"/>
    <w:rsid w:val="00C53365"/>
    <w:rsid w:val="00C555EA"/>
    <w:rsid w:val="00C607F3"/>
    <w:rsid w:val="00C62D18"/>
    <w:rsid w:val="00C70745"/>
    <w:rsid w:val="00C819D6"/>
    <w:rsid w:val="00C842B1"/>
    <w:rsid w:val="00C87C61"/>
    <w:rsid w:val="00C91705"/>
    <w:rsid w:val="00C92B6C"/>
    <w:rsid w:val="00CB111C"/>
    <w:rsid w:val="00CB1DD9"/>
    <w:rsid w:val="00CB2E4E"/>
    <w:rsid w:val="00CB7C4D"/>
    <w:rsid w:val="00CC325F"/>
    <w:rsid w:val="00CC57B6"/>
    <w:rsid w:val="00CD5C8D"/>
    <w:rsid w:val="00CE7D4C"/>
    <w:rsid w:val="00CF683F"/>
    <w:rsid w:val="00CF7284"/>
    <w:rsid w:val="00D013AD"/>
    <w:rsid w:val="00D05673"/>
    <w:rsid w:val="00D1064D"/>
    <w:rsid w:val="00D1731B"/>
    <w:rsid w:val="00D2587C"/>
    <w:rsid w:val="00D418BF"/>
    <w:rsid w:val="00D45B2F"/>
    <w:rsid w:val="00D47BC3"/>
    <w:rsid w:val="00D50634"/>
    <w:rsid w:val="00D51E65"/>
    <w:rsid w:val="00D52E39"/>
    <w:rsid w:val="00D53C1E"/>
    <w:rsid w:val="00D54367"/>
    <w:rsid w:val="00D6058C"/>
    <w:rsid w:val="00D62292"/>
    <w:rsid w:val="00D65405"/>
    <w:rsid w:val="00D72AF7"/>
    <w:rsid w:val="00D80D0E"/>
    <w:rsid w:val="00D926DA"/>
    <w:rsid w:val="00D95D5E"/>
    <w:rsid w:val="00D97678"/>
    <w:rsid w:val="00DA17FE"/>
    <w:rsid w:val="00DA1BD6"/>
    <w:rsid w:val="00DD004E"/>
    <w:rsid w:val="00DD2431"/>
    <w:rsid w:val="00DE3EC3"/>
    <w:rsid w:val="00DE4E66"/>
    <w:rsid w:val="00DF2158"/>
    <w:rsid w:val="00DF2BE7"/>
    <w:rsid w:val="00E00E14"/>
    <w:rsid w:val="00E014FB"/>
    <w:rsid w:val="00E068D1"/>
    <w:rsid w:val="00E1004A"/>
    <w:rsid w:val="00E1239F"/>
    <w:rsid w:val="00E14FD5"/>
    <w:rsid w:val="00E24680"/>
    <w:rsid w:val="00E26FA0"/>
    <w:rsid w:val="00E300D5"/>
    <w:rsid w:val="00E30AB2"/>
    <w:rsid w:val="00E37537"/>
    <w:rsid w:val="00E409BB"/>
    <w:rsid w:val="00E60B0F"/>
    <w:rsid w:val="00E624F5"/>
    <w:rsid w:val="00E62BDF"/>
    <w:rsid w:val="00E64486"/>
    <w:rsid w:val="00E675E7"/>
    <w:rsid w:val="00E67F9C"/>
    <w:rsid w:val="00E86A7A"/>
    <w:rsid w:val="00E87DE2"/>
    <w:rsid w:val="00E90509"/>
    <w:rsid w:val="00E91D96"/>
    <w:rsid w:val="00E92717"/>
    <w:rsid w:val="00EA1275"/>
    <w:rsid w:val="00EA5C3B"/>
    <w:rsid w:val="00EE5BC9"/>
    <w:rsid w:val="00EF12AD"/>
    <w:rsid w:val="00EF446F"/>
    <w:rsid w:val="00EF7FCC"/>
    <w:rsid w:val="00F204A4"/>
    <w:rsid w:val="00F20B36"/>
    <w:rsid w:val="00F23218"/>
    <w:rsid w:val="00F31126"/>
    <w:rsid w:val="00F33174"/>
    <w:rsid w:val="00F34291"/>
    <w:rsid w:val="00F43E45"/>
    <w:rsid w:val="00F46094"/>
    <w:rsid w:val="00F46D1B"/>
    <w:rsid w:val="00F4703B"/>
    <w:rsid w:val="00F66D27"/>
    <w:rsid w:val="00F74759"/>
    <w:rsid w:val="00F92C30"/>
    <w:rsid w:val="00F93FE2"/>
    <w:rsid w:val="00F97FCF"/>
    <w:rsid w:val="00FA6B5D"/>
    <w:rsid w:val="00FB73ED"/>
    <w:rsid w:val="00FC2233"/>
    <w:rsid w:val="00FC2FA9"/>
    <w:rsid w:val="00FC4E2D"/>
    <w:rsid w:val="00FD527A"/>
    <w:rsid w:val="00FE5DDF"/>
    <w:rsid w:val="00FE6920"/>
    <w:rsid w:val="00FE7DB2"/>
    <w:rsid w:val="00FF55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8E6A"/>
  <w15:docId w15:val="{83D8CDF1-66EF-4ADE-9180-3E0712D9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A"/>
  </w:style>
  <w:style w:type="paragraph" w:styleId="Heading1">
    <w:name w:val="heading 1"/>
    <w:basedOn w:val="Normal"/>
    <w:next w:val="Normal"/>
    <w:link w:val="Heading1Char"/>
    <w:uiPriority w:val="9"/>
    <w:qFormat/>
    <w:rsid w:val="004676F4"/>
    <w:pPr>
      <w:keepNext/>
      <w:keepLines/>
      <w:spacing w:before="240" w:after="0"/>
      <w:jc w:val="center"/>
      <w:outlineLvl w:val="0"/>
    </w:pPr>
    <w:rPr>
      <w:rFonts w:ascii="Tahoma" w:eastAsiaTheme="majorEastAsia" w:hAnsi="Tahoma" w:cstheme="majorBidi"/>
      <w:b/>
      <w:color w:val="002060"/>
      <w:sz w:val="32"/>
      <w:szCs w:val="32"/>
    </w:rPr>
  </w:style>
  <w:style w:type="paragraph" w:styleId="Heading2">
    <w:name w:val="heading 2"/>
    <w:basedOn w:val="Normal"/>
    <w:next w:val="Normal"/>
    <w:link w:val="Heading2Char"/>
    <w:uiPriority w:val="9"/>
    <w:unhideWhenUsed/>
    <w:qFormat/>
    <w:rsid w:val="00AA6001"/>
    <w:pPr>
      <w:keepNext/>
      <w:keepLines/>
      <w:spacing w:before="40" w:after="0"/>
      <w:outlineLvl w:val="1"/>
    </w:pPr>
    <w:rPr>
      <w:rFonts w:asciiTheme="majorHAnsi" w:eastAsiaTheme="majorEastAsia" w:hAnsiTheme="majorHAnsi" w:cstheme="majorBidi"/>
      <w:b/>
      <w:color w:val="C00000"/>
      <w:sz w:val="26"/>
      <w:szCs w:val="26"/>
    </w:rPr>
  </w:style>
  <w:style w:type="paragraph" w:styleId="Heading3">
    <w:name w:val="heading 3"/>
    <w:basedOn w:val="Normal"/>
    <w:next w:val="Normal"/>
    <w:link w:val="Heading3Char"/>
    <w:uiPriority w:val="9"/>
    <w:unhideWhenUsed/>
    <w:qFormat/>
    <w:rsid w:val="0009467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F4"/>
    <w:rPr>
      <w:rFonts w:ascii="Tahoma" w:eastAsiaTheme="majorEastAsia" w:hAnsi="Tahoma" w:cstheme="majorBidi"/>
      <w:b/>
      <w:color w:val="002060"/>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AA6001"/>
    <w:rPr>
      <w:rFonts w:asciiTheme="majorHAnsi" w:eastAsiaTheme="majorEastAsia" w:hAnsiTheme="majorHAnsi" w:cstheme="majorBidi"/>
      <w:b/>
      <w:color w:val="C00000"/>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customStyle="1" w:styleId="Heading3Char">
    <w:name w:val="Heading 3 Char"/>
    <w:basedOn w:val="DefaultParagraphFont"/>
    <w:link w:val="Heading3"/>
    <w:uiPriority w:val="9"/>
    <w:rsid w:val="00094672"/>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0946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D95D5E"/>
    <w:rPr>
      <w:b/>
      <w:bCs/>
    </w:rPr>
  </w:style>
  <w:style w:type="paragraph" w:styleId="NoSpacing">
    <w:name w:val="No Spacing"/>
    <w:uiPriority w:val="1"/>
    <w:qFormat/>
    <w:rsid w:val="00C0290D"/>
    <w:pPr>
      <w:spacing w:after="0" w:line="240" w:lineRule="auto"/>
    </w:pPr>
  </w:style>
  <w:style w:type="character" w:customStyle="1" w:styleId="apple-converted-space">
    <w:name w:val="apple-converted-space"/>
    <w:basedOn w:val="DefaultParagraphFont"/>
    <w:rsid w:val="00B2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4607">
      <w:bodyDiv w:val="1"/>
      <w:marLeft w:val="0"/>
      <w:marRight w:val="0"/>
      <w:marTop w:val="0"/>
      <w:marBottom w:val="0"/>
      <w:divBdr>
        <w:top w:val="none" w:sz="0" w:space="0" w:color="auto"/>
        <w:left w:val="none" w:sz="0" w:space="0" w:color="auto"/>
        <w:bottom w:val="none" w:sz="0" w:space="0" w:color="auto"/>
        <w:right w:val="none" w:sz="0" w:space="0" w:color="auto"/>
      </w:divBdr>
    </w:div>
    <w:div w:id="359625593">
      <w:bodyDiv w:val="1"/>
      <w:marLeft w:val="0"/>
      <w:marRight w:val="0"/>
      <w:marTop w:val="0"/>
      <w:marBottom w:val="0"/>
      <w:divBdr>
        <w:top w:val="none" w:sz="0" w:space="0" w:color="auto"/>
        <w:left w:val="none" w:sz="0" w:space="0" w:color="auto"/>
        <w:bottom w:val="none" w:sz="0" w:space="0" w:color="auto"/>
        <w:right w:val="none" w:sz="0" w:space="0" w:color="auto"/>
      </w:divBdr>
    </w:div>
    <w:div w:id="452869706">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34595415">
      <w:bodyDiv w:val="1"/>
      <w:marLeft w:val="0"/>
      <w:marRight w:val="0"/>
      <w:marTop w:val="0"/>
      <w:marBottom w:val="0"/>
      <w:divBdr>
        <w:top w:val="none" w:sz="0" w:space="0" w:color="auto"/>
        <w:left w:val="none" w:sz="0" w:space="0" w:color="auto"/>
        <w:bottom w:val="none" w:sz="0" w:space="0" w:color="auto"/>
        <w:right w:val="none" w:sz="0" w:space="0" w:color="auto"/>
      </w:divBdr>
    </w:div>
    <w:div w:id="778453894">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810754209">
      <w:bodyDiv w:val="1"/>
      <w:marLeft w:val="0"/>
      <w:marRight w:val="0"/>
      <w:marTop w:val="0"/>
      <w:marBottom w:val="0"/>
      <w:divBdr>
        <w:top w:val="none" w:sz="0" w:space="0" w:color="auto"/>
        <w:left w:val="none" w:sz="0" w:space="0" w:color="auto"/>
        <w:bottom w:val="none" w:sz="0" w:space="0" w:color="auto"/>
        <w:right w:val="none" w:sz="0" w:space="0" w:color="auto"/>
      </w:divBdr>
    </w:div>
    <w:div w:id="1292050035">
      <w:bodyDiv w:val="1"/>
      <w:marLeft w:val="0"/>
      <w:marRight w:val="0"/>
      <w:marTop w:val="0"/>
      <w:marBottom w:val="0"/>
      <w:divBdr>
        <w:top w:val="none" w:sz="0" w:space="0" w:color="auto"/>
        <w:left w:val="none" w:sz="0" w:space="0" w:color="auto"/>
        <w:bottom w:val="none" w:sz="0" w:space="0" w:color="auto"/>
        <w:right w:val="none" w:sz="0" w:space="0" w:color="auto"/>
      </w:divBdr>
    </w:div>
    <w:div w:id="1461726229">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72085099">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788548072">
      <w:bodyDiv w:val="1"/>
      <w:marLeft w:val="0"/>
      <w:marRight w:val="0"/>
      <w:marTop w:val="0"/>
      <w:marBottom w:val="0"/>
      <w:divBdr>
        <w:top w:val="none" w:sz="0" w:space="0" w:color="auto"/>
        <w:left w:val="none" w:sz="0" w:space="0" w:color="auto"/>
        <w:bottom w:val="none" w:sz="0" w:space="0" w:color="auto"/>
        <w:right w:val="none" w:sz="0" w:space="0" w:color="auto"/>
      </w:divBdr>
    </w:div>
    <w:div w:id="1790278121">
      <w:bodyDiv w:val="1"/>
      <w:marLeft w:val="0"/>
      <w:marRight w:val="0"/>
      <w:marTop w:val="0"/>
      <w:marBottom w:val="0"/>
      <w:divBdr>
        <w:top w:val="none" w:sz="0" w:space="0" w:color="auto"/>
        <w:left w:val="none" w:sz="0" w:space="0" w:color="auto"/>
        <w:bottom w:val="none" w:sz="0" w:space="0" w:color="auto"/>
        <w:right w:val="none" w:sz="0" w:space="0" w:color="auto"/>
      </w:divBdr>
    </w:div>
    <w:div w:id="1872569373">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1921139022">
      <w:bodyDiv w:val="1"/>
      <w:marLeft w:val="0"/>
      <w:marRight w:val="0"/>
      <w:marTop w:val="0"/>
      <w:marBottom w:val="0"/>
      <w:divBdr>
        <w:top w:val="none" w:sz="0" w:space="0" w:color="auto"/>
        <w:left w:val="none" w:sz="0" w:space="0" w:color="auto"/>
        <w:bottom w:val="none" w:sz="0" w:space="0" w:color="auto"/>
        <w:right w:val="none" w:sz="0" w:space="0" w:color="auto"/>
      </w:divBdr>
    </w:div>
    <w:div w:id="1975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justice/discrimination/files/lgbti_actionlist_en.pdf" TargetMode="External"/><Relationship Id="rId18" Type="http://schemas.openxmlformats.org/officeDocument/2006/relationships/hyperlink" Target="http://www.equineteurope.org/European-Commission-and-IT-Companies-announce-Code-of-Conduct-on-illegal-online" TargetMode="External"/><Relationship Id="rId26" Type="http://schemas.openxmlformats.org/officeDocument/2006/relationships/hyperlink" Target="http://eige.europa.eu/about-eige/procurement/eige-2015-adm-33" TargetMode="External"/><Relationship Id="rId39" Type="http://schemas.openxmlformats.org/officeDocument/2006/relationships/hyperlink" Target="http://tgeu.org/6-european-transgender-council/" TargetMode="External"/><Relationship Id="rId21" Type="http://schemas.openxmlformats.org/officeDocument/2006/relationships/hyperlink" Target="http://www.equineteurope.org/A-comparative-analysis-of-non-discrimination-law-in-Europe-2015" TargetMode="External"/><Relationship Id="rId34" Type="http://schemas.openxmlformats.org/officeDocument/2006/relationships/hyperlink" Target="http://www.europarl.europa.eu/RegData/etudes/STUD/2016/556932/IPOL_STU(2016)556932_EN.pdf" TargetMode="External"/><Relationship Id="rId42" Type="http://schemas.openxmlformats.org/officeDocument/2006/relationships/hyperlink" Target="http://ec.europa.eu/social/main.jsp?langId=en&amp;catId=88&amp;eventsId=1112&amp;furtherEvents=yes" TargetMode="External"/><Relationship Id="rId47" Type="http://schemas.openxmlformats.org/officeDocument/2006/relationships/hyperlink" Target="http://www.youthforum.org/assets/2016/05/Excluding-youth-a-threat-to-our-future.pdf" TargetMode="External"/><Relationship Id="rId50" Type="http://schemas.openxmlformats.org/officeDocument/2006/relationships/hyperlink" Target="http://curia.europa.eu/jcms/upload/docs/application/pdf/2016-04/cp160042en.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commission/2014-2019/jourova/announcements/speech-commissioner-jourova-idaho-2016-ministerial-meeting-copnehagen_en" TargetMode="External"/><Relationship Id="rId17" Type="http://schemas.openxmlformats.org/officeDocument/2006/relationships/hyperlink" Target="http://www.equineteurope.org/Equinet-Training-Event-on-LGBTI" TargetMode="External"/><Relationship Id="rId25" Type="http://schemas.openxmlformats.org/officeDocument/2006/relationships/hyperlink" Target="http://www.equineteurope.org/Growing-anti-immigrant-sentiment-and-Islamophobia-were-among-key-trends-in-2015" TargetMode="External"/><Relationship Id="rId33" Type="http://schemas.openxmlformats.org/officeDocument/2006/relationships/hyperlink" Target="http://eige.europa.eu/sites/default/files/documents/MH0215093ENN_Web.pdf" TargetMode="External"/><Relationship Id="rId38" Type="http://schemas.openxmlformats.org/officeDocument/2006/relationships/hyperlink" Target="http://www.coe.int/en/web/sogi/news/-/asset_publisher/fmIWyzADpL08/content/workshop-on-legal-protection-for-same-sex-couples-in-montenegro?inheritRedirect=false&amp;redirect=http%3A%2F%2Fwww.coe.int%2Fen%2Fweb%2Fsogi%2Fnews%3Fp_p_id%3D101_INSTANCE_fmIWyzADpL08%26p_p_lifecycle%3D0%26p_p_state%3Dnormal%26p_p_mode%3Dview%26p_p_col_id%3Dcolumn-4%26p_p_col_count%3D1" TargetMode="External"/><Relationship Id="rId46" Type="http://schemas.openxmlformats.org/officeDocument/2006/relationships/hyperlink" Target="http://www.coe.int/en/web/children/home/-/asset_publisher/E7ra6N1ilJmd/content/conference-on-corporal-punishment-vienna?inheritRedirect=false&amp;redirect=http%3A%2F%2Fwww.coe.int%2Fen%2Fweb%2Fchildren%2Fhome%3Fp_p_id%3D101_INSTANCE_E7ra6N1ilJmd%26p_p_lifecycle%3D0%26p_p_state%3Dnormal%26p_p_mode%3Dview%26p_p_col_id%3Dcolumn-1%26p_p_col_pos%3D1%26p_p_col_count%3D3" TargetMode="External"/><Relationship Id="rId2" Type="http://schemas.openxmlformats.org/officeDocument/2006/relationships/numbering" Target="numbering.xml"/><Relationship Id="rId16" Type="http://schemas.openxmlformats.org/officeDocument/2006/relationships/hyperlink" Target="http://www.equineteurope.org/IMG/pdf/lgbti_perspective_english_.pdf" TargetMode="External"/><Relationship Id="rId20" Type="http://schemas.openxmlformats.org/officeDocument/2006/relationships/hyperlink" Target="http://fundamentalrightsforum.eu/" TargetMode="External"/><Relationship Id="rId29" Type="http://schemas.openxmlformats.org/officeDocument/2006/relationships/hyperlink" Target="http://www.coe.int/en/web/genderequality/tallinn-conference" TargetMode="External"/><Relationship Id="rId41" Type="http://schemas.openxmlformats.org/officeDocument/2006/relationships/hyperlink" Target="http://www.europarl.europa.eu/news/en/news-room/20160504IPR25703/Deal-on-rules-to-help-elderly-and-disabled-people-access-online-public-servic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uvm.dk/Gender-Equality/IDAHO-2016" TargetMode="External"/><Relationship Id="rId24" Type="http://schemas.openxmlformats.org/officeDocument/2006/relationships/hyperlink" Target="http://www.coe.int/t/dghl/monitoring/ecri/activities/Annual_Reports/Annual%20report%202015.pdf" TargetMode="External"/><Relationship Id="rId32" Type="http://schemas.openxmlformats.org/officeDocument/2006/relationships/hyperlink" Target="http://eige.europa.eu/sites/default/files/documents/gender_equality_and_decision_making_in_eap_countries_2015_-_report_and_annex_one_file.pdf" TargetMode="External"/><Relationship Id="rId37" Type="http://schemas.openxmlformats.org/officeDocument/2006/relationships/hyperlink" Target="http://www.ilga-europe.org/sites/default/files/joint_ngo_position_rule_of_law_and_integration_may_2016_final.pdf" TargetMode="External"/><Relationship Id="rId40" Type="http://schemas.openxmlformats.org/officeDocument/2006/relationships/hyperlink" Target="http://tgeu.org/tgeu_legal_seminar_call_for_participants/" TargetMode="External"/><Relationship Id="rId45" Type="http://schemas.openxmlformats.org/officeDocument/2006/relationships/hyperlink" Target="http://www.age-platform.eu/events-by-years/icalrepeat.detail/2016/06/16/295/-/fighting-elder-abuse-in-health-and-long-term-care-age-joint-event" TargetMode="External"/><Relationship Id="rId53" Type="http://schemas.openxmlformats.org/officeDocument/2006/relationships/hyperlink" Target="http://hudoc.echr.coe.int/eng?i=001-162706" TargetMode="External"/><Relationship Id="rId5" Type="http://schemas.openxmlformats.org/officeDocument/2006/relationships/webSettings" Target="webSettings.xml"/><Relationship Id="rId15" Type="http://schemas.openxmlformats.org/officeDocument/2006/relationships/hyperlink" Target="http://en.unesco.org/events/international-ministerial-meeting-education-sector-responses-homophobic-violence" TargetMode="External"/><Relationship Id="rId23" Type="http://schemas.openxmlformats.org/officeDocument/2006/relationships/hyperlink" Target="http://www.equineteurope.org/EU-s-fundamental-rights-resolve-was-sorely-tested-in-2015-finds-FRA-s" TargetMode="External"/><Relationship Id="rId28" Type="http://schemas.openxmlformats.org/officeDocument/2006/relationships/hyperlink" Target="http://www.forumjump.eu/" TargetMode="External"/><Relationship Id="rId36" Type="http://schemas.openxmlformats.org/officeDocument/2006/relationships/hyperlink" Target="http://www.equineteurope.org/European-Commission-targets-school-segregation-of-Roma-children-in-Hungary-with" TargetMode="External"/><Relationship Id="rId49" Type="http://schemas.openxmlformats.org/officeDocument/2006/relationships/hyperlink" Target="http://www.coe.int/en/web/children/home/-/asset_publisher/E7ra6N1ilJmd/content/new-report-on-action-needed-to-improve-living-conditions-for-migrants-and-refugees-and-to-protect-unaccompanied-children?inheritRedirect=false&amp;redirect=http%3A%2F%2Fwww.coe.int%2Fen%2Fweb%2Fchildren%2Fhome%3Fp_p_id%3D101_INSTANCE_E7ra6N1ilJmd%26p_p_lifecycle%3D0%26p_p_state%3Dnormal%26p_p_mode%3Dview%26p_p_col_id%3Dcolumn-1%26p_p_col_pos%3D1%26p_p_col_count%3D3" TargetMode="External"/><Relationship Id="rId10" Type="http://schemas.openxmlformats.org/officeDocument/2006/relationships/image" Target="media/image2.png"/><Relationship Id="rId19" Type="http://schemas.openxmlformats.org/officeDocument/2006/relationships/hyperlink" Target="http://ec.europa.eu/justice/newsroom/fundamental-rights/events/161117_en.htm" TargetMode="External"/><Relationship Id="rId31" Type="http://schemas.openxmlformats.org/officeDocument/2006/relationships/hyperlink" Target="http://www.equineteurope.org/A-comparative-analysis-of-gender-equality-law-in-Europe-2015" TargetMode="External"/><Relationship Id="rId44" Type="http://schemas.openxmlformats.org/officeDocument/2006/relationships/hyperlink" Target="http://fra.europa.eu/sites/default/files/fra_uploads/fra-opinion-03-2016-crpd.pdf" TargetMode="External"/><Relationship Id="rId52" Type="http://schemas.openxmlformats.org/officeDocument/2006/relationships/hyperlink" Target="http://www.equineteurope.org/A-ban-on-wearing-headscarves-in-companies-may-be-admissible-in-the-view-of"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ilga-europe.org/resources/rainbow-europe/2016" TargetMode="External"/><Relationship Id="rId22" Type="http://schemas.openxmlformats.org/officeDocument/2006/relationships/hyperlink" Target="http://fra.europa.eu/en/publication/2016/fundamental-rights-report-2016" TargetMode="External"/><Relationship Id="rId27" Type="http://schemas.openxmlformats.org/officeDocument/2006/relationships/hyperlink" Target="http://eige.europa.eu/news-and-events/events-calendar/event/6668" TargetMode="External"/><Relationship Id="rId30" Type="http://schemas.openxmlformats.org/officeDocument/2006/relationships/hyperlink" Target="http://ec.europa.eu/justice/gender-equality/files/your_rights/istanbul_convention_report_final.pdf" TargetMode="External"/><Relationship Id="rId35" Type="http://schemas.openxmlformats.org/officeDocument/2006/relationships/hyperlink" Target="http://www.equineteurope.org/Women-are-the-first-to-pay-the-price-of-Islamophobia-in-Europe" TargetMode="External"/><Relationship Id="rId43" Type="http://schemas.openxmlformats.org/officeDocument/2006/relationships/hyperlink" Target="http://www.easpd.eu/content/webinar-un-convention-rights-persons-disabilities" TargetMode="External"/><Relationship Id="rId48" Type="http://schemas.openxmlformats.org/officeDocument/2006/relationships/hyperlink" Target="http://fra.europa.eu/en/theme/asylum-migration-borders/overviews/focus-trafficking?_cldee=amVzc2ljYS5tYWNoYWNvdmFAZXF1aW5ldGV1cm9wZS5vcmc%3d&amp;urlid=1"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eur-lex.europa.eu/legal-content/EN/TXT/?uri=CELEX%3A62015CN015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28DC-541B-4380-904B-281ED4E5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3016</Words>
  <Characters>16594</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24</cp:revision>
  <cp:lastPrinted>2016-04-08T14:09:00Z</cp:lastPrinted>
  <dcterms:created xsi:type="dcterms:W3CDTF">2016-06-02T10:02:00Z</dcterms:created>
  <dcterms:modified xsi:type="dcterms:W3CDTF">2016-06-03T15:37:00Z</dcterms:modified>
</cp:coreProperties>
</file>