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20796" w14:textId="778023B3" w:rsidR="001407CF" w:rsidRDefault="00BE1BC2" w:rsidP="00CE7D4C">
      <w:pPr>
        <w:spacing w:line="240" w:lineRule="auto"/>
        <w:jc w:val="both"/>
        <w:rPr>
          <w:b/>
          <w:lang w:val="en-GB"/>
        </w:rPr>
      </w:pPr>
      <w:r>
        <w:rPr>
          <w:b/>
          <w:noProof/>
          <w:lang w:eastAsia="fr-BE"/>
        </w:rPr>
        <w:drawing>
          <wp:anchor distT="0" distB="0" distL="114300" distR="114300" simplePos="0" relativeHeight="251661824" behindDoc="0" locked="0" layoutInCell="1" allowOverlap="1" wp14:anchorId="4C737C6B" wp14:editId="2F2BB75B">
            <wp:simplePos x="0" y="0"/>
            <wp:positionH relativeFrom="page">
              <wp:align>right</wp:align>
            </wp:positionH>
            <wp:positionV relativeFrom="page">
              <wp:align>top</wp:align>
            </wp:positionV>
            <wp:extent cx="7553325" cy="2118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118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26731" w14:textId="369B356B" w:rsidR="00CF7284" w:rsidRPr="001407CF" w:rsidRDefault="00F31126" w:rsidP="00CE7D4C">
      <w:pPr>
        <w:spacing w:line="240" w:lineRule="auto"/>
        <w:jc w:val="both"/>
        <w:rPr>
          <w:b/>
          <w:lang w:val="en-GB"/>
        </w:rPr>
      </w:pPr>
      <w:r w:rsidRPr="001A3BA9">
        <w:rPr>
          <w:b/>
          <w:lang w:val="en-GB"/>
        </w:rPr>
        <w:t xml:space="preserve">Dear Equinet Members, </w:t>
      </w:r>
      <w:r w:rsidRPr="001A3BA9">
        <w:rPr>
          <w:b/>
          <w:lang w:val="en-GB"/>
        </w:rPr>
        <w:tab/>
      </w:r>
      <w:r w:rsidR="001407CF">
        <w:rPr>
          <w:b/>
          <w:lang w:val="en-GB"/>
        </w:rPr>
        <w:br/>
      </w:r>
      <w:r w:rsidRPr="001A3BA9">
        <w:rPr>
          <w:b/>
          <w:lang w:val="en-GB"/>
        </w:rPr>
        <w:br/>
      </w:r>
      <w:r w:rsidRPr="001A3BA9">
        <w:rPr>
          <w:lang w:val="en-GB"/>
        </w:rPr>
        <w:t xml:space="preserve">This Members’ Bulletin gathers </w:t>
      </w:r>
      <w:r w:rsidRPr="001A3BA9">
        <w:rPr>
          <w:b/>
          <w:lang w:val="en-GB"/>
        </w:rPr>
        <w:t>the latest European Union (EU) and international developments</w:t>
      </w:r>
      <w:r w:rsidRPr="001A3BA9">
        <w:rPr>
          <w:lang w:val="en-GB"/>
        </w:rPr>
        <w:t xml:space="preserve">. It aims to give you an </w:t>
      </w:r>
      <w:r w:rsidRPr="001A3BA9">
        <w:rPr>
          <w:b/>
          <w:lang w:val="en-GB"/>
        </w:rPr>
        <w:t>overview of relevant policy and legal developments</w:t>
      </w:r>
      <w:r w:rsidRPr="001A3BA9">
        <w:rPr>
          <w:lang w:val="en-GB"/>
        </w:rPr>
        <w:t xml:space="preserve">, as well as latest calls for interest, funding opportunities and upcoming events. We very much hope this members’ bulletin will be useful in your day-to-day work and we would be grateful if you could </w:t>
      </w:r>
      <w:r w:rsidRPr="001A3BA9">
        <w:rPr>
          <w:b/>
          <w:lang w:val="en-GB"/>
        </w:rPr>
        <w:t>disseminate it among your colleagues</w:t>
      </w:r>
      <w:r w:rsidRPr="001A3BA9">
        <w:rPr>
          <w:lang w:val="en-GB"/>
        </w:rPr>
        <w:t xml:space="preserve">. Your feedback is also greatly appreciated. Should you have any comments or further questions, </w:t>
      </w:r>
      <w:r w:rsidRPr="001A3BA9">
        <w:rPr>
          <w:b/>
          <w:lang w:val="en-GB"/>
        </w:rPr>
        <w:t xml:space="preserve">please do not hesitate to contact Jessica Machacova, Equinet </w:t>
      </w:r>
      <w:r w:rsidR="00FF7AFE">
        <w:rPr>
          <w:b/>
          <w:lang w:val="en-GB"/>
        </w:rPr>
        <w:t>Membership and Policy</w:t>
      </w:r>
      <w:r w:rsidRPr="001A3BA9">
        <w:rPr>
          <w:b/>
          <w:lang w:val="en-GB"/>
        </w:rPr>
        <w:t xml:space="preserve"> Officer</w:t>
      </w:r>
      <w:r w:rsidRPr="001A3BA9">
        <w:rPr>
          <w:lang w:val="en-GB"/>
        </w:rPr>
        <w:t xml:space="preserve"> (</w:t>
      </w:r>
      <w:hyperlink r:id="rId9" w:history="1">
        <w:r w:rsidRPr="001A3BA9">
          <w:rPr>
            <w:rStyle w:val="Hyperlink"/>
            <w:lang w:val="en-GB"/>
          </w:rPr>
          <w:t>Jessica.machacova@equineteurope.org</w:t>
        </w:r>
      </w:hyperlink>
      <w:r w:rsidRPr="001A3BA9">
        <w:rPr>
          <w:lang w:val="en-GB"/>
        </w:rPr>
        <w:t xml:space="preserve"> / 0032 2 212 31 80). </w:t>
      </w:r>
    </w:p>
    <w:p w14:paraId="4E1D63FE" w14:textId="2A3333B6" w:rsidR="002C3BF0" w:rsidRPr="001A3BA9" w:rsidRDefault="002C3BF0" w:rsidP="00CE7D4C">
      <w:pPr>
        <w:shd w:val="clear" w:color="auto" w:fill="D9D9D9" w:themeFill="background1" w:themeFillShade="D9"/>
        <w:spacing w:line="240" w:lineRule="auto"/>
        <w:jc w:val="center"/>
        <w:rPr>
          <w:b/>
          <w:sz w:val="28"/>
          <w:lang w:val="en-GB"/>
        </w:rPr>
      </w:pPr>
      <w:r w:rsidRPr="001A3BA9">
        <w:rPr>
          <w:b/>
          <w:sz w:val="28"/>
          <w:lang w:val="en-GB"/>
        </w:rPr>
        <w:t>Equinet Members’ Bulletin on latest EU and i</w:t>
      </w:r>
      <w:r w:rsidR="004F608B">
        <w:rPr>
          <w:b/>
          <w:sz w:val="28"/>
          <w:lang w:val="en-GB"/>
        </w:rPr>
        <w:t xml:space="preserve">nternal developments – Table of </w:t>
      </w:r>
      <w:r w:rsidRPr="001A3BA9">
        <w:rPr>
          <w:b/>
          <w:sz w:val="28"/>
          <w:lang w:val="en-GB"/>
        </w:rPr>
        <w:t>contents</w:t>
      </w:r>
    </w:p>
    <w:p w14:paraId="5891F305" w14:textId="77777777" w:rsidR="002C3BF0" w:rsidRPr="001A3BA9" w:rsidRDefault="002C3BF0" w:rsidP="00CE7D4C">
      <w:pPr>
        <w:spacing w:line="240" w:lineRule="auto"/>
        <w:jc w:val="both"/>
        <w:rPr>
          <w:b/>
          <w:i/>
          <w:color w:val="FF0000"/>
          <w:lang w:val="en-GB"/>
        </w:rPr>
      </w:pPr>
      <w:r w:rsidRPr="001A3BA9">
        <w:rPr>
          <w:b/>
          <w:i/>
          <w:color w:val="FF0000"/>
          <w:lang w:val="en-GB"/>
        </w:rPr>
        <w:t>(Ctrl + Click to follow the link)</w:t>
      </w:r>
    </w:p>
    <w:bookmarkStart w:id="0" w:name="_Toc418770742"/>
    <w:bookmarkStart w:id="1" w:name="_Ref418783893"/>
    <w:bookmarkStart w:id="2" w:name="_Ref418783894"/>
    <w:bookmarkStart w:id="3" w:name="_Ref421267367"/>
    <w:p w14:paraId="4962190B" w14:textId="3A4A6687" w:rsidR="00A93646" w:rsidRPr="00A93646" w:rsidRDefault="00A93646" w:rsidP="00B3349D">
      <w:pPr>
        <w:spacing w:line="240" w:lineRule="auto"/>
        <w:jc w:val="both"/>
        <w:rPr>
          <w:b/>
          <w:color w:val="0070C0"/>
          <w:highlight w:val="yellow"/>
          <w:u w:val="single"/>
          <w:lang w:val="en-GB"/>
        </w:rPr>
      </w:pPr>
      <w:r w:rsidRPr="00A93646">
        <w:rPr>
          <w:b/>
          <w:color w:val="0070C0"/>
          <w:highlight w:val="yellow"/>
          <w:u w:val="single"/>
          <w:lang w:val="en-GB"/>
        </w:rPr>
        <w:fldChar w:fldCharType="begin"/>
      </w:r>
      <w:r w:rsidRPr="00A93646">
        <w:rPr>
          <w:b/>
          <w:color w:val="0070C0"/>
          <w:highlight w:val="yellow"/>
          <w:u w:val="single"/>
          <w:lang w:val="en-GB"/>
        </w:rPr>
        <w:instrText xml:space="preserve"> REF _Ref455566781 \h  \* MERGEFORMAT </w:instrText>
      </w:r>
      <w:r w:rsidRPr="00A93646">
        <w:rPr>
          <w:b/>
          <w:color w:val="0070C0"/>
          <w:highlight w:val="yellow"/>
          <w:u w:val="single"/>
          <w:lang w:val="en-GB"/>
        </w:rPr>
      </w:r>
      <w:r w:rsidRPr="00A93646">
        <w:rPr>
          <w:b/>
          <w:color w:val="0070C0"/>
          <w:highlight w:val="yellow"/>
          <w:u w:val="single"/>
          <w:lang w:val="en-GB"/>
        </w:rPr>
        <w:fldChar w:fldCharType="separate"/>
      </w:r>
      <w:r w:rsidRPr="00A93646">
        <w:rPr>
          <w:b/>
          <w:color w:val="0070C0"/>
          <w:u w:val="single"/>
          <w:lang w:val="en-GB"/>
        </w:rPr>
        <w:t>Highlight</w:t>
      </w:r>
      <w:r w:rsidR="0032711E">
        <w:rPr>
          <w:b/>
          <w:color w:val="0070C0"/>
          <w:u w:val="single"/>
          <w:lang w:val="en-GB"/>
        </w:rPr>
        <w:t xml:space="preserve"> -</w:t>
      </w:r>
      <w:r w:rsidRPr="00A93646">
        <w:rPr>
          <w:b/>
          <w:color w:val="0070C0"/>
          <w:u w:val="single"/>
          <w:lang w:val="en-GB"/>
        </w:rPr>
        <w:t xml:space="preserve"> Equality Bodies United: Champions in fight for equality need stronger standards</w:t>
      </w:r>
      <w:r w:rsidRPr="00A93646">
        <w:rPr>
          <w:b/>
          <w:color w:val="0070C0"/>
          <w:highlight w:val="yellow"/>
          <w:u w:val="single"/>
          <w:lang w:val="en-GB"/>
        </w:rPr>
        <w:fldChar w:fldCharType="end"/>
      </w:r>
    </w:p>
    <w:p w14:paraId="4B3B67FE" w14:textId="67CC1A7D" w:rsidR="00A3740D" w:rsidRPr="003047FF" w:rsidRDefault="00015A82" w:rsidP="00B3349D">
      <w:pPr>
        <w:spacing w:line="240" w:lineRule="auto"/>
        <w:jc w:val="both"/>
        <w:rPr>
          <w:b/>
          <w:lang w:val="en-GB"/>
        </w:rPr>
      </w:pPr>
      <w:hyperlink w:anchor="_General_information" w:history="1">
        <w:r w:rsidR="00A3740D" w:rsidRPr="003047FF">
          <w:rPr>
            <w:rStyle w:val="Hyperlink"/>
            <w:b/>
            <w:lang w:val="en-GB"/>
          </w:rPr>
          <w:t>General Information</w:t>
        </w:r>
      </w:hyperlink>
    </w:p>
    <w:p w14:paraId="323FAF37" w14:textId="5031A38D" w:rsidR="003047FF" w:rsidRPr="003047FF" w:rsidRDefault="003047FF" w:rsidP="00CE7D4C">
      <w:pPr>
        <w:pStyle w:val="NoSpacing"/>
        <w:numPr>
          <w:ilvl w:val="0"/>
          <w:numId w:val="13"/>
        </w:numPr>
        <w:jc w:val="both"/>
        <w:rPr>
          <w:lang w:val="en-GB"/>
        </w:rPr>
      </w:pPr>
      <w:r w:rsidRPr="003047FF">
        <w:rPr>
          <w:lang w:val="en-GB"/>
        </w:rPr>
        <w:t>Policy Developments</w:t>
      </w:r>
    </w:p>
    <w:p w14:paraId="559FC724" w14:textId="633D0FE4" w:rsidR="00A3740D" w:rsidRPr="003047FF" w:rsidRDefault="00A3740D" w:rsidP="00CE7D4C">
      <w:pPr>
        <w:pStyle w:val="NoSpacing"/>
        <w:numPr>
          <w:ilvl w:val="0"/>
          <w:numId w:val="13"/>
        </w:numPr>
        <w:jc w:val="both"/>
        <w:rPr>
          <w:lang w:val="en-GB"/>
        </w:rPr>
      </w:pPr>
      <w:r w:rsidRPr="003047FF">
        <w:rPr>
          <w:lang w:val="en-GB"/>
        </w:rPr>
        <w:t>Publications, funding opportunities and events</w:t>
      </w:r>
    </w:p>
    <w:p w14:paraId="36B453B5" w14:textId="77777777" w:rsidR="004F608B" w:rsidRPr="00951688" w:rsidRDefault="004F608B" w:rsidP="00CE7D4C">
      <w:pPr>
        <w:pStyle w:val="NoSpacing"/>
        <w:ind w:left="720"/>
        <w:jc w:val="both"/>
        <w:rPr>
          <w:lang w:val="en-GB"/>
        </w:rPr>
      </w:pPr>
    </w:p>
    <w:p w14:paraId="4F037B7F" w14:textId="49168C90" w:rsidR="004D52AF" w:rsidRPr="00951688" w:rsidRDefault="00015A82" w:rsidP="00CE7D4C">
      <w:pPr>
        <w:pStyle w:val="NoSpacing"/>
        <w:jc w:val="both"/>
        <w:rPr>
          <w:b/>
          <w:lang w:val="en-GB"/>
        </w:rPr>
      </w:pPr>
      <w:hyperlink w:anchor="_Gender_Equality" w:history="1">
        <w:r w:rsidR="004D52AF" w:rsidRPr="00951688">
          <w:rPr>
            <w:rStyle w:val="Hyperlink"/>
            <w:b/>
            <w:lang w:val="en-GB"/>
          </w:rPr>
          <w:t>Gender Equality</w:t>
        </w:r>
      </w:hyperlink>
    </w:p>
    <w:p w14:paraId="5895BF0D" w14:textId="7018BB75" w:rsidR="004D52AF" w:rsidRPr="00951688" w:rsidRDefault="004D52AF" w:rsidP="00CE7D4C">
      <w:pPr>
        <w:pStyle w:val="NoSpacing"/>
        <w:numPr>
          <w:ilvl w:val="0"/>
          <w:numId w:val="14"/>
        </w:numPr>
        <w:jc w:val="both"/>
        <w:rPr>
          <w:lang w:val="en-GB"/>
        </w:rPr>
      </w:pPr>
      <w:r w:rsidRPr="00951688">
        <w:rPr>
          <w:lang w:val="en-GB"/>
        </w:rPr>
        <w:t>Publications, funding opportunities and events</w:t>
      </w:r>
    </w:p>
    <w:p w14:paraId="4B47E8EC" w14:textId="77777777" w:rsidR="004F608B" w:rsidRPr="00BE1BC2" w:rsidRDefault="004F608B" w:rsidP="00CE7D4C">
      <w:pPr>
        <w:pStyle w:val="NoSpacing"/>
        <w:ind w:left="720"/>
        <w:jc w:val="both"/>
        <w:rPr>
          <w:highlight w:val="yellow"/>
          <w:lang w:val="en-GB"/>
        </w:rPr>
      </w:pPr>
    </w:p>
    <w:p w14:paraId="0CB80D8D" w14:textId="361A3748" w:rsidR="00A3740D" w:rsidRPr="00F34D3B" w:rsidRDefault="00901387" w:rsidP="00CE7D4C">
      <w:pPr>
        <w:pStyle w:val="NoSpacing"/>
        <w:jc w:val="both"/>
        <w:rPr>
          <w:rStyle w:val="Hyperlink"/>
          <w:b/>
          <w:lang w:val="en-GB"/>
        </w:rPr>
      </w:pPr>
      <w:r w:rsidRPr="00F34D3B">
        <w:rPr>
          <w:lang w:val="en-GB"/>
        </w:rPr>
        <w:fldChar w:fldCharType="begin"/>
      </w:r>
      <w:r w:rsidRPr="00F34D3B">
        <w:rPr>
          <w:lang w:val="en-GB"/>
        </w:rPr>
        <w:instrText xml:space="preserve"> HYPERLINK  \l "_Race/ethnic_origin" </w:instrText>
      </w:r>
      <w:r w:rsidRPr="00F34D3B">
        <w:rPr>
          <w:lang w:val="en-GB"/>
        </w:rPr>
        <w:fldChar w:fldCharType="separate"/>
      </w:r>
      <w:r w:rsidR="00A3740D" w:rsidRPr="00F34D3B">
        <w:rPr>
          <w:rStyle w:val="Hyperlink"/>
          <w:b/>
          <w:lang w:val="en-GB"/>
        </w:rPr>
        <w:t>Race/ethnic origin</w:t>
      </w:r>
    </w:p>
    <w:p w14:paraId="093C44F3" w14:textId="0C4011E5" w:rsidR="00D45B2F" w:rsidRPr="00F34D3B" w:rsidRDefault="00901387" w:rsidP="00CE7D4C">
      <w:pPr>
        <w:pStyle w:val="NoSpacing"/>
        <w:numPr>
          <w:ilvl w:val="0"/>
          <w:numId w:val="15"/>
        </w:numPr>
        <w:jc w:val="both"/>
        <w:rPr>
          <w:lang w:val="en-GB"/>
        </w:rPr>
      </w:pPr>
      <w:r w:rsidRPr="00F34D3B">
        <w:rPr>
          <w:lang w:val="en-GB"/>
        </w:rPr>
        <w:fldChar w:fldCharType="end"/>
      </w:r>
      <w:r w:rsidR="00D45B2F" w:rsidRPr="00F34D3B">
        <w:rPr>
          <w:lang w:val="en-GB"/>
        </w:rPr>
        <w:t>Policy developments</w:t>
      </w:r>
    </w:p>
    <w:p w14:paraId="65EB3218" w14:textId="682DC9BC" w:rsidR="00A3740D" w:rsidRPr="00F34D3B" w:rsidRDefault="00A3740D" w:rsidP="00CE7D4C">
      <w:pPr>
        <w:pStyle w:val="NoSpacing"/>
        <w:numPr>
          <w:ilvl w:val="0"/>
          <w:numId w:val="15"/>
        </w:numPr>
        <w:jc w:val="both"/>
        <w:rPr>
          <w:lang w:val="en-GB"/>
        </w:rPr>
      </w:pPr>
      <w:r w:rsidRPr="00F34D3B">
        <w:rPr>
          <w:lang w:val="en-GB"/>
        </w:rPr>
        <w:t>Publications, funding opportunities and events</w:t>
      </w:r>
    </w:p>
    <w:p w14:paraId="2CA70C86" w14:textId="77777777" w:rsidR="004F608B" w:rsidRPr="00BE1BC2" w:rsidRDefault="004F608B" w:rsidP="00CE7D4C">
      <w:pPr>
        <w:pStyle w:val="NoSpacing"/>
        <w:jc w:val="both"/>
        <w:rPr>
          <w:highlight w:val="yellow"/>
          <w:lang w:val="en-GB"/>
        </w:rPr>
      </w:pPr>
    </w:p>
    <w:p w14:paraId="58CCC96C" w14:textId="44F80E67" w:rsidR="00A3740D" w:rsidRPr="004465CF" w:rsidRDefault="00015A82" w:rsidP="00CE7D4C">
      <w:pPr>
        <w:pStyle w:val="NoSpacing"/>
        <w:jc w:val="both"/>
        <w:rPr>
          <w:b/>
          <w:lang w:val="en-GB"/>
        </w:rPr>
      </w:pPr>
      <w:hyperlink w:anchor="_Sexual_Orientation_and" w:history="1">
        <w:r w:rsidR="00A3740D" w:rsidRPr="004465CF">
          <w:rPr>
            <w:rStyle w:val="Hyperlink"/>
            <w:b/>
            <w:lang w:val="en-GB"/>
          </w:rPr>
          <w:t>Sexual orientation and gender identity</w:t>
        </w:r>
      </w:hyperlink>
    </w:p>
    <w:p w14:paraId="10FB36FE" w14:textId="4CBADAD8" w:rsidR="00D45B2F" w:rsidRPr="004465CF" w:rsidRDefault="00D45B2F" w:rsidP="00CE7D4C">
      <w:pPr>
        <w:pStyle w:val="NoSpacing"/>
        <w:numPr>
          <w:ilvl w:val="0"/>
          <w:numId w:val="15"/>
        </w:numPr>
        <w:jc w:val="both"/>
        <w:rPr>
          <w:lang w:val="en-GB"/>
        </w:rPr>
      </w:pPr>
      <w:r w:rsidRPr="004465CF">
        <w:rPr>
          <w:lang w:val="en-GB"/>
        </w:rPr>
        <w:t>Policy developments</w:t>
      </w:r>
    </w:p>
    <w:p w14:paraId="4358144B" w14:textId="7C38E915" w:rsidR="00A3740D" w:rsidRPr="004465CF" w:rsidRDefault="00A3740D" w:rsidP="00CE7D4C">
      <w:pPr>
        <w:pStyle w:val="NoSpacing"/>
        <w:numPr>
          <w:ilvl w:val="0"/>
          <w:numId w:val="15"/>
        </w:numPr>
        <w:jc w:val="both"/>
        <w:rPr>
          <w:lang w:val="en-GB"/>
        </w:rPr>
      </w:pPr>
      <w:r w:rsidRPr="004465CF">
        <w:rPr>
          <w:lang w:val="en-GB"/>
        </w:rPr>
        <w:t>Publications, funding opportunities and events</w:t>
      </w:r>
    </w:p>
    <w:p w14:paraId="44E71F15" w14:textId="77777777" w:rsidR="004F608B" w:rsidRPr="00BE1BC2" w:rsidRDefault="004F608B" w:rsidP="009754E9">
      <w:pPr>
        <w:pStyle w:val="NoSpacing"/>
        <w:jc w:val="both"/>
        <w:rPr>
          <w:highlight w:val="yellow"/>
          <w:lang w:val="en-GB"/>
        </w:rPr>
      </w:pPr>
    </w:p>
    <w:p w14:paraId="673096D6" w14:textId="12B9097F" w:rsidR="00A3740D" w:rsidRPr="004465CF" w:rsidRDefault="00015A82" w:rsidP="00CE7D4C">
      <w:pPr>
        <w:pStyle w:val="NoSpacing"/>
        <w:jc w:val="both"/>
        <w:rPr>
          <w:b/>
          <w:lang w:val="en-GB"/>
        </w:rPr>
      </w:pPr>
      <w:hyperlink w:anchor="_Age" w:history="1">
        <w:r w:rsidR="00A3740D" w:rsidRPr="004465CF">
          <w:rPr>
            <w:rStyle w:val="Hyperlink"/>
            <w:b/>
            <w:lang w:val="en-GB"/>
          </w:rPr>
          <w:t>Age</w:t>
        </w:r>
      </w:hyperlink>
    </w:p>
    <w:p w14:paraId="23DCBA2A" w14:textId="758E57F4" w:rsidR="00A3740D" w:rsidRPr="004465CF" w:rsidRDefault="00A3740D" w:rsidP="00CE7D4C">
      <w:pPr>
        <w:pStyle w:val="NoSpacing"/>
        <w:numPr>
          <w:ilvl w:val="0"/>
          <w:numId w:val="15"/>
        </w:numPr>
        <w:jc w:val="both"/>
        <w:rPr>
          <w:lang w:val="en-GB"/>
        </w:rPr>
      </w:pPr>
      <w:r w:rsidRPr="004465CF">
        <w:rPr>
          <w:lang w:val="en-GB"/>
        </w:rPr>
        <w:t>Publications, funding opportunities and events</w:t>
      </w:r>
    </w:p>
    <w:p w14:paraId="37CD2CD3" w14:textId="77777777" w:rsidR="004F608B" w:rsidRPr="004465CF" w:rsidRDefault="004F608B" w:rsidP="00CE7D4C">
      <w:pPr>
        <w:pStyle w:val="NoSpacing"/>
        <w:ind w:left="720"/>
        <w:jc w:val="both"/>
        <w:rPr>
          <w:lang w:val="en-GB"/>
        </w:rPr>
      </w:pPr>
    </w:p>
    <w:p w14:paraId="3D48A1D5" w14:textId="6D7FE883" w:rsidR="00A3740D" w:rsidRPr="004465CF" w:rsidRDefault="00015A82" w:rsidP="00CE7D4C">
      <w:pPr>
        <w:pStyle w:val="NoSpacing"/>
        <w:jc w:val="both"/>
        <w:rPr>
          <w:b/>
          <w:lang w:val="en-GB"/>
        </w:rPr>
      </w:pPr>
      <w:hyperlink w:anchor="_Other" w:history="1">
        <w:r w:rsidR="00A3740D" w:rsidRPr="004465CF">
          <w:rPr>
            <w:rStyle w:val="Hyperlink"/>
            <w:b/>
            <w:lang w:val="en-GB"/>
          </w:rPr>
          <w:t>Other</w:t>
        </w:r>
      </w:hyperlink>
      <w:r w:rsidR="005F29CB" w:rsidRPr="004465CF">
        <w:rPr>
          <w:rStyle w:val="Hyperlink"/>
          <w:b/>
          <w:lang w:val="en-GB"/>
        </w:rPr>
        <w:t xml:space="preserve"> grounds of discrimination</w:t>
      </w:r>
    </w:p>
    <w:p w14:paraId="05F89827" w14:textId="2CF1B269" w:rsidR="009754E9" w:rsidRDefault="009754E9" w:rsidP="00CE7D4C">
      <w:pPr>
        <w:pStyle w:val="NoSpacing"/>
        <w:numPr>
          <w:ilvl w:val="0"/>
          <w:numId w:val="15"/>
        </w:numPr>
        <w:jc w:val="both"/>
        <w:rPr>
          <w:lang w:val="en-GB"/>
        </w:rPr>
      </w:pPr>
      <w:r>
        <w:rPr>
          <w:lang w:val="en-GB"/>
        </w:rPr>
        <w:t>Policy Developments</w:t>
      </w:r>
    </w:p>
    <w:p w14:paraId="26753063" w14:textId="4FDD1D09" w:rsidR="00A3740D" w:rsidRPr="004465CF" w:rsidRDefault="00A3740D" w:rsidP="00CE7D4C">
      <w:pPr>
        <w:pStyle w:val="NoSpacing"/>
        <w:numPr>
          <w:ilvl w:val="0"/>
          <w:numId w:val="15"/>
        </w:numPr>
        <w:jc w:val="both"/>
        <w:rPr>
          <w:lang w:val="en-GB"/>
        </w:rPr>
      </w:pPr>
      <w:r w:rsidRPr="004465CF">
        <w:rPr>
          <w:lang w:val="en-GB"/>
        </w:rPr>
        <w:t>Publications, funding opportunities and events</w:t>
      </w:r>
    </w:p>
    <w:p w14:paraId="2735E75D" w14:textId="77777777" w:rsidR="004F608B" w:rsidRPr="00BE1BC2" w:rsidRDefault="004F608B" w:rsidP="00CE7D4C">
      <w:pPr>
        <w:pStyle w:val="NoSpacing"/>
        <w:ind w:left="720"/>
        <w:jc w:val="both"/>
        <w:rPr>
          <w:highlight w:val="yellow"/>
          <w:lang w:val="en-GB"/>
        </w:rPr>
      </w:pPr>
    </w:p>
    <w:p w14:paraId="141A70DE" w14:textId="4B91F2BB" w:rsidR="00A3740D" w:rsidRPr="009754E9" w:rsidRDefault="00015A82" w:rsidP="00CE7D4C">
      <w:pPr>
        <w:pStyle w:val="NoSpacing"/>
        <w:jc w:val="both"/>
        <w:rPr>
          <w:b/>
          <w:lang w:val="en-GB"/>
        </w:rPr>
      </w:pPr>
      <w:hyperlink w:anchor="_Recent_case-law" w:history="1">
        <w:r w:rsidR="00A3740D" w:rsidRPr="009754E9">
          <w:rPr>
            <w:rStyle w:val="Hyperlink"/>
            <w:b/>
            <w:lang w:val="en-GB"/>
          </w:rPr>
          <w:t>Recent case-law</w:t>
        </w:r>
      </w:hyperlink>
    </w:p>
    <w:p w14:paraId="57F52527" w14:textId="6E4D22DD" w:rsidR="00B2655F" w:rsidRDefault="00A3740D" w:rsidP="00CE7D4C">
      <w:pPr>
        <w:pStyle w:val="NoSpacing"/>
        <w:numPr>
          <w:ilvl w:val="0"/>
          <w:numId w:val="15"/>
        </w:numPr>
        <w:jc w:val="both"/>
        <w:rPr>
          <w:lang w:val="en-US"/>
        </w:rPr>
      </w:pPr>
      <w:r w:rsidRPr="004465CF">
        <w:rPr>
          <w:lang w:val="en-US"/>
        </w:rPr>
        <w:t>European Court of Human Rights (ECtHR)</w:t>
      </w:r>
      <w:bookmarkStart w:id="4" w:name="_Highlight:_International_Women’s"/>
      <w:bookmarkStart w:id="5" w:name="_Ref445397616"/>
      <w:bookmarkEnd w:id="4"/>
    </w:p>
    <w:p w14:paraId="52A91758" w14:textId="77777777" w:rsidR="0032711E" w:rsidRPr="004465CF" w:rsidRDefault="0032711E" w:rsidP="00015A82">
      <w:pPr>
        <w:pStyle w:val="NoSpacing"/>
        <w:ind w:left="720"/>
        <w:jc w:val="both"/>
        <w:rPr>
          <w:lang w:val="en-US"/>
        </w:rPr>
      </w:pPr>
    </w:p>
    <w:p w14:paraId="3B48D390" w14:textId="38013C97" w:rsidR="001140DC" w:rsidRPr="00EE5BC9" w:rsidRDefault="00922F1E" w:rsidP="00CE7D4C">
      <w:pPr>
        <w:pStyle w:val="Heading1"/>
        <w:pBdr>
          <w:top w:val="dotted" w:sz="4" w:space="1" w:color="auto"/>
          <w:bottom w:val="dotted" w:sz="4" w:space="1" w:color="auto"/>
        </w:pBdr>
        <w:spacing w:line="240" w:lineRule="auto"/>
        <w:rPr>
          <w:lang w:val="en-GB"/>
        </w:rPr>
      </w:pPr>
      <w:bookmarkStart w:id="6" w:name="_Ref450122395"/>
      <w:bookmarkStart w:id="7" w:name="_Ref455566781"/>
      <w:r w:rsidRPr="00EE5BC9">
        <w:rPr>
          <w:lang w:val="en-GB"/>
        </w:rPr>
        <w:t>Highlight</w:t>
      </w:r>
      <w:bookmarkEnd w:id="0"/>
      <w:bookmarkEnd w:id="1"/>
      <w:bookmarkEnd w:id="2"/>
      <w:bookmarkEnd w:id="3"/>
      <w:r w:rsidR="00F93FE2" w:rsidRPr="00EE5BC9">
        <w:rPr>
          <w:lang w:val="en-GB"/>
        </w:rPr>
        <w:t>:</w:t>
      </w:r>
      <w:r w:rsidR="0095164B" w:rsidRPr="00EE5BC9">
        <w:rPr>
          <w:lang w:val="en-GB"/>
        </w:rPr>
        <w:t xml:space="preserve"> </w:t>
      </w:r>
      <w:bookmarkEnd w:id="5"/>
      <w:bookmarkEnd w:id="6"/>
      <w:r w:rsidR="00F01BD8">
        <w:rPr>
          <w:lang w:val="en-GB"/>
        </w:rPr>
        <w:t>Equality Bodies United: Champions in fight for equality need stronger standards</w:t>
      </w:r>
      <w:bookmarkEnd w:id="7"/>
    </w:p>
    <w:p w14:paraId="42C9AE41" w14:textId="02023F6C" w:rsidR="00F43E45" w:rsidRDefault="00F43E45" w:rsidP="00CE7D4C">
      <w:pPr>
        <w:spacing w:line="240" w:lineRule="auto"/>
        <w:rPr>
          <w:noProof/>
          <w:lang w:val="en-GB" w:eastAsia="en-GB"/>
        </w:rPr>
      </w:pPr>
    </w:p>
    <w:p w14:paraId="7D744C39" w14:textId="6FE658D4" w:rsidR="00F01BD8" w:rsidRPr="00FF7AFE" w:rsidRDefault="00F01BD8" w:rsidP="00FF7AFE">
      <w:pPr>
        <w:spacing w:line="240" w:lineRule="auto"/>
        <w:jc w:val="both"/>
        <w:rPr>
          <w:b/>
          <w:lang w:val="en-GB"/>
        </w:rPr>
      </w:pPr>
      <w:r w:rsidRPr="00F01BD8">
        <w:rPr>
          <w:b/>
          <w:lang w:val="en-GB"/>
        </w:rPr>
        <w:lastRenderedPageBreak/>
        <w:t xml:space="preserve">On 15th June 2016, Equinet and national equality bodies launched </w:t>
      </w:r>
      <w:hyperlink r:id="rId10" w:history="1">
        <w:r w:rsidRPr="00FF7AFE">
          <w:rPr>
            <w:rStyle w:val="Hyperlink"/>
            <w:b/>
            <w:lang w:val="en-GB"/>
          </w:rPr>
          <w:t>a call for European standards</w:t>
        </w:r>
      </w:hyperlink>
      <w:r w:rsidRPr="00F01BD8">
        <w:rPr>
          <w:b/>
          <w:lang w:val="en-GB"/>
        </w:rPr>
        <w:t xml:space="preserve"> on the independence, effectiveness, functions and powers of equality bodies.</w:t>
      </w:r>
      <w:r>
        <w:rPr>
          <w:b/>
          <w:lang w:val="en-GB"/>
        </w:rPr>
        <w:t xml:space="preserve"> The following compilation outline</w:t>
      </w:r>
      <w:r w:rsidR="00FF7AFE">
        <w:rPr>
          <w:b/>
          <w:lang w:val="en-GB"/>
        </w:rPr>
        <w:t xml:space="preserve"> recent references to the role of equality bodies made by EU institutions and international organisations. </w:t>
      </w:r>
    </w:p>
    <w:p w14:paraId="746662CF" w14:textId="3BF160B0" w:rsidR="002606F8" w:rsidRPr="00000325" w:rsidRDefault="00D74321" w:rsidP="00000325">
      <w:pPr>
        <w:pStyle w:val="ListParagraph"/>
        <w:numPr>
          <w:ilvl w:val="0"/>
          <w:numId w:val="19"/>
        </w:numPr>
        <w:spacing w:line="240" w:lineRule="auto"/>
        <w:rPr>
          <w:b/>
          <w:color w:val="C00000"/>
          <w:lang w:val="en-GB"/>
        </w:rPr>
      </w:pPr>
      <w:r>
        <w:rPr>
          <w:b/>
          <w:color w:val="C00000"/>
          <w:lang w:val="en-GB"/>
        </w:rPr>
        <w:t xml:space="preserve">FRA </w:t>
      </w:r>
      <w:r w:rsidR="00E26528">
        <w:rPr>
          <w:b/>
          <w:color w:val="C00000"/>
          <w:lang w:val="en-GB"/>
        </w:rPr>
        <w:t>Fundamental Rights</w:t>
      </w:r>
      <w:r w:rsidR="00871EF1">
        <w:rPr>
          <w:b/>
          <w:color w:val="C00000"/>
          <w:lang w:val="en-GB"/>
        </w:rPr>
        <w:t xml:space="preserve"> Forum 2016</w:t>
      </w:r>
      <w:r>
        <w:rPr>
          <w:b/>
          <w:color w:val="C00000"/>
          <w:lang w:val="en-GB"/>
        </w:rPr>
        <w:t>: Evelyn Collins highlight</w:t>
      </w:r>
      <w:r w:rsidR="0032711E">
        <w:rPr>
          <w:b/>
          <w:color w:val="C00000"/>
          <w:lang w:val="en-GB"/>
        </w:rPr>
        <w:t>s</w:t>
      </w:r>
      <w:r>
        <w:rPr>
          <w:b/>
          <w:color w:val="C00000"/>
          <w:lang w:val="en-GB"/>
        </w:rPr>
        <w:t xml:space="preserve"> the crucial role of equality bodies to address social exclusion and combat discrimination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0325" w:rsidRPr="00015A82" w14:paraId="56B53AED" w14:textId="77777777" w:rsidTr="00000325">
        <w:tc>
          <w:tcPr>
            <w:tcW w:w="9736" w:type="dxa"/>
          </w:tcPr>
          <w:p w14:paraId="0383147A" w14:textId="6789B54D" w:rsidR="00000325" w:rsidRPr="00000325" w:rsidRDefault="00000325" w:rsidP="00CE7D4C">
            <w:pPr>
              <w:jc w:val="both"/>
              <w:rPr>
                <w:lang w:val="en-GB"/>
              </w:rPr>
            </w:pPr>
            <w:r w:rsidRPr="00000325">
              <w:rPr>
                <w:noProof/>
                <w:lang w:eastAsia="fr-BE"/>
              </w:rPr>
              <w:drawing>
                <wp:anchor distT="0" distB="0" distL="114300" distR="114300" simplePos="0" relativeHeight="251658752" behindDoc="0" locked="0" layoutInCell="1" allowOverlap="1" wp14:anchorId="2E2E521E" wp14:editId="3A075F3F">
                  <wp:simplePos x="0" y="0"/>
                  <wp:positionH relativeFrom="column">
                    <wp:posOffset>3554730</wp:posOffset>
                  </wp:positionH>
                  <wp:positionV relativeFrom="paragraph">
                    <wp:posOffset>10795</wp:posOffset>
                  </wp:positionV>
                  <wp:extent cx="2549525" cy="974725"/>
                  <wp:effectExtent l="0" t="0" r="317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0903-Banner-IDAHO-FORUM-2016.png"/>
                          <pic:cNvPicPr/>
                        </pic:nvPicPr>
                        <pic:blipFill>
                          <a:blip r:embed="rId11">
                            <a:extLst>
                              <a:ext uri="{28A0092B-C50C-407E-A947-70E740481C1C}">
                                <a14:useLocalDpi xmlns:a14="http://schemas.microsoft.com/office/drawing/2010/main" val="0"/>
                              </a:ext>
                            </a:extLst>
                          </a:blip>
                          <a:stretch>
                            <a:fillRect/>
                          </a:stretch>
                        </pic:blipFill>
                        <pic:spPr>
                          <a:xfrm>
                            <a:off x="0" y="0"/>
                            <a:ext cx="2549525" cy="974725"/>
                          </a:xfrm>
                          <a:prstGeom prst="rect">
                            <a:avLst/>
                          </a:prstGeom>
                        </pic:spPr>
                      </pic:pic>
                    </a:graphicData>
                  </a:graphic>
                  <wp14:sizeRelH relativeFrom="margin">
                    <wp14:pctWidth>0</wp14:pctWidth>
                  </wp14:sizeRelH>
                </wp:anchor>
              </w:drawing>
            </w:r>
            <w:r w:rsidRPr="00000325">
              <w:rPr>
                <w:lang w:val="en-GB"/>
              </w:rPr>
              <w:t xml:space="preserve">The European Union Fundamental Rights Agency (FRA) hosted the </w:t>
            </w:r>
            <w:hyperlink r:id="rId12" w:history="1">
              <w:r w:rsidRPr="00000325">
                <w:rPr>
                  <w:rStyle w:val="Hyperlink"/>
                  <w:lang w:val="en-GB"/>
                </w:rPr>
                <w:t>Fundamental Rights Forum</w:t>
              </w:r>
            </w:hyperlink>
            <w:r w:rsidRPr="00000325">
              <w:rPr>
                <w:lang w:val="en-GB"/>
              </w:rPr>
              <w:t xml:space="preserve"> in Vienna, 20-23 June. Under the motto "Rights, Respect, Reality: the Europe of Values in Today’s World", the Forum brought together practitioners, grassroots workers, thinkers and high-level decision makers to reflect on existing challenges and good practices as well as future challenges and opportunities.</w:t>
            </w:r>
          </w:p>
        </w:tc>
      </w:tr>
    </w:tbl>
    <w:p w14:paraId="19417725" w14:textId="77777777" w:rsidR="00000325" w:rsidRDefault="00000325" w:rsidP="00BB304C">
      <w:pPr>
        <w:spacing w:line="240" w:lineRule="auto"/>
        <w:jc w:val="both"/>
        <w:rPr>
          <w:lang w:val="en-GB"/>
        </w:rPr>
      </w:pPr>
    </w:p>
    <w:p w14:paraId="6FEF65F9" w14:textId="149E6823" w:rsidR="00BB304C" w:rsidRDefault="00E26528" w:rsidP="00BB304C">
      <w:pPr>
        <w:spacing w:line="240" w:lineRule="auto"/>
        <w:jc w:val="both"/>
        <w:rPr>
          <w:lang w:val="en-GB"/>
        </w:rPr>
      </w:pPr>
      <w:r w:rsidRPr="00E26528">
        <w:rPr>
          <w:lang w:val="en-GB"/>
        </w:rPr>
        <w:t>On 22 June, Evelyn Collins, Chair of Equinet and Chief Executive of the Equality Commission for Northern Ireland, spoke in Workshop 4 (Social inclusion in the context of the Europe 2020 strategy: what is missing?) on ’Making equality, diversity and non-discrimination central to the ac</w:t>
      </w:r>
      <w:r>
        <w:rPr>
          <w:lang w:val="en-GB"/>
        </w:rPr>
        <w:t xml:space="preserve">hievement of social inclusion’. </w:t>
      </w:r>
      <w:r w:rsidRPr="00E26528">
        <w:rPr>
          <w:lang w:val="en-GB"/>
        </w:rPr>
        <w:t xml:space="preserve">She underlined the important role and work of equality bodies to address social exclusion in their work to promote equality and diversity and combat discrimination, and the need for support for the work of equality bodies, including through the introduction of standards. </w:t>
      </w:r>
      <w:hyperlink r:id="rId13" w:history="1">
        <w:r w:rsidRPr="00015A82">
          <w:rPr>
            <w:rStyle w:val="Hyperlink"/>
            <w:lang w:val="en-US"/>
          </w:rPr>
          <w:t xml:space="preserve">Read </w:t>
        </w:r>
        <w:r w:rsidR="00D74321" w:rsidRPr="00015A82">
          <w:rPr>
            <w:rStyle w:val="Hyperlink"/>
            <w:lang w:val="en-US"/>
          </w:rPr>
          <w:t xml:space="preserve">the </w:t>
        </w:r>
        <w:r w:rsidRPr="00015A82">
          <w:rPr>
            <w:rStyle w:val="Hyperlink"/>
            <w:lang w:val="en-US"/>
          </w:rPr>
          <w:t>full speech here</w:t>
        </w:r>
      </w:hyperlink>
      <w:r>
        <w:rPr>
          <w:lang w:val="en-GB"/>
        </w:rPr>
        <w:t>.</w:t>
      </w:r>
    </w:p>
    <w:p w14:paraId="2FA9C883" w14:textId="2985A146" w:rsidR="004330D6" w:rsidRDefault="004330D6" w:rsidP="00BB304C">
      <w:pPr>
        <w:spacing w:line="240" w:lineRule="auto"/>
        <w:jc w:val="both"/>
        <w:rPr>
          <w:lang w:val="en-GB"/>
        </w:rPr>
      </w:pPr>
      <w:r>
        <w:rPr>
          <w:lang w:val="en-GB"/>
        </w:rPr>
        <w:t xml:space="preserve">Read also the Chair’s statement which was published </w:t>
      </w:r>
      <w:hyperlink r:id="rId14" w:history="1">
        <w:r w:rsidRPr="004330D6">
          <w:rPr>
            <w:rStyle w:val="Hyperlink"/>
            <w:lang w:val="en-GB"/>
          </w:rPr>
          <w:t>following the meeting</w:t>
        </w:r>
      </w:hyperlink>
      <w:r>
        <w:rPr>
          <w:lang w:val="en-GB"/>
        </w:rPr>
        <w:t xml:space="preserve">. </w:t>
      </w:r>
    </w:p>
    <w:p w14:paraId="0A491189" w14:textId="2D6891B8" w:rsidR="00D74321" w:rsidRDefault="00D74321" w:rsidP="00000325">
      <w:pPr>
        <w:pStyle w:val="ListParagraph"/>
        <w:numPr>
          <w:ilvl w:val="0"/>
          <w:numId w:val="19"/>
        </w:numPr>
        <w:spacing w:line="240" w:lineRule="auto"/>
        <w:jc w:val="both"/>
        <w:rPr>
          <w:b/>
          <w:color w:val="C00000"/>
          <w:lang w:val="en-GB"/>
        </w:rPr>
      </w:pPr>
      <w:r>
        <w:rPr>
          <w:b/>
          <w:color w:val="C00000"/>
          <w:lang w:val="en-GB"/>
        </w:rPr>
        <w:t xml:space="preserve">Council of the EU Conclusions on Gender and LGBTI </w:t>
      </w:r>
      <w:r w:rsidR="00000325">
        <w:rPr>
          <w:b/>
          <w:color w:val="C00000"/>
          <w:lang w:val="en-GB"/>
        </w:rPr>
        <w:t xml:space="preserve">equality </w:t>
      </w:r>
      <w:r>
        <w:rPr>
          <w:b/>
          <w:color w:val="C00000"/>
          <w:lang w:val="en-GB"/>
        </w:rPr>
        <w:t>call on the European Commission and EU Member States to reinforce equality bodies</w:t>
      </w:r>
    </w:p>
    <w:p w14:paraId="2A612F97" w14:textId="2A8BB85C" w:rsidR="00D74321" w:rsidRPr="00D74321" w:rsidRDefault="00D74321" w:rsidP="00D74321">
      <w:pPr>
        <w:spacing w:line="240" w:lineRule="auto"/>
        <w:jc w:val="both"/>
        <w:rPr>
          <w:lang w:val="en-GB"/>
        </w:rPr>
      </w:pPr>
      <w:r w:rsidRPr="00D74321">
        <w:rPr>
          <w:lang w:val="en-GB"/>
        </w:rPr>
        <w:t>As part of the Council conclusions adopted on 16 June 2016, a reinforcement and continued support of the action of national institutional mechanisms for the advancement of women and gender equality</w:t>
      </w:r>
      <w:r w:rsidR="00000325">
        <w:rPr>
          <w:lang w:val="en-GB"/>
        </w:rPr>
        <w:t xml:space="preserve"> and non-discrimination of LGBTI people</w:t>
      </w:r>
      <w:r w:rsidRPr="00D74321">
        <w:rPr>
          <w:lang w:val="en-GB"/>
        </w:rPr>
        <w:t xml:space="preserve"> was recommended, </w:t>
      </w:r>
      <w:r w:rsidRPr="00D74321">
        <w:rPr>
          <w:b/>
          <w:lang w:val="en-GB"/>
        </w:rPr>
        <w:t>including equality bodies</w:t>
      </w:r>
      <w:r w:rsidRPr="00D74321">
        <w:rPr>
          <w:lang w:val="en-GB"/>
        </w:rPr>
        <w:t xml:space="preserve">, </w:t>
      </w:r>
      <w:r w:rsidRPr="00D74321">
        <w:rPr>
          <w:b/>
          <w:lang w:val="en-GB"/>
        </w:rPr>
        <w:t>as well as that of the European Network of Equality Bodies (Equinet)</w:t>
      </w:r>
      <w:r w:rsidRPr="00D74321">
        <w:rPr>
          <w:lang w:val="en-GB"/>
        </w:rPr>
        <w:t>.</w:t>
      </w:r>
    </w:p>
    <w:p w14:paraId="1C0DCEE0" w14:textId="2136DB9F" w:rsidR="00D74321" w:rsidRDefault="00000325" w:rsidP="00BB304C">
      <w:pPr>
        <w:spacing w:line="240" w:lineRule="auto"/>
        <w:jc w:val="both"/>
        <w:rPr>
          <w:lang w:val="en-GB"/>
        </w:rPr>
      </w:pPr>
      <w:r>
        <w:rPr>
          <w:lang w:val="en-GB"/>
        </w:rPr>
        <w:t xml:space="preserve">Read the Council conclusions on gender equality </w:t>
      </w:r>
      <w:hyperlink r:id="rId15" w:history="1">
        <w:r w:rsidRPr="00000325">
          <w:rPr>
            <w:rStyle w:val="Hyperlink"/>
            <w:lang w:val="en-GB"/>
          </w:rPr>
          <w:t>here</w:t>
        </w:r>
      </w:hyperlink>
      <w:r>
        <w:rPr>
          <w:lang w:val="en-GB"/>
        </w:rPr>
        <w:t xml:space="preserve">. </w:t>
      </w:r>
      <w:r>
        <w:rPr>
          <w:lang w:val="en-GB"/>
        </w:rPr>
        <w:tab/>
      </w:r>
      <w:r>
        <w:rPr>
          <w:lang w:val="en-GB"/>
        </w:rPr>
        <w:br/>
        <w:t xml:space="preserve">Read the Council conclusions on LGBTI equality </w:t>
      </w:r>
      <w:hyperlink r:id="rId16" w:history="1">
        <w:r w:rsidRPr="00000325">
          <w:rPr>
            <w:rStyle w:val="Hyperlink"/>
            <w:lang w:val="en-GB"/>
          </w:rPr>
          <w:t>here</w:t>
        </w:r>
      </w:hyperlink>
      <w:r>
        <w:rPr>
          <w:lang w:val="en-GB"/>
        </w:rPr>
        <w:t xml:space="preserve">. </w:t>
      </w:r>
    </w:p>
    <w:p w14:paraId="5094261F" w14:textId="6565ECAE" w:rsidR="00000325" w:rsidRPr="00000325" w:rsidRDefault="00000325" w:rsidP="00000325">
      <w:pPr>
        <w:pStyle w:val="ListParagraph"/>
        <w:numPr>
          <w:ilvl w:val="0"/>
          <w:numId w:val="19"/>
        </w:numPr>
        <w:spacing w:line="240" w:lineRule="auto"/>
        <w:jc w:val="both"/>
        <w:rPr>
          <w:b/>
          <w:color w:val="C00000"/>
          <w:lang w:val="en-GB"/>
        </w:rPr>
      </w:pPr>
      <w:r w:rsidRPr="00000325">
        <w:rPr>
          <w:b/>
          <w:color w:val="C00000"/>
          <w:lang w:val="en-GB"/>
        </w:rPr>
        <w:t>Council of Europe –  Report by the Secretary General - “State of Democracy, Human Rights and the Rule of Law – A security imperative for Europe“</w:t>
      </w:r>
    </w:p>
    <w:p w14:paraId="72EAB1C0" w14:textId="33E87D04" w:rsidR="00FF7AFE" w:rsidRDefault="00000325" w:rsidP="00000325">
      <w:pPr>
        <w:spacing w:line="240" w:lineRule="auto"/>
        <w:jc w:val="both"/>
        <w:rPr>
          <w:lang w:val="en-GB"/>
        </w:rPr>
      </w:pPr>
      <w:r>
        <w:rPr>
          <w:lang w:val="en-GB"/>
        </w:rPr>
        <w:t xml:space="preserve">The </w:t>
      </w:r>
      <w:hyperlink r:id="rId17" w:history="1">
        <w:r w:rsidRPr="00831114">
          <w:rPr>
            <w:rStyle w:val="Hyperlink"/>
            <w:lang w:val="en-GB"/>
          </w:rPr>
          <w:t>third annual report of the Secretary General on the state of democracy, human rights and the rule of law in Europe</w:t>
        </w:r>
      </w:hyperlink>
      <w:r>
        <w:rPr>
          <w:lang w:val="en-GB"/>
        </w:rPr>
        <w:t xml:space="preserve"> assesses the extent to which the Council of Europe’s 47 member states are able to make the five building blocks of democratic security a reality (</w:t>
      </w:r>
      <w:r w:rsidRPr="00000325">
        <w:rPr>
          <w:lang w:val="en-GB"/>
        </w:rPr>
        <w:t>efficient and indepen</w:t>
      </w:r>
      <w:r>
        <w:rPr>
          <w:lang w:val="en-GB"/>
        </w:rPr>
        <w:t xml:space="preserve">dent judiciaries; </w:t>
      </w:r>
      <w:r w:rsidRPr="00000325">
        <w:rPr>
          <w:lang w:val="en-GB"/>
        </w:rPr>
        <w:t>free m</w:t>
      </w:r>
      <w:r>
        <w:rPr>
          <w:lang w:val="en-GB"/>
        </w:rPr>
        <w:t xml:space="preserve">edia and freedom of expression; </w:t>
      </w:r>
      <w:r w:rsidRPr="00000325">
        <w:rPr>
          <w:lang w:val="en-GB"/>
        </w:rPr>
        <w:t>freedom of assemb</w:t>
      </w:r>
      <w:r>
        <w:rPr>
          <w:lang w:val="en-GB"/>
        </w:rPr>
        <w:t xml:space="preserve">ly and a vibrant civil society; </w:t>
      </w:r>
      <w:r w:rsidRPr="00000325">
        <w:rPr>
          <w:lang w:val="en-GB"/>
        </w:rPr>
        <w:t>legi</w:t>
      </w:r>
      <w:r>
        <w:rPr>
          <w:lang w:val="en-GB"/>
        </w:rPr>
        <w:t xml:space="preserve">timate democratic institutions and inclusive societies). </w:t>
      </w:r>
    </w:p>
    <w:p w14:paraId="7910DB9D" w14:textId="239491AD" w:rsidR="00831114" w:rsidRDefault="00831114" w:rsidP="00000325">
      <w:pPr>
        <w:spacing w:line="240" w:lineRule="auto"/>
        <w:jc w:val="both"/>
        <w:rPr>
          <w:lang w:val="en-GB"/>
        </w:rPr>
      </w:pPr>
      <w:r>
        <w:rPr>
          <w:lang w:val="en-GB"/>
        </w:rPr>
        <w:t xml:space="preserve">A specific chapter is dedicated to discrimination (page 87-90). Independence and powers of national specialised bodies are considered as key institutional criteria to assess the situation in each member states. The chapter also highlights the general rise of racism and intolerance in Europe and specific vulnerabilities of Roma and LGBTI people. </w:t>
      </w:r>
    </w:p>
    <w:p w14:paraId="30B212F4" w14:textId="77777777" w:rsidR="00FF7AFE" w:rsidRDefault="00FF7AFE" w:rsidP="00BB304C">
      <w:pPr>
        <w:spacing w:line="240" w:lineRule="auto"/>
        <w:jc w:val="both"/>
        <w:rPr>
          <w:lang w:val="en-GB"/>
        </w:rPr>
      </w:pPr>
    </w:p>
    <w:p w14:paraId="2A53FFCC" w14:textId="73490409" w:rsidR="008860F3" w:rsidRDefault="003713E7" w:rsidP="00CE7D4C">
      <w:pPr>
        <w:shd w:val="clear" w:color="auto" w:fill="D9D9D9" w:themeFill="background1" w:themeFillShade="D9"/>
        <w:spacing w:line="240" w:lineRule="auto"/>
        <w:rPr>
          <w:b/>
          <w:lang w:val="en-GB"/>
        </w:rPr>
      </w:pPr>
      <w:r>
        <w:rPr>
          <w:b/>
          <w:lang w:val="en-GB"/>
        </w:rPr>
        <w:t>FOR FURTHER INFORMATION</w:t>
      </w:r>
    </w:p>
    <w:p w14:paraId="6F66FDBD" w14:textId="0C9DEBC7" w:rsidR="001A3BA9" w:rsidRPr="005215AF" w:rsidRDefault="001A3BA9" w:rsidP="003C75BF">
      <w:pPr>
        <w:shd w:val="clear" w:color="auto" w:fill="D9D9D9" w:themeFill="background1" w:themeFillShade="D9"/>
        <w:spacing w:line="240" w:lineRule="auto"/>
        <w:jc w:val="both"/>
        <w:rPr>
          <w:b/>
          <w:lang w:val="en-GB"/>
        </w:rPr>
      </w:pPr>
      <w:r>
        <w:rPr>
          <w:lang w:val="en-GB"/>
        </w:rPr>
        <w:t xml:space="preserve">Read the </w:t>
      </w:r>
      <w:r w:rsidR="00B3349D">
        <w:rPr>
          <w:b/>
          <w:lang w:val="en-GB"/>
        </w:rPr>
        <w:t xml:space="preserve">Equinet Working Paper </w:t>
      </w:r>
      <w:hyperlink r:id="rId18" w:history="1">
        <w:r w:rsidR="00B3349D" w:rsidRPr="00B3349D">
          <w:rPr>
            <w:rStyle w:val="Hyperlink"/>
            <w:lang w:val="en-GB"/>
          </w:rPr>
          <w:t>Developing standards for equality bodies</w:t>
        </w:r>
      </w:hyperlink>
      <w:r w:rsidR="00445864" w:rsidRPr="00445864">
        <w:rPr>
          <w:lang w:val="en-GB"/>
        </w:rPr>
        <w:t xml:space="preserve"> </w:t>
      </w:r>
      <w:r w:rsidR="005215AF">
        <w:rPr>
          <w:lang w:val="en-GB"/>
        </w:rPr>
        <w:t>(201</w:t>
      </w:r>
      <w:r w:rsidR="00B3349D">
        <w:rPr>
          <w:lang w:val="en-GB"/>
        </w:rPr>
        <w:t>6</w:t>
      </w:r>
      <w:r w:rsidR="005215AF">
        <w:rPr>
          <w:lang w:val="en-GB"/>
        </w:rPr>
        <w:t>)</w:t>
      </w:r>
      <w:r w:rsidRPr="003645BF">
        <w:rPr>
          <w:lang w:val="en-GB"/>
        </w:rPr>
        <w:t>.</w:t>
      </w:r>
      <w:r w:rsidR="003C75BF">
        <w:rPr>
          <w:lang w:val="en-GB"/>
        </w:rPr>
        <w:tab/>
        <w:t xml:space="preserve"> </w:t>
      </w:r>
    </w:p>
    <w:p w14:paraId="3826F7AE" w14:textId="77777777" w:rsidR="00A73FA9" w:rsidRPr="001A3BA9" w:rsidRDefault="00A73FA9" w:rsidP="00CE7D4C">
      <w:pPr>
        <w:pBdr>
          <w:bottom w:val="dotted" w:sz="36" w:space="1" w:color="auto"/>
        </w:pBdr>
        <w:spacing w:line="240" w:lineRule="auto"/>
        <w:rPr>
          <w:lang w:val="en-GB"/>
        </w:rPr>
      </w:pPr>
    </w:p>
    <w:p w14:paraId="290D8B05" w14:textId="7565CD76" w:rsidR="00997A8C" w:rsidRPr="00A93646" w:rsidRDefault="00997A8C" w:rsidP="00A93646">
      <w:pPr>
        <w:pStyle w:val="Heading1"/>
        <w:pBdr>
          <w:top w:val="dotted" w:sz="4" w:space="1" w:color="auto"/>
          <w:bottom w:val="dotted" w:sz="4" w:space="1" w:color="auto"/>
        </w:pBdr>
        <w:rPr>
          <w:color w:val="538135" w:themeColor="accent6" w:themeShade="BF"/>
          <w:lang w:val="en-GB"/>
        </w:rPr>
      </w:pPr>
      <w:bookmarkStart w:id="8" w:name="_General_information"/>
      <w:bookmarkStart w:id="9" w:name="_Ref421267521"/>
      <w:bookmarkStart w:id="10" w:name="_Ref442453617"/>
      <w:bookmarkStart w:id="11" w:name="_Toc418770747"/>
      <w:bookmarkStart w:id="12" w:name="_Ref418784309"/>
      <w:bookmarkEnd w:id="8"/>
      <w:r w:rsidRPr="003C75BF">
        <w:rPr>
          <w:lang w:val="en-GB"/>
        </w:rPr>
        <w:lastRenderedPageBreak/>
        <w:t xml:space="preserve">General </w:t>
      </w:r>
      <w:r w:rsidR="00B05622" w:rsidRPr="003C75BF">
        <w:rPr>
          <w:lang w:val="en-GB"/>
        </w:rPr>
        <w:t>I</w:t>
      </w:r>
      <w:r w:rsidRPr="003C75BF">
        <w:rPr>
          <w:lang w:val="en-GB"/>
        </w:rPr>
        <w:t>nformation</w:t>
      </w:r>
      <w:bookmarkEnd w:id="9"/>
    </w:p>
    <w:p w14:paraId="0CC6D089" w14:textId="77777777" w:rsidR="003C75BF" w:rsidRDefault="003C75BF" w:rsidP="00A93646">
      <w:pPr>
        <w:rPr>
          <w:lang w:val="en-GB"/>
        </w:rPr>
      </w:pPr>
      <w:bookmarkStart w:id="13" w:name="_Thematic_developments"/>
      <w:bookmarkStart w:id="14" w:name="_Publications,_funding_opportunities"/>
      <w:bookmarkEnd w:id="13"/>
      <w:bookmarkEnd w:id="14"/>
    </w:p>
    <w:p w14:paraId="6F37B801" w14:textId="111D3889" w:rsidR="00A93646" w:rsidRPr="00A93646" w:rsidRDefault="00A93646" w:rsidP="00A93646">
      <w:pPr>
        <w:pStyle w:val="Heading2"/>
        <w:rPr>
          <w:lang w:val="en-GB"/>
        </w:rPr>
      </w:pPr>
      <w:r w:rsidRPr="001A3BA9">
        <w:rPr>
          <w:lang w:val="en-GB"/>
        </w:rPr>
        <w:t>Policy developments</w:t>
      </w:r>
      <w:r>
        <w:rPr>
          <w:lang w:val="en-GB"/>
        </w:rPr>
        <w:br/>
      </w:r>
    </w:p>
    <w:p w14:paraId="08AC0222" w14:textId="2C8DDC79" w:rsidR="003047FF" w:rsidRPr="003047FF" w:rsidRDefault="00A93646" w:rsidP="003047FF">
      <w:pPr>
        <w:pStyle w:val="ListParagraph"/>
        <w:numPr>
          <w:ilvl w:val="0"/>
          <w:numId w:val="19"/>
        </w:numPr>
        <w:rPr>
          <w:b/>
          <w:lang w:val="en-GB"/>
        </w:rPr>
      </w:pPr>
      <w:r w:rsidRPr="00A93646">
        <w:rPr>
          <w:b/>
          <w:lang w:val="en-GB"/>
        </w:rPr>
        <w:t>S</w:t>
      </w:r>
      <w:r w:rsidR="003047FF">
        <w:rPr>
          <w:b/>
          <w:lang w:val="en-GB"/>
        </w:rPr>
        <w:t xml:space="preserve">lovakia takes over the </w:t>
      </w:r>
      <w:r w:rsidRPr="00A93646">
        <w:rPr>
          <w:b/>
          <w:lang w:val="en-GB"/>
        </w:rPr>
        <w:t>Presidency</w:t>
      </w:r>
      <w:r w:rsidR="003047FF">
        <w:rPr>
          <w:b/>
          <w:lang w:val="en-GB"/>
        </w:rPr>
        <w:t xml:space="preserve"> of the Council of the EU</w:t>
      </w:r>
      <w:r w:rsidRPr="00A93646">
        <w:rPr>
          <w:b/>
          <w:lang w:val="en-GB"/>
        </w:rPr>
        <w:t xml:space="preserve"> (July – December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47FF" w:rsidRPr="00015A82" w14:paraId="09D64DA7" w14:textId="77777777" w:rsidTr="003047FF">
        <w:tc>
          <w:tcPr>
            <w:tcW w:w="9736" w:type="dxa"/>
          </w:tcPr>
          <w:p w14:paraId="5CD8F25A" w14:textId="71ADDF6B" w:rsidR="00E25E07" w:rsidRPr="00E25E07" w:rsidRDefault="003047FF" w:rsidP="003047FF">
            <w:pPr>
              <w:jc w:val="both"/>
              <w:rPr>
                <w:noProof/>
                <w:lang w:val="en-US" w:eastAsia="fr-BE"/>
              </w:rPr>
            </w:pPr>
            <w:r>
              <w:rPr>
                <w:lang w:val="en-GB"/>
              </w:rPr>
              <w:t>On 1</w:t>
            </w:r>
            <w:r w:rsidRPr="00A93646">
              <w:rPr>
                <w:vertAlign w:val="superscript"/>
                <w:lang w:val="en-GB"/>
              </w:rPr>
              <w:t>st</w:t>
            </w:r>
            <w:r>
              <w:rPr>
                <w:lang w:val="en-GB"/>
              </w:rPr>
              <w:t xml:space="preserve"> July 2016, Slovakia took over the Presidency of the Council of the EU. Asylum and migration policies</w:t>
            </w:r>
            <w:r>
              <w:rPr>
                <w:noProof/>
                <w:lang w:eastAsia="fr-BE"/>
              </w:rPr>
              <w:drawing>
                <wp:anchor distT="0" distB="0" distL="114300" distR="114300" simplePos="0" relativeHeight="251662848" behindDoc="0" locked="0" layoutInCell="1" allowOverlap="1" wp14:anchorId="3A494583" wp14:editId="65316013">
                  <wp:simplePos x="762000" y="3343275"/>
                  <wp:positionH relativeFrom="margin">
                    <wp:align>right</wp:align>
                  </wp:positionH>
                  <wp:positionV relativeFrom="margin">
                    <wp:align>center</wp:align>
                  </wp:positionV>
                  <wp:extent cx="1514475" cy="619125"/>
                  <wp:effectExtent l="19050" t="19050" r="28575"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4475" cy="619125"/>
                          </a:xfrm>
                          <a:prstGeom prst="rect">
                            <a:avLst/>
                          </a:prstGeom>
                          <a:noFill/>
                          <a:ln>
                            <a:solidFill>
                              <a:schemeClr val="tx1"/>
                            </a:solidFill>
                          </a:ln>
                        </pic:spPr>
                      </pic:pic>
                    </a:graphicData>
                  </a:graphic>
                </wp:anchor>
              </w:drawing>
            </w:r>
            <w:r>
              <w:rPr>
                <w:lang w:val="en-GB"/>
              </w:rPr>
              <w:t xml:space="preserve"> will be one of the four priorities this semester. The </w:t>
            </w:r>
            <w:hyperlink r:id="rId20" w:history="1">
              <w:r w:rsidRPr="003047FF">
                <w:rPr>
                  <w:rStyle w:val="Hyperlink"/>
                  <w:lang w:val="en-GB"/>
                </w:rPr>
                <w:t>programme of the presidency</w:t>
              </w:r>
            </w:hyperlink>
            <w:r>
              <w:rPr>
                <w:lang w:val="en-GB"/>
              </w:rPr>
              <w:t xml:space="preserve"> also addresses the advancement of the negotiations for the adoption of the European Accessibility Act.</w:t>
            </w:r>
            <w:r w:rsidRPr="003047FF">
              <w:rPr>
                <w:noProof/>
                <w:lang w:val="en-US" w:eastAsia="fr-BE"/>
              </w:rPr>
              <w:t xml:space="preserve"> </w:t>
            </w:r>
          </w:p>
        </w:tc>
      </w:tr>
    </w:tbl>
    <w:p w14:paraId="6CBB43B5" w14:textId="44F092C3" w:rsidR="00A93646" w:rsidRDefault="003047FF" w:rsidP="003047FF">
      <w:pPr>
        <w:jc w:val="both"/>
        <w:rPr>
          <w:lang w:val="en-GB"/>
        </w:rPr>
      </w:pPr>
      <w:r>
        <w:rPr>
          <w:lang w:val="en-GB"/>
        </w:rPr>
        <w:t xml:space="preserve">  </w:t>
      </w:r>
    </w:p>
    <w:p w14:paraId="36610DF3" w14:textId="4B939BC9" w:rsidR="00E25E07" w:rsidRPr="00E25E07" w:rsidRDefault="00E25E07" w:rsidP="00E25E07">
      <w:pPr>
        <w:pStyle w:val="ListParagraph"/>
        <w:numPr>
          <w:ilvl w:val="0"/>
          <w:numId w:val="19"/>
        </w:numPr>
        <w:jc w:val="both"/>
        <w:rPr>
          <w:b/>
          <w:lang w:val="en-GB"/>
        </w:rPr>
      </w:pPr>
      <w:r>
        <w:rPr>
          <w:b/>
          <w:lang w:val="en-GB"/>
        </w:rPr>
        <w:t>UK</w:t>
      </w:r>
      <w:r w:rsidRPr="00E25E07">
        <w:rPr>
          <w:b/>
          <w:lang w:val="en-GB"/>
        </w:rPr>
        <w:t xml:space="preserve"> Referendum </w:t>
      </w:r>
      <w:r>
        <w:rPr>
          <w:b/>
          <w:lang w:val="en-GB"/>
        </w:rPr>
        <w:t>– next steps and reactions</w:t>
      </w:r>
    </w:p>
    <w:p w14:paraId="50DB78AF" w14:textId="4EA02398" w:rsidR="00E25E07" w:rsidRDefault="00E25E07" w:rsidP="00E25E07">
      <w:pPr>
        <w:jc w:val="both"/>
        <w:rPr>
          <w:lang w:val="en-GB"/>
        </w:rPr>
      </w:pPr>
      <w:r>
        <w:rPr>
          <w:lang w:val="en-GB"/>
        </w:rPr>
        <w:t xml:space="preserve">Following the results of the UK Referendum on EU membership, here is a compilation of relevant information on next steps and reactions by EU institutions and civil society organisations. </w:t>
      </w:r>
    </w:p>
    <w:p w14:paraId="6317B665" w14:textId="77777777" w:rsidR="00E25E07" w:rsidRDefault="00E25E07" w:rsidP="00E25E07">
      <w:pPr>
        <w:pStyle w:val="ListParagraph"/>
        <w:numPr>
          <w:ilvl w:val="0"/>
          <w:numId w:val="21"/>
        </w:numPr>
        <w:jc w:val="both"/>
        <w:rPr>
          <w:lang w:val="en-GB"/>
        </w:rPr>
      </w:pPr>
      <w:r w:rsidRPr="001E3B34">
        <w:rPr>
          <w:lang w:val="en-GB"/>
        </w:rPr>
        <w:t>Cambre Associates:</w:t>
      </w:r>
      <w:r>
        <w:rPr>
          <w:lang w:val="en-GB"/>
        </w:rPr>
        <w:t xml:space="preserve"> </w:t>
      </w:r>
      <w:hyperlink r:id="rId21" w:history="1">
        <w:r w:rsidRPr="00E25E07">
          <w:rPr>
            <w:rStyle w:val="Hyperlink"/>
            <w:lang w:val="en-GB"/>
          </w:rPr>
          <w:t>“Brexit: What now?”</w:t>
        </w:r>
      </w:hyperlink>
      <w:r>
        <w:rPr>
          <w:lang w:val="en-GB"/>
        </w:rPr>
        <w:t xml:space="preserve"> (briefing on legal, financial and political implications of a potential Brexit)</w:t>
      </w:r>
    </w:p>
    <w:p w14:paraId="70826970" w14:textId="23EBC826" w:rsidR="00E25E07" w:rsidRDefault="002920C2" w:rsidP="00E25E07">
      <w:pPr>
        <w:pStyle w:val="ListParagraph"/>
        <w:numPr>
          <w:ilvl w:val="0"/>
          <w:numId w:val="21"/>
        </w:numPr>
        <w:jc w:val="both"/>
        <w:rPr>
          <w:lang w:val="en-GB"/>
        </w:rPr>
      </w:pPr>
      <w:hyperlink r:id="rId22" w:history="1">
        <w:r w:rsidR="00E25E07" w:rsidRPr="00E25E07">
          <w:rPr>
            <w:rStyle w:val="Hyperlink"/>
            <w:lang w:val="en-GB"/>
          </w:rPr>
          <w:t>Speech</w:t>
        </w:r>
      </w:hyperlink>
      <w:r w:rsidR="00E25E07">
        <w:rPr>
          <w:lang w:val="en-GB"/>
        </w:rPr>
        <w:t xml:space="preserve"> by Jean-Claude Juncker, President of the European Commission</w:t>
      </w:r>
    </w:p>
    <w:p w14:paraId="2D72B08C" w14:textId="5ABE5D08" w:rsidR="00E25E07" w:rsidRDefault="00E25E07" w:rsidP="00E25E07">
      <w:pPr>
        <w:pStyle w:val="ListParagraph"/>
        <w:numPr>
          <w:ilvl w:val="0"/>
          <w:numId w:val="21"/>
        </w:numPr>
        <w:jc w:val="both"/>
        <w:rPr>
          <w:lang w:val="en-GB"/>
        </w:rPr>
      </w:pPr>
      <w:r>
        <w:rPr>
          <w:lang w:val="en-GB"/>
        </w:rPr>
        <w:t xml:space="preserve">Statement by </w:t>
      </w:r>
      <w:hyperlink r:id="rId23" w:history="1">
        <w:r w:rsidR="001E3B34" w:rsidRPr="001E3B34">
          <w:rPr>
            <w:rStyle w:val="Hyperlink"/>
            <w:lang w:val="en-GB"/>
          </w:rPr>
          <w:t>ILGA-Europe</w:t>
        </w:r>
      </w:hyperlink>
    </w:p>
    <w:p w14:paraId="7C91DE70" w14:textId="076A8D6E" w:rsidR="007461CF" w:rsidRPr="00015A82" w:rsidRDefault="001E3B34" w:rsidP="007461CF">
      <w:pPr>
        <w:pStyle w:val="ListParagraph"/>
        <w:numPr>
          <w:ilvl w:val="0"/>
          <w:numId w:val="21"/>
        </w:numPr>
        <w:jc w:val="both"/>
        <w:rPr>
          <w:rStyle w:val="Hyperlink"/>
          <w:color w:val="auto"/>
          <w:u w:val="none"/>
          <w:lang w:val="en-GB"/>
        </w:rPr>
      </w:pPr>
      <w:r>
        <w:rPr>
          <w:lang w:val="en-GB"/>
        </w:rPr>
        <w:t xml:space="preserve">Statement by the </w:t>
      </w:r>
      <w:hyperlink r:id="rId24" w:history="1">
        <w:r w:rsidRPr="001E3B34">
          <w:rPr>
            <w:rStyle w:val="Hyperlink"/>
            <w:lang w:val="en-GB"/>
          </w:rPr>
          <w:t>European Youth Forum</w:t>
        </w:r>
      </w:hyperlink>
    </w:p>
    <w:p w14:paraId="159E44CD" w14:textId="205ADE93" w:rsidR="00015A82" w:rsidRDefault="00015A82" w:rsidP="00015A82">
      <w:pPr>
        <w:pStyle w:val="ListParagraph"/>
        <w:numPr>
          <w:ilvl w:val="0"/>
          <w:numId w:val="21"/>
        </w:numPr>
        <w:jc w:val="both"/>
        <w:rPr>
          <w:lang w:val="en-GB"/>
        </w:rPr>
      </w:pPr>
      <w:hyperlink r:id="rId25" w:history="1">
        <w:r w:rsidRPr="00015A82">
          <w:rPr>
            <w:rStyle w:val="Hyperlink"/>
            <w:lang w:val="en-GB"/>
          </w:rPr>
          <w:t>“EU referendum: We will be a strong independent voice in the conversation on people’s rights”</w:t>
        </w:r>
      </w:hyperlink>
      <w:r>
        <w:rPr>
          <w:lang w:val="en-GB"/>
        </w:rPr>
        <w:t xml:space="preserve"> – Equality and Human Rights Commission (Equinet member – Great Britain)</w:t>
      </w:r>
    </w:p>
    <w:p w14:paraId="1DC06511" w14:textId="77777777" w:rsidR="007461CF" w:rsidRPr="007461CF" w:rsidRDefault="007461CF" w:rsidP="007461CF">
      <w:pPr>
        <w:pStyle w:val="ListParagraph"/>
        <w:jc w:val="both"/>
        <w:rPr>
          <w:lang w:val="en-GB"/>
        </w:rPr>
      </w:pPr>
    </w:p>
    <w:p w14:paraId="1A06772F" w14:textId="4164A6F3" w:rsidR="007461CF" w:rsidRPr="007461CF" w:rsidRDefault="007461CF" w:rsidP="007461CF">
      <w:pPr>
        <w:pStyle w:val="ListParagraph"/>
        <w:numPr>
          <w:ilvl w:val="0"/>
          <w:numId w:val="19"/>
        </w:numPr>
        <w:jc w:val="both"/>
        <w:rPr>
          <w:b/>
          <w:lang w:val="en-GB"/>
        </w:rPr>
      </w:pPr>
      <w:r w:rsidRPr="007461CF">
        <w:rPr>
          <w:b/>
          <w:lang w:val="en-GB"/>
        </w:rPr>
        <w:t>Equal Treatment/Horizontal Directive discussed at June EPSCO Council</w:t>
      </w:r>
    </w:p>
    <w:p w14:paraId="0E8E8BDA" w14:textId="7D563D52" w:rsidR="007461CF" w:rsidRPr="007461CF" w:rsidRDefault="007461CF" w:rsidP="007461CF">
      <w:pPr>
        <w:jc w:val="both"/>
        <w:rPr>
          <w:lang w:val="en-GB"/>
        </w:rPr>
      </w:pPr>
      <w:r w:rsidRPr="007461CF">
        <w:rPr>
          <w:lang w:val="en-GB"/>
        </w:rPr>
        <w:t>At the June meeting of the Employment, Social Policy, Health and Consumer Affairs (EPSCO) Counci</w:t>
      </w:r>
      <w:r>
        <w:rPr>
          <w:lang w:val="en-GB"/>
        </w:rPr>
        <w:t>l</w:t>
      </w:r>
      <w:r w:rsidRPr="007461CF">
        <w:rPr>
          <w:lang w:val="en-GB"/>
        </w:rPr>
        <w:t>, the progress report of the Equal Treatment Directive, as well as conclusions on gender and LGBTI equality were discussed.</w:t>
      </w:r>
    </w:p>
    <w:p w14:paraId="293479D7" w14:textId="53DDCB9A" w:rsidR="00E25E07" w:rsidRDefault="007461CF" w:rsidP="00E25E07">
      <w:pPr>
        <w:jc w:val="both"/>
        <w:rPr>
          <w:lang w:val="en-GB"/>
        </w:rPr>
      </w:pPr>
      <w:r>
        <w:rPr>
          <w:lang w:val="en-GB"/>
        </w:rPr>
        <w:t xml:space="preserve">See more information about the Horizontal Directive Progress Report and the Gender and LGBTI equality progress report </w:t>
      </w:r>
      <w:hyperlink r:id="rId26" w:history="1">
        <w:r w:rsidRPr="007461CF">
          <w:rPr>
            <w:rStyle w:val="Hyperlink"/>
            <w:lang w:val="en-GB"/>
          </w:rPr>
          <w:t>here</w:t>
        </w:r>
      </w:hyperlink>
      <w:r>
        <w:rPr>
          <w:lang w:val="en-GB"/>
        </w:rPr>
        <w:t xml:space="preserve">. </w:t>
      </w:r>
    </w:p>
    <w:p w14:paraId="7ED8B4E0" w14:textId="77777777" w:rsidR="007461CF" w:rsidRPr="00E25E07" w:rsidRDefault="007461CF" w:rsidP="00E25E07">
      <w:pPr>
        <w:jc w:val="both"/>
        <w:rPr>
          <w:lang w:val="en-GB"/>
        </w:rPr>
      </w:pPr>
    </w:p>
    <w:p w14:paraId="2BE2A229" w14:textId="2C9FA166" w:rsidR="001252F9" w:rsidRPr="003C75BF" w:rsidRDefault="00735BC7" w:rsidP="00CE7D4C">
      <w:pPr>
        <w:pStyle w:val="Heading2"/>
        <w:spacing w:line="240" w:lineRule="auto"/>
        <w:jc w:val="both"/>
        <w:rPr>
          <w:lang w:val="en-GB"/>
        </w:rPr>
      </w:pPr>
      <w:r w:rsidRPr="003C75BF">
        <w:rPr>
          <w:lang w:val="en-GB"/>
        </w:rPr>
        <w:t>Publications, funding opportunities and events</w:t>
      </w:r>
      <w:bookmarkEnd w:id="10"/>
      <w:r w:rsidR="001252F9" w:rsidRPr="003C75BF">
        <w:rPr>
          <w:lang w:val="en-GB"/>
        </w:rPr>
        <w:tab/>
      </w:r>
      <w:r w:rsidR="001252F9" w:rsidRPr="003C75BF">
        <w:rPr>
          <w:lang w:val="en-GB"/>
        </w:rPr>
        <w:br/>
      </w:r>
    </w:p>
    <w:p w14:paraId="723549DA" w14:textId="7682E64C" w:rsidR="00A93646" w:rsidRDefault="008F31F4" w:rsidP="008F31F4">
      <w:pPr>
        <w:spacing w:line="240" w:lineRule="auto"/>
        <w:jc w:val="both"/>
        <w:rPr>
          <w:lang w:val="en-GB"/>
        </w:rPr>
      </w:pPr>
      <w:r>
        <w:rPr>
          <w:b/>
          <w:shd w:val="clear" w:color="auto" w:fill="FFFF00"/>
          <w:lang w:val="en-GB"/>
        </w:rPr>
        <w:t>EVENT</w:t>
      </w:r>
      <w:r>
        <w:rPr>
          <w:b/>
          <w:lang w:val="en-GB"/>
        </w:rPr>
        <w:t xml:space="preserve"> – </w:t>
      </w:r>
      <w:r w:rsidR="00F62174">
        <w:rPr>
          <w:b/>
          <w:lang w:val="en-GB"/>
        </w:rPr>
        <w:t>European Commission</w:t>
      </w:r>
      <w:r w:rsidR="00210D58">
        <w:rPr>
          <w:b/>
          <w:lang w:val="en-GB"/>
        </w:rPr>
        <w:t xml:space="preserve"> </w:t>
      </w:r>
      <w:r w:rsidRPr="00A93646">
        <w:rPr>
          <w:b/>
          <w:lang w:val="en-GB"/>
        </w:rPr>
        <w:t xml:space="preserve">– </w:t>
      </w:r>
      <w:r w:rsidR="00F62174" w:rsidRPr="00A93646">
        <w:rPr>
          <w:b/>
          <w:lang w:val="en-US"/>
        </w:rPr>
        <w:t>2016 Annual Colloquium on Fundamental Rights</w:t>
      </w:r>
      <w:r w:rsidR="00A93646" w:rsidRPr="00A93646">
        <w:rPr>
          <w:b/>
          <w:lang w:val="en-US"/>
        </w:rPr>
        <w:t xml:space="preserve"> on Media Pluralism and Democracy</w:t>
      </w:r>
      <w:r w:rsidRPr="00A93646">
        <w:rPr>
          <w:b/>
          <w:lang w:val="en-GB"/>
        </w:rPr>
        <w:t xml:space="preserve">, </w:t>
      </w:r>
      <w:r w:rsidR="00F62174" w:rsidRPr="00A93646">
        <w:rPr>
          <w:b/>
          <w:lang w:val="en-GB"/>
        </w:rPr>
        <w:t>17</w:t>
      </w:r>
      <w:r w:rsidRPr="00A93646">
        <w:rPr>
          <w:b/>
          <w:lang w:val="en-GB"/>
        </w:rPr>
        <w:t>-</w:t>
      </w:r>
      <w:r w:rsidR="00F62174" w:rsidRPr="00A93646">
        <w:rPr>
          <w:b/>
          <w:lang w:val="en-GB"/>
        </w:rPr>
        <w:t>18</w:t>
      </w:r>
      <w:r w:rsidRPr="00A93646">
        <w:rPr>
          <w:b/>
          <w:lang w:val="en-GB"/>
        </w:rPr>
        <w:t xml:space="preserve"> </w:t>
      </w:r>
      <w:r w:rsidR="00F62174" w:rsidRPr="00A93646">
        <w:rPr>
          <w:b/>
          <w:lang w:val="en-GB"/>
        </w:rPr>
        <w:t>November</w:t>
      </w:r>
      <w:r w:rsidRPr="00A93646">
        <w:rPr>
          <w:b/>
          <w:lang w:val="en-GB"/>
        </w:rPr>
        <w:t xml:space="preserve"> 2016</w:t>
      </w:r>
      <w:r w:rsidR="00210D58" w:rsidRPr="00A93646">
        <w:rPr>
          <w:b/>
          <w:lang w:val="en-GB"/>
        </w:rPr>
        <w:t xml:space="preserve">, </w:t>
      </w:r>
      <w:r w:rsidR="00F62174" w:rsidRPr="00A93646">
        <w:rPr>
          <w:b/>
          <w:lang w:val="en-GB"/>
        </w:rPr>
        <w:t>Brussels</w:t>
      </w:r>
      <w:r w:rsidR="00210D58" w:rsidRPr="00A93646">
        <w:rPr>
          <w:b/>
          <w:lang w:val="en-GB"/>
        </w:rPr>
        <w:t xml:space="preserve">, </w:t>
      </w:r>
      <w:r w:rsidR="00A93646" w:rsidRPr="00A93646">
        <w:rPr>
          <w:b/>
          <w:lang w:val="en-GB"/>
        </w:rPr>
        <w:t>Belgium</w:t>
      </w:r>
    </w:p>
    <w:p w14:paraId="5B0F4455" w14:textId="42E0F25A" w:rsidR="00A93646" w:rsidRDefault="00F62174" w:rsidP="008F31F4">
      <w:pPr>
        <w:spacing w:line="240" w:lineRule="auto"/>
        <w:jc w:val="both"/>
        <w:rPr>
          <w:lang w:val="en-GB"/>
        </w:rPr>
      </w:pPr>
      <w:r>
        <w:rPr>
          <w:lang w:val="en-GB"/>
        </w:rPr>
        <w:t xml:space="preserve">A </w:t>
      </w:r>
      <w:r w:rsidRPr="00F62174">
        <w:rPr>
          <w:lang w:val="en-GB"/>
        </w:rPr>
        <w:t xml:space="preserve">public consultation is now open to all to gather input for the preparation of the discussions. </w:t>
      </w:r>
      <w:r w:rsidR="008B3D0B">
        <w:rPr>
          <w:lang w:val="en-GB"/>
        </w:rPr>
        <w:t xml:space="preserve">Your contribution can be sent </w:t>
      </w:r>
      <w:r w:rsidR="008B3D0B" w:rsidRPr="00A93646">
        <w:rPr>
          <w:b/>
          <w:lang w:val="en-GB"/>
        </w:rPr>
        <w:t>until 14</w:t>
      </w:r>
      <w:r w:rsidR="008B3D0B" w:rsidRPr="00A93646">
        <w:rPr>
          <w:b/>
          <w:vertAlign w:val="superscript"/>
          <w:lang w:val="en-GB"/>
        </w:rPr>
        <w:t>th</w:t>
      </w:r>
      <w:r w:rsidR="008B3D0B" w:rsidRPr="00A93646">
        <w:rPr>
          <w:b/>
          <w:lang w:val="en-GB"/>
        </w:rPr>
        <w:t xml:space="preserve"> July 2016</w:t>
      </w:r>
      <w:r w:rsidR="008B3D0B">
        <w:rPr>
          <w:lang w:val="en-GB"/>
        </w:rPr>
        <w:t xml:space="preserve"> following this </w:t>
      </w:r>
      <w:hyperlink r:id="rId27" w:history="1">
        <w:r w:rsidR="008B3D0B" w:rsidRPr="008B3D0B">
          <w:rPr>
            <w:rStyle w:val="Hyperlink"/>
            <w:lang w:val="en-GB"/>
          </w:rPr>
          <w:t>link</w:t>
        </w:r>
      </w:hyperlink>
      <w:r w:rsidR="008B3D0B">
        <w:rPr>
          <w:lang w:val="en-GB"/>
        </w:rPr>
        <w:t xml:space="preserve">. </w:t>
      </w:r>
    </w:p>
    <w:p w14:paraId="3E8EB2D1" w14:textId="3BF5A202" w:rsidR="00674263" w:rsidRPr="00674263" w:rsidRDefault="00674263" w:rsidP="008F31F4">
      <w:pPr>
        <w:spacing w:line="240" w:lineRule="auto"/>
        <w:jc w:val="both"/>
        <w:rPr>
          <w:b/>
          <w:lang w:val="en-GB"/>
        </w:rPr>
      </w:pPr>
      <w:r w:rsidRPr="00FD41B8">
        <w:rPr>
          <w:b/>
          <w:color w:val="FFFFFF" w:themeColor="background1"/>
          <w:shd w:val="clear" w:color="auto" w:fill="00B050"/>
          <w:lang w:val="en-GB"/>
        </w:rPr>
        <w:t>ONLINE COURSE</w:t>
      </w:r>
      <w:r w:rsidRPr="00FD41B8">
        <w:rPr>
          <w:b/>
          <w:color w:val="FFFFFF" w:themeColor="background1"/>
          <w:lang w:val="en-GB"/>
        </w:rPr>
        <w:t xml:space="preserve"> </w:t>
      </w:r>
      <w:r w:rsidRPr="00674263">
        <w:rPr>
          <w:b/>
          <w:lang w:val="en-GB"/>
        </w:rPr>
        <w:t>– “Help in the 28” - “Fight against Racism, Xenophobia, Homophobia and Transphobia”</w:t>
      </w:r>
    </w:p>
    <w:p w14:paraId="5954FC5E" w14:textId="5718A351" w:rsidR="00674263" w:rsidRDefault="00674263" w:rsidP="008F31F4">
      <w:pPr>
        <w:spacing w:line="240" w:lineRule="auto"/>
        <w:jc w:val="both"/>
        <w:rPr>
          <w:lang w:val="en-GB"/>
        </w:rPr>
      </w:pPr>
      <w:r w:rsidRPr="00674263">
        <w:rPr>
          <w:lang w:val="en-GB"/>
        </w:rPr>
        <w:t xml:space="preserve">The ‘HELP in the 28’ course “Fight against Racism, Xenophobia, Homophobia and Transphobia” covers in an interactive way the key concepts, the European (CoE and EU) non-discrimination law and the impressive body of case law of the European Court of Human Rights (ECtHR) and of the Court of Justice of the European Union (CJEU), in addition to decisions of the European Committee of Social Rights. </w:t>
      </w:r>
      <w:r>
        <w:rPr>
          <w:lang w:val="en-GB"/>
        </w:rPr>
        <w:t xml:space="preserve">More information is available </w:t>
      </w:r>
      <w:hyperlink r:id="rId28" w:history="1">
        <w:r w:rsidRPr="00674263">
          <w:rPr>
            <w:rStyle w:val="Hyperlink"/>
            <w:lang w:val="en-GB"/>
          </w:rPr>
          <w:t>here</w:t>
        </w:r>
      </w:hyperlink>
      <w:r>
        <w:rPr>
          <w:lang w:val="en-GB"/>
        </w:rPr>
        <w:t xml:space="preserve">. </w:t>
      </w:r>
    </w:p>
    <w:p w14:paraId="10B7B2BE" w14:textId="21C343DD" w:rsidR="00A93646" w:rsidRPr="00A93646" w:rsidRDefault="00A93646" w:rsidP="00A93646">
      <w:pPr>
        <w:jc w:val="both"/>
        <w:rPr>
          <w:lang w:val="en-US"/>
        </w:rPr>
      </w:pPr>
      <w:r w:rsidRPr="00A93646">
        <w:rPr>
          <w:b/>
          <w:color w:val="FFFFFF" w:themeColor="background1"/>
          <w:shd w:val="clear" w:color="auto" w:fill="7030A0"/>
          <w:lang w:val="en-GB"/>
        </w:rPr>
        <w:t>PUBLICATION</w:t>
      </w:r>
      <w:r w:rsidRPr="00A93646">
        <w:rPr>
          <w:b/>
          <w:color w:val="FFFFFF" w:themeColor="background1"/>
          <w:lang w:val="en-GB"/>
        </w:rPr>
        <w:t xml:space="preserve"> </w:t>
      </w:r>
      <w:r w:rsidRPr="00916E9C">
        <w:rPr>
          <w:b/>
          <w:lang w:val="en-GB"/>
        </w:rPr>
        <w:t xml:space="preserve">– </w:t>
      </w:r>
      <w:r w:rsidRPr="00916E9C">
        <w:rPr>
          <w:rFonts w:ascii="Calibri" w:eastAsia="Calibri" w:hAnsi="Calibri" w:cs="Times New Roman"/>
          <w:b/>
          <w:lang w:val="en-GB"/>
        </w:rPr>
        <w:t>European Union Agency for Fundamental Rights (FRA)</w:t>
      </w:r>
      <w:r w:rsidRPr="00916E9C">
        <w:rPr>
          <w:rFonts w:ascii="Calibri" w:eastAsia="Calibri" w:hAnsi="Calibri" w:cs="Times New Roman"/>
          <w:lang w:val="en-GB"/>
        </w:rPr>
        <w:t xml:space="preserve"> – </w:t>
      </w:r>
      <w:hyperlink r:id="rId29" w:history="1">
        <w:r w:rsidRPr="00916E9C">
          <w:rPr>
            <w:rStyle w:val="Hyperlink"/>
            <w:lang w:val="en-US"/>
          </w:rPr>
          <w:t>Annual activity report 2015</w:t>
        </w:r>
      </w:hyperlink>
    </w:p>
    <w:p w14:paraId="28B4ADA9" w14:textId="4ABE488D" w:rsidR="00A93646" w:rsidRDefault="00A93646" w:rsidP="00FC2233">
      <w:pPr>
        <w:spacing w:line="240" w:lineRule="auto"/>
        <w:jc w:val="both"/>
        <w:rPr>
          <w:lang w:val="en-GB"/>
        </w:rPr>
      </w:pPr>
      <w:r w:rsidRPr="00916E9C">
        <w:rPr>
          <w:rFonts w:ascii="Calibri" w:eastAsia="Calibri" w:hAnsi="Calibri" w:cs="Times New Roman"/>
          <w:lang w:val="en-GB"/>
        </w:rPr>
        <w:lastRenderedPageBreak/>
        <w:t xml:space="preserve">This consolidated annual activity report provides an </w:t>
      </w:r>
      <w:r w:rsidRPr="00A93646">
        <w:rPr>
          <w:rFonts w:ascii="Calibri" w:eastAsia="Calibri" w:hAnsi="Calibri" w:cs="Times New Roman"/>
          <w:b/>
          <w:lang w:val="en-GB"/>
        </w:rPr>
        <w:t>overview of the European Union Agency for Fundamental Rights (FRA) activities and achievements in 2015</w:t>
      </w:r>
      <w:r w:rsidRPr="00916E9C">
        <w:rPr>
          <w:rFonts w:ascii="Calibri" w:eastAsia="Calibri" w:hAnsi="Calibri" w:cs="Times New Roman"/>
          <w:lang w:val="en-GB"/>
        </w:rPr>
        <w:t xml:space="preserve">. </w:t>
      </w:r>
    </w:p>
    <w:p w14:paraId="3676E424" w14:textId="00F22B9C" w:rsidR="00A93646" w:rsidRPr="003047FF" w:rsidRDefault="00FC2233" w:rsidP="00FC2233">
      <w:pPr>
        <w:spacing w:line="240" w:lineRule="auto"/>
        <w:jc w:val="both"/>
        <w:rPr>
          <w:color w:val="0563C1" w:themeColor="hyperlink"/>
          <w:u w:val="single"/>
          <w:lang w:val="en-US"/>
        </w:rPr>
      </w:pPr>
      <w:r w:rsidRPr="00A93646">
        <w:rPr>
          <w:b/>
          <w:color w:val="FFFFFF" w:themeColor="background1"/>
          <w:shd w:val="clear" w:color="auto" w:fill="7030A0"/>
          <w:lang w:val="en-GB"/>
        </w:rPr>
        <w:t>PUBLICATION</w:t>
      </w:r>
      <w:r w:rsidRPr="00C035CF">
        <w:rPr>
          <w:b/>
          <w:lang w:val="en-GB"/>
        </w:rPr>
        <w:t xml:space="preserve"> – </w:t>
      </w:r>
      <w:r w:rsidRPr="00C035CF">
        <w:rPr>
          <w:rFonts w:ascii="Calibri" w:eastAsia="Calibri" w:hAnsi="Calibri" w:cs="Times New Roman"/>
          <w:b/>
          <w:lang w:val="en-GB"/>
        </w:rPr>
        <w:t>European Union Agency for Fundamental Rights (FRA)</w:t>
      </w:r>
      <w:r w:rsidRPr="00C035CF">
        <w:rPr>
          <w:rFonts w:ascii="Calibri" w:eastAsia="Calibri" w:hAnsi="Calibri" w:cs="Times New Roman"/>
          <w:lang w:val="en-GB"/>
        </w:rPr>
        <w:t xml:space="preserve"> – </w:t>
      </w:r>
      <w:hyperlink r:id="rId30" w:history="1">
        <w:r w:rsidR="00D361CD" w:rsidRPr="00D361CD">
          <w:rPr>
            <w:rStyle w:val="Hyperlink"/>
            <w:lang w:val="en-US"/>
          </w:rPr>
          <w:t>Handbook on European law relating to access to justice</w:t>
        </w:r>
      </w:hyperlink>
    </w:p>
    <w:p w14:paraId="787E95C4" w14:textId="01B87810" w:rsidR="00711078" w:rsidRPr="00A93646" w:rsidRDefault="00711078" w:rsidP="00711078">
      <w:pPr>
        <w:spacing w:line="240" w:lineRule="auto"/>
        <w:jc w:val="both"/>
        <w:rPr>
          <w:rFonts w:ascii="Calibri" w:eastAsia="Calibri" w:hAnsi="Calibri" w:cs="Times New Roman"/>
          <w:lang w:val="en-GB"/>
        </w:rPr>
      </w:pPr>
      <w:r w:rsidRPr="00A93646">
        <w:rPr>
          <w:b/>
          <w:color w:val="FFFFFF" w:themeColor="background1"/>
          <w:shd w:val="clear" w:color="auto" w:fill="7030A0"/>
          <w:lang w:val="en-GB"/>
        </w:rPr>
        <w:t>PUBLICATION</w:t>
      </w:r>
      <w:r w:rsidRPr="00C035CF">
        <w:rPr>
          <w:b/>
          <w:lang w:val="en-GB"/>
        </w:rPr>
        <w:t xml:space="preserve"> – </w:t>
      </w:r>
      <w:r w:rsidRPr="00711078">
        <w:rPr>
          <w:rFonts w:ascii="Calibri" w:eastAsia="Calibri" w:hAnsi="Calibri" w:cs="Times New Roman"/>
          <w:b/>
          <w:lang w:val="en-GB"/>
        </w:rPr>
        <w:t>European Commission against Racism and Intolerance (ECRI)</w:t>
      </w:r>
      <w:r>
        <w:rPr>
          <w:rFonts w:ascii="Calibri" w:eastAsia="Calibri" w:hAnsi="Calibri" w:cs="Times New Roman"/>
          <w:b/>
          <w:lang w:val="en-GB"/>
        </w:rPr>
        <w:t xml:space="preserve"> </w:t>
      </w:r>
      <w:r w:rsidRPr="00C035CF">
        <w:rPr>
          <w:rFonts w:ascii="Calibri" w:eastAsia="Calibri" w:hAnsi="Calibri" w:cs="Times New Roman"/>
          <w:lang w:val="en-GB"/>
        </w:rPr>
        <w:t xml:space="preserve">– </w:t>
      </w:r>
      <w:r w:rsidR="00A93646">
        <w:rPr>
          <w:rFonts w:ascii="Calibri" w:eastAsia="Calibri" w:hAnsi="Calibri" w:cs="Times New Roman"/>
          <w:lang w:val="en-GB"/>
        </w:rPr>
        <w:t xml:space="preserve">ECRI reports on </w:t>
      </w:r>
      <w:hyperlink r:id="rId31" w:history="1">
        <w:r w:rsidR="00A93646" w:rsidRPr="00A93646">
          <w:rPr>
            <w:rStyle w:val="Hyperlink"/>
            <w:rFonts w:ascii="Calibri" w:eastAsia="Calibri" w:hAnsi="Calibri" w:cs="Times New Roman"/>
            <w:lang w:val="en-GB"/>
          </w:rPr>
          <w:t>Azerbaijan</w:t>
        </w:r>
      </w:hyperlink>
      <w:r w:rsidR="00A93646">
        <w:rPr>
          <w:rFonts w:ascii="Calibri" w:eastAsia="Calibri" w:hAnsi="Calibri" w:cs="Times New Roman"/>
          <w:lang w:val="en-GB"/>
        </w:rPr>
        <w:t xml:space="preserve">, </w:t>
      </w:r>
      <w:hyperlink r:id="rId32" w:history="1">
        <w:r w:rsidR="00A93646" w:rsidRPr="00A93646">
          <w:rPr>
            <w:rStyle w:val="Hyperlink"/>
            <w:rFonts w:ascii="Calibri" w:eastAsia="Calibri" w:hAnsi="Calibri" w:cs="Times New Roman"/>
            <w:lang w:val="en-GB"/>
          </w:rPr>
          <w:t>Italy</w:t>
        </w:r>
      </w:hyperlink>
      <w:r w:rsidR="00A93646">
        <w:rPr>
          <w:rFonts w:ascii="Calibri" w:eastAsia="Calibri" w:hAnsi="Calibri" w:cs="Times New Roman"/>
          <w:lang w:val="en-GB"/>
        </w:rPr>
        <w:t xml:space="preserve">, </w:t>
      </w:r>
      <w:hyperlink r:id="rId33" w:history="1">
        <w:r w:rsidR="00A93646" w:rsidRPr="00A93646">
          <w:rPr>
            <w:rStyle w:val="Hyperlink"/>
            <w:rFonts w:ascii="Calibri" w:eastAsia="Calibri" w:hAnsi="Calibri" w:cs="Times New Roman"/>
            <w:lang w:val="en-GB"/>
          </w:rPr>
          <w:t>Cyprus</w:t>
        </w:r>
      </w:hyperlink>
      <w:r w:rsidR="00A93646">
        <w:rPr>
          <w:rFonts w:ascii="Calibri" w:eastAsia="Calibri" w:hAnsi="Calibri" w:cs="Times New Roman"/>
          <w:lang w:val="en-GB"/>
        </w:rPr>
        <w:t xml:space="preserve">, </w:t>
      </w:r>
      <w:hyperlink r:id="rId34" w:history="1">
        <w:r w:rsidR="00A93646" w:rsidRPr="00A93646">
          <w:rPr>
            <w:rStyle w:val="Hyperlink"/>
            <w:rFonts w:ascii="Calibri" w:eastAsia="Calibri" w:hAnsi="Calibri" w:cs="Times New Roman"/>
            <w:lang w:val="en-GB"/>
          </w:rPr>
          <w:t>FYROM</w:t>
        </w:r>
      </w:hyperlink>
      <w:r w:rsidR="00A93646">
        <w:rPr>
          <w:rFonts w:ascii="Calibri" w:eastAsia="Calibri" w:hAnsi="Calibri" w:cs="Times New Roman"/>
          <w:lang w:val="en-GB"/>
        </w:rPr>
        <w:t xml:space="preserve">, </w:t>
      </w:r>
      <w:hyperlink r:id="rId35" w:history="1">
        <w:r w:rsidR="00A93646" w:rsidRPr="00A93646">
          <w:rPr>
            <w:rStyle w:val="Hyperlink"/>
            <w:rFonts w:ascii="Calibri" w:eastAsia="Calibri" w:hAnsi="Calibri" w:cs="Times New Roman"/>
            <w:lang w:val="en-GB"/>
          </w:rPr>
          <w:t>Lithuania</w:t>
        </w:r>
      </w:hyperlink>
    </w:p>
    <w:p w14:paraId="4FB487C5" w14:textId="657F9FBD" w:rsidR="003047FF" w:rsidRDefault="003047FF">
      <w:pPr>
        <w:rPr>
          <w:rFonts w:ascii="Tahoma" w:eastAsiaTheme="majorEastAsia" w:hAnsi="Tahoma" w:cstheme="majorBidi"/>
          <w:b/>
          <w:color w:val="0070C0"/>
          <w:sz w:val="32"/>
          <w:szCs w:val="32"/>
          <w:lang w:val="en-GB"/>
        </w:rPr>
      </w:pPr>
    </w:p>
    <w:p w14:paraId="074EF7E3" w14:textId="12C5F77F" w:rsidR="00B05622" w:rsidRPr="00AA6001" w:rsidRDefault="00B05622" w:rsidP="00CE7D4C">
      <w:pPr>
        <w:pStyle w:val="Heading1"/>
        <w:pBdr>
          <w:top w:val="dotted" w:sz="4" w:space="1" w:color="auto"/>
          <w:bottom w:val="dotted" w:sz="4" w:space="1" w:color="auto"/>
        </w:pBdr>
        <w:spacing w:line="240" w:lineRule="auto"/>
        <w:rPr>
          <w:lang w:val="en-GB"/>
        </w:rPr>
      </w:pPr>
      <w:r w:rsidRPr="00AA6001">
        <w:rPr>
          <w:lang w:val="en-GB"/>
        </w:rPr>
        <w:t>Gender Equality</w:t>
      </w:r>
    </w:p>
    <w:p w14:paraId="4F2A5C42" w14:textId="77777777" w:rsidR="00D47BC3" w:rsidRPr="001A3BA9" w:rsidRDefault="00D47BC3" w:rsidP="00CE7D4C">
      <w:pPr>
        <w:spacing w:line="240" w:lineRule="auto"/>
        <w:jc w:val="both"/>
        <w:rPr>
          <w:lang w:val="en-GB"/>
        </w:rPr>
      </w:pPr>
    </w:p>
    <w:p w14:paraId="2722241F" w14:textId="0ECFC9AC" w:rsidR="00D47BC3" w:rsidRDefault="006A0A69" w:rsidP="00CE7D4C">
      <w:pPr>
        <w:pStyle w:val="Heading2"/>
        <w:spacing w:line="240" w:lineRule="auto"/>
        <w:jc w:val="both"/>
        <w:rPr>
          <w:lang w:val="en-GB"/>
        </w:rPr>
      </w:pPr>
      <w:r w:rsidRPr="001A3BA9">
        <w:rPr>
          <w:lang w:val="en-GB"/>
        </w:rPr>
        <w:t>Publications, funding opportunities and events</w:t>
      </w:r>
    </w:p>
    <w:p w14:paraId="64E1E906" w14:textId="77777777" w:rsidR="00C908E2" w:rsidRDefault="00C908E2" w:rsidP="003047FF">
      <w:pPr>
        <w:jc w:val="both"/>
        <w:rPr>
          <w:color w:val="FF0000"/>
          <w:lang w:val="en-GB"/>
        </w:rPr>
      </w:pPr>
    </w:p>
    <w:p w14:paraId="18FF08B4" w14:textId="5B37501B" w:rsidR="00F62174" w:rsidRPr="00F62174" w:rsidRDefault="00F62174" w:rsidP="003047FF">
      <w:pPr>
        <w:jc w:val="both"/>
        <w:rPr>
          <w:lang w:val="en-GB"/>
        </w:rPr>
      </w:pPr>
      <w:r w:rsidRPr="00C87C61">
        <w:rPr>
          <w:b/>
          <w:highlight w:val="yellow"/>
          <w:lang w:val="en-GB"/>
        </w:rPr>
        <w:t>EVENT</w:t>
      </w:r>
      <w:r w:rsidRPr="00C87C61">
        <w:rPr>
          <w:b/>
          <w:lang w:val="en-GB"/>
        </w:rPr>
        <w:t xml:space="preserve"> – </w:t>
      </w:r>
      <w:r w:rsidRPr="00E86A7A">
        <w:rPr>
          <w:rFonts w:ascii="Calibri" w:eastAsia="Calibri" w:hAnsi="Calibri" w:cs="Times New Roman"/>
          <w:b/>
          <w:lang w:val="en-GB"/>
        </w:rPr>
        <w:t>European Institute for Gender Equality</w:t>
      </w:r>
      <w:r>
        <w:rPr>
          <w:rFonts w:ascii="Calibri" w:eastAsia="Calibri" w:hAnsi="Calibri" w:cs="Times New Roman"/>
          <w:lang w:val="en-GB"/>
        </w:rPr>
        <w:t xml:space="preserve"> </w:t>
      </w:r>
      <w:r>
        <w:rPr>
          <w:rFonts w:ascii="Calibri" w:eastAsia="Calibri" w:hAnsi="Calibri" w:cs="Times New Roman"/>
          <w:b/>
          <w:lang w:val="en-GB"/>
        </w:rPr>
        <w:t xml:space="preserve">(EIGE) </w:t>
      </w:r>
      <w:r>
        <w:rPr>
          <w:b/>
          <w:lang w:val="en-GB"/>
        </w:rPr>
        <w:t>–</w:t>
      </w:r>
      <w:r w:rsidRPr="00C87C61">
        <w:rPr>
          <w:lang w:val="en-GB"/>
        </w:rPr>
        <w:t xml:space="preserve"> </w:t>
      </w:r>
      <w:hyperlink r:id="rId36" w:history="1">
        <w:r w:rsidRPr="00F62174">
          <w:rPr>
            <w:rStyle w:val="Hyperlink"/>
            <w:lang w:val="en-US"/>
          </w:rPr>
          <w:t xml:space="preserve">Online Discussion on proposed indicators for data collection on intimate partner violence, rape and femicide </w:t>
        </w:r>
      </w:hyperlink>
      <w:r w:rsidRPr="00C87C61">
        <w:rPr>
          <w:lang w:val="en-GB"/>
        </w:rPr>
        <w:t xml:space="preserve">– </w:t>
      </w:r>
      <w:r>
        <w:rPr>
          <w:lang w:val="en-GB"/>
        </w:rPr>
        <w:t>Thursday</w:t>
      </w:r>
      <w:r w:rsidRPr="00C87C61">
        <w:rPr>
          <w:lang w:val="en-GB"/>
        </w:rPr>
        <w:t xml:space="preserve"> </w:t>
      </w:r>
      <w:r>
        <w:rPr>
          <w:lang w:val="en-GB"/>
        </w:rPr>
        <w:t>7</w:t>
      </w:r>
      <w:r w:rsidRPr="00F62174">
        <w:rPr>
          <w:vertAlign w:val="superscript"/>
          <w:lang w:val="en-GB"/>
        </w:rPr>
        <w:t>th</w:t>
      </w:r>
      <w:r>
        <w:rPr>
          <w:lang w:val="en-GB"/>
        </w:rPr>
        <w:t xml:space="preserve"> July 2016</w:t>
      </w:r>
    </w:p>
    <w:p w14:paraId="0BA1DD85" w14:textId="7408F319" w:rsidR="00944D6F" w:rsidRPr="00284861" w:rsidRDefault="00C87C61" w:rsidP="003047FF">
      <w:pPr>
        <w:jc w:val="both"/>
        <w:rPr>
          <w:b/>
          <w:lang w:val="en-GB"/>
        </w:rPr>
      </w:pPr>
      <w:r w:rsidRPr="00C87C61">
        <w:rPr>
          <w:b/>
          <w:highlight w:val="yellow"/>
          <w:lang w:val="en-GB"/>
        </w:rPr>
        <w:t>EVENT</w:t>
      </w:r>
      <w:r w:rsidR="00284861">
        <w:rPr>
          <w:b/>
          <w:lang w:val="en-GB"/>
        </w:rPr>
        <w:t xml:space="preserve"> – </w:t>
      </w:r>
      <w:r w:rsidR="00284861" w:rsidRPr="00284861">
        <w:rPr>
          <w:b/>
          <w:lang w:val="en-GB"/>
        </w:rPr>
        <w:t>French National Center for Scientific Research (CNRS)</w:t>
      </w:r>
      <w:r w:rsidR="00284861">
        <w:rPr>
          <w:b/>
          <w:lang w:val="en-GB"/>
        </w:rPr>
        <w:t xml:space="preserve"> </w:t>
      </w:r>
      <w:r w:rsidR="00284861" w:rsidRPr="00284861">
        <w:rPr>
          <w:lang w:val="en-GB"/>
        </w:rPr>
        <w:t xml:space="preserve">– </w:t>
      </w:r>
      <w:hyperlink r:id="rId37" w:history="1">
        <w:r w:rsidR="00284861" w:rsidRPr="00284861">
          <w:rPr>
            <w:rStyle w:val="Hyperlink"/>
            <w:lang w:val="en-GB"/>
          </w:rPr>
          <w:t>9</w:t>
        </w:r>
        <w:r w:rsidR="00284861" w:rsidRPr="00284861">
          <w:rPr>
            <w:rStyle w:val="Hyperlink"/>
            <w:vertAlign w:val="superscript"/>
            <w:lang w:val="en-GB"/>
          </w:rPr>
          <w:t>th</w:t>
        </w:r>
        <w:r w:rsidR="00284861" w:rsidRPr="00284861">
          <w:rPr>
            <w:rStyle w:val="Hyperlink"/>
            <w:lang w:val="en-GB"/>
          </w:rPr>
          <w:t xml:space="preserve"> </w:t>
        </w:r>
        <w:r w:rsidR="00284861" w:rsidRPr="00284861">
          <w:rPr>
            <w:rStyle w:val="Hyperlink"/>
            <w:lang w:val="en-US"/>
          </w:rPr>
          <w:t>European Conference on Gender Equality in Higher Education (and Research)</w:t>
        </w:r>
      </w:hyperlink>
      <w:r w:rsidR="00284861">
        <w:rPr>
          <w:lang w:val="en-US"/>
        </w:rPr>
        <w:t xml:space="preserve"> </w:t>
      </w:r>
      <w:r w:rsidRPr="00C87C61">
        <w:rPr>
          <w:lang w:val="en-GB"/>
        </w:rPr>
        <w:t xml:space="preserve">– </w:t>
      </w:r>
      <w:r w:rsidR="00284861">
        <w:rPr>
          <w:lang w:val="en-GB"/>
        </w:rPr>
        <w:t>12</w:t>
      </w:r>
      <w:r w:rsidR="00284861" w:rsidRPr="00284861">
        <w:rPr>
          <w:vertAlign w:val="superscript"/>
          <w:lang w:val="en-GB"/>
        </w:rPr>
        <w:t>th</w:t>
      </w:r>
      <w:r w:rsidR="00284861">
        <w:rPr>
          <w:lang w:val="en-GB"/>
        </w:rPr>
        <w:t xml:space="preserve"> – 14</w:t>
      </w:r>
      <w:r w:rsidR="00284861" w:rsidRPr="00284861">
        <w:rPr>
          <w:vertAlign w:val="superscript"/>
          <w:lang w:val="en-GB"/>
        </w:rPr>
        <w:t>th</w:t>
      </w:r>
      <w:r w:rsidR="00284861">
        <w:rPr>
          <w:lang w:val="en-GB"/>
        </w:rPr>
        <w:t xml:space="preserve"> September</w:t>
      </w:r>
      <w:r w:rsidR="00944D6F">
        <w:rPr>
          <w:lang w:val="en-GB"/>
        </w:rPr>
        <w:t xml:space="preserve"> 2016</w:t>
      </w:r>
      <w:r w:rsidR="00284861">
        <w:rPr>
          <w:lang w:val="en-GB"/>
        </w:rPr>
        <w:t>, Paris, France</w:t>
      </w:r>
      <w:r>
        <w:rPr>
          <w:lang w:val="en-GB"/>
        </w:rPr>
        <w:tab/>
      </w:r>
    </w:p>
    <w:p w14:paraId="764D2E34" w14:textId="09F26A9E" w:rsidR="00FD41B8" w:rsidRDefault="00944D6F" w:rsidP="003047FF">
      <w:pPr>
        <w:jc w:val="both"/>
        <w:rPr>
          <w:lang w:val="en-GB"/>
        </w:rPr>
      </w:pPr>
      <w:r w:rsidRPr="00C87C61">
        <w:rPr>
          <w:b/>
          <w:highlight w:val="yellow"/>
          <w:lang w:val="en-GB"/>
        </w:rPr>
        <w:t>EVENT</w:t>
      </w:r>
      <w:r w:rsidRPr="00C87C61">
        <w:rPr>
          <w:b/>
          <w:lang w:val="en-GB"/>
        </w:rPr>
        <w:t xml:space="preserve"> – </w:t>
      </w:r>
      <w:r w:rsidR="00F62174" w:rsidRPr="00E86A7A">
        <w:rPr>
          <w:rFonts w:ascii="Calibri" w:eastAsia="Calibri" w:hAnsi="Calibri" w:cs="Times New Roman"/>
          <w:b/>
          <w:lang w:val="en-GB"/>
        </w:rPr>
        <w:t>European Institute for Gender Equality</w:t>
      </w:r>
      <w:r w:rsidR="00F62174">
        <w:rPr>
          <w:rFonts w:ascii="Calibri" w:eastAsia="Calibri" w:hAnsi="Calibri" w:cs="Times New Roman"/>
          <w:lang w:val="en-GB"/>
        </w:rPr>
        <w:t xml:space="preserve"> </w:t>
      </w:r>
      <w:r w:rsidR="00F62174">
        <w:rPr>
          <w:rFonts w:ascii="Calibri" w:eastAsia="Calibri" w:hAnsi="Calibri" w:cs="Times New Roman"/>
          <w:b/>
          <w:lang w:val="en-GB"/>
        </w:rPr>
        <w:t xml:space="preserve">(EIGE) </w:t>
      </w:r>
      <w:r>
        <w:rPr>
          <w:b/>
          <w:lang w:val="en-GB"/>
        </w:rPr>
        <w:t>–</w:t>
      </w:r>
      <w:r w:rsidRPr="00C87C61">
        <w:rPr>
          <w:lang w:val="en-GB"/>
        </w:rPr>
        <w:t xml:space="preserve"> </w:t>
      </w:r>
      <w:hyperlink r:id="rId38" w:history="1">
        <w:r w:rsidR="00284861" w:rsidRPr="00284861">
          <w:rPr>
            <w:rStyle w:val="Hyperlink"/>
            <w:lang w:val="en-US"/>
          </w:rPr>
          <w:t>High-level Conference on Mainstreaming Gender into Academic and Research Organisations</w:t>
        </w:r>
      </w:hyperlink>
      <w:r w:rsidRPr="00C87C61">
        <w:rPr>
          <w:lang w:val="en-GB"/>
        </w:rPr>
        <w:t xml:space="preserve"> – Thursday </w:t>
      </w:r>
      <w:r w:rsidR="00F62174">
        <w:rPr>
          <w:lang w:val="en-GB"/>
        </w:rPr>
        <w:t>20</w:t>
      </w:r>
      <w:r w:rsidR="00F62174" w:rsidRPr="00F62174">
        <w:rPr>
          <w:vertAlign w:val="superscript"/>
          <w:lang w:val="en-GB"/>
        </w:rPr>
        <w:t>th</w:t>
      </w:r>
      <w:r>
        <w:rPr>
          <w:lang w:val="en-GB"/>
        </w:rPr>
        <w:t xml:space="preserve"> </w:t>
      </w:r>
      <w:r w:rsidR="00F62174">
        <w:rPr>
          <w:lang w:val="en-GB"/>
        </w:rPr>
        <w:t>October</w:t>
      </w:r>
      <w:r>
        <w:rPr>
          <w:lang w:val="en-GB"/>
        </w:rPr>
        <w:t xml:space="preserve"> 2016, </w:t>
      </w:r>
      <w:r w:rsidR="00F62174">
        <w:rPr>
          <w:lang w:val="en-GB"/>
        </w:rPr>
        <w:t>Brussels</w:t>
      </w:r>
      <w:r>
        <w:rPr>
          <w:lang w:val="en-GB"/>
        </w:rPr>
        <w:t xml:space="preserve">, </w:t>
      </w:r>
      <w:r w:rsidR="00F62174">
        <w:rPr>
          <w:lang w:val="en-GB"/>
        </w:rPr>
        <w:t>Belgium</w:t>
      </w:r>
    </w:p>
    <w:p w14:paraId="1939DD3D" w14:textId="6DB8E9ED" w:rsidR="00F20B36" w:rsidRDefault="00B83CEA" w:rsidP="003047FF">
      <w:pPr>
        <w:spacing w:line="240" w:lineRule="auto"/>
        <w:jc w:val="both"/>
        <w:rPr>
          <w:rStyle w:val="Hyperlink"/>
          <w:lang w:val="en-US"/>
        </w:rPr>
      </w:pPr>
      <w:r w:rsidRPr="00C908E2">
        <w:rPr>
          <w:b/>
          <w:color w:val="FFFFFF" w:themeColor="background1"/>
          <w:shd w:val="clear" w:color="auto" w:fill="7030A0"/>
          <w:lang w:val="en-GB"/>
        </w:rPr>
        <w:t>PUBLICATION</w:t>
      </w:r>
      <w:r w:rsidRPr="00C908E2">
        <w:rPr>
          <w:rFonts w:ascii="Calibri" w:eastAsia="Calibri" w:hAnsi="Calibri" w:cs="Times New Roman"/>
          <w:color w:val="FFFFFF" w:themeColor="background1"/>
          <w:lang w:val="en-GB"/>
        </w:rPr>
        <w:t xml:space="preserve"> </w:t>
      </w:r>
      <w:r w:rsidRPr="00C908E2">
        <w:rPr>
          <w:rFonts w:ascii="Calibri" w:eastAsia="Calibri" w:hAnsi="Calibri" w:cs="Times New Roman"/>
          <w:lang w:val="en-GB"/>
        </w:rPr>
        <w:t xml:space="preserve">– </w:t>
      </w:r>
      <w:r w:rsidRPr="00C908E2">
        <w:rPr>
          <w:rFonts w:ascii="Calibri" w:eastAsia="Calibri" w:hAnsi="Calibri" w:cs="Times New Roman"/>
          <w:b/>
          <w:lang w:val="en-GB"/>
        </w:rPr>
        <w:t>European Institute for Gender Equality</w:t>
      </w:r>
      <w:r w:rsidRPr="00C908E2">
        <w:rPr>
          <w:rFonts w:ascii="Calibri" w:eastAsia="Calibri" w:hAnsi="Calibri" w:cs="Times New Roman"/>
          <w:lang w:val="en-GB"/>
        </w:rPr>
        <w:t xml:space="preserve"> </w:t>
      </w:r>
      <w:r w:rsidRPr="00C908E2">
        <w:rPr>
          <w:rFonts w:ascii="Calibri" w:eastAsia="Calibri" w:hAnsi="Calibri" w:cs="Times New Roman"/>
          <w:b/>
          <w:lang w:val="en-GB"/>
        </w:rPr>
        <w:t xml:space="preserve">(EIGE) </w:t>
      </w:r>
      <w:r w:rsidRPr="00C908E2">
        <w:rPr>
          <w:rFonts w:ascii="Calibri" w:eastAsia="Calibri" w:hAnsi="Calibri" w:cs="Times New Roman"/>
          <w:lang w:val="en-GB"/>
        </w:rPr>
        <w:t xml:space="preserve">– </w:t>
      </w:r>
      <w:hyperlink r:id="rId39" w:history="1">
        <w:r w:rsidR="003047FF">
          <w:rPr>
            <w:rStyle w:val="Hyperlink"/>
            <w:lang w:val="en-US"/>
          </w:rPr>
          <w:t>O</w:t>
        </w:r>
        <w:r w:rsidR="00C908E2" w:rsidRPr="00C908E2">
          <w:rPr>
            <w:rStyle w:val="Hyperlink"/>
            <w:lang w:val="en-US"/>
          </w:rPr>
          <w:t>nline Gender Equality Glossary</w:t>
        </w:r>
      </w:hyperlink>
    </w:p>
    <w:p w14:paraId="7CAF8B34" w14:textId="78C18D63" w:rsidR="004330D6" w:rsidRPr="004330D6" w:rsidRDefault="004330D6" w:rsidP="003047FF">
      <w:pPr>
        <w:spacing w:line="240" w:lineRule="auto"/>
        <w:jc w:val="both"/>
        <w:rPr>
          <w:lang w:val="en-US"/>
        </w:rPr>
      </w:pPr>
      <w:r w:rsidRPr="004330D6">
        <w:rPr>
          <w:rStyle w:val="Hyperlink"/>
          <w:b/>
          <w:color w:val="FFFFFF" w:themeColor="background1"/>
          <w:u w:val="none"/>
          <w:shd w:val="clear" w:color="auto" w:fill="7030A0"/>
          <w:lang w:val="en-US"/>
        </w:rPr>
        <w:t>PUBLICATION</w:t>
      </w:r>
      <w:r w:rsidRPr="004330D6">
        <w:rPr>
          <w:rStyle w:val="Hyperlink"/>
          <w:color w:val="auto"/>
          <w:u w:val="none"/>
          <w:lang w:val="en-US"/>
        </w:rPr>
        <w:t xml:space="preserve"> – </w:t>
      </w:r>
      <w:r w:rsidRPr="004330D6">
        <w:rPr>
          <w:rStyle w:val="Hyperlink"/>
          <w:b/>
          <w:color w:val="auto"/>
          <w:u w:val="none"/>
          <w:lang w:val="en-US"/>
        </w:rPr>
        <w:t>European Union Agency for Fundamental Rights (FRA)</w:t>
      </w:r>
      <w:r w:rsidRPr="004330D6">
        <w:rPr>
          <w:rStyle w:val="Hyperlink"/>
          <w:color w:val="auto"/>
          <w:u w:val="none"/>
          <w:lang w:val="en-US"/>
        </w:rPr>
        <w:t xml:space="preserve"> – </w:t>
      </w:r>
      <w:hyperlink r:id="rId40" w:history="1">
        <w:r w:rsidRPr="004330D6">
          <w:rPr>
            <w:rStyle w:val="Hyperlink"/>
            <w:lang w:val="en-US"/>
          </w:rPr>
          <w:t>Summary report on violence against refugee women</w:t>
        </w:r>
      </w:hyperlink>
    </w:p>
    <w:p w14:paraId="210F6211" w14:textId="539A9847" w:rsidR="0028756D" w:rsidRPr="008A3A8C" w:rsidRDefault="00F20B36" w:rsidP="003047FF">
      <w:pPr>
        <w:spacing w:line="240" w:lineRule="auto"/>
        <w:jc w:val="both"/>
        <w:rPr>
          <w:lang w:val="en-US"/>
        </w:rPr>
      </w:pPr>
      <w:r w:rsidRPr="008A3A8C">
        <w:rPr>
          <w:b/>
          <w:color w:val="FFFFFF" w:themeColor="background1"/>
          <w:shd w:val="clear" w:color="auto" w:fill="7030A0"/>
          <w:lang w:val="en-GB"/>
        </w:rPr>
        <w:t>PUBLICATION</w:t>
      </w:r>
      <w:r w:rsidRPr="008A3A8C">
        <w:rPr>
          <w:rFonts w:ascii="Calibri" w:eastAsia="Calibri" w:hAnsi="Calibri" w:cs="Times New Roman"/>
          <w:color w:val="FFFFFF" w:themeColor="background1"/>
          <w:lang w:val="en-GB"/>
        </w:rPr>
        <w:t xml:space="preserve"> </w:t>
      </w:r>
      <w:r w:rsidRPr="008A3A8C">
        <w:rPr>
          <w:rFonts w:ascii="Calibri" w:eastAsia="Calibri" w:hAnsi="Calibri" w:cs="Times New Roman"/>
          <w:lang w:val="en-GB"/>
        </w:rPr>
        <w:t>–</w:t>
      </w:r>
      <w:r w:rsidRPr="008A3A8C">
        <w:rPr>
          <w:lang w:val="en-GB"/>
        </w:rPr>
        <w:t xml:space="preserve"> </w:t>
      </w:r>
      <w:r w:rsidR="008A3A8C" w:rsidRPr="008A3A8C">
        <w:rPr>
          <w:rFonts w:ascii="Calibri" w:eastAsia="Calibri" w:hAnsi="Calibri" w:cs="Times New Roman"/>
          <w:b/>
          <w:lang w:val="en-GB"/>
        </w:rPr>
        <w:t>Council of Europe</w:t>
      </w:r>
      <w:r w:rsidRPr="008A3A8C">
        <w:rPr>
          <w:rFonts w:ascii="Calibri" w:eastAsia="Calibri" w:hAnsi="Calibri" w:cs="Times New Roman"/>
          <w:lang w:val="en-GB"/>
        </w:rPr>
        <w:t xml:space="preserve"> – </w:t>
      </w:r>
      <w:hyperlink r:id="rId41" w:history="1">
        <w:r w:rsidR="008A3A8C" w:rsidRPr="008A3A8C">
          <w:rPr>
            <w:rStyle w:val="Hyperlink"/>
            <w:lang w:val="en-US"/>
          </w:rPr>
          <w:t>Gender Mainstreaming Policy Briefs and Council of Europe Activities</w:t>
        </w:r>
      </w:hyperlink>
      <w:r w:rsidR="008A3A8C" w:rsidRPr="008A3A8C">
        <w:rPr>
          <w:lang w:val="en-US"/>
        </w:rPr>
        <w:t xml:space="preserve"> </w:t>
      </w:r>
    </w:p>
    <w:p w14:paraId="4F65FAFA" w14:textId="66AAD602" w:rsidR="00C908E2" w:rsidRPr="003047FF" w:rsidRDefault="00253898" w:rsidP="003047FF">
      <w:pPr>
        <w:spacing w:line="240" w:lineRule="auto"/>
        <w:jc w:val="both"/>
        <w:rPr>
          <w:rFonts w:ascii="Calibri" w:eastAsia="Calibri" w:hAnsi="Calibri" w:cs="Times New Roman"/>
          <w:b/>
          <w:lang w:val="en-GB"/>
        </w:rPr>
      </w:pPr>
      <w:r w:rsidRPr="00883560">
        <w:rPr>
          <w:b/>
          <w:color w:val="FFFFFF" w:themeColor="background1"/>
          <w:shd w:val="clear" w:color="auto" w:fill="7030A0"/>
          <w:lang w:val="en-GB"/>
        </w:rPr>
        <w:t>PUBLICATION</w:t>
      </w:r>
      <w:r w:rsidRPr="00F62174">
        <w:rPr>
          <w:rFonts w:ascii="Calibri" w:eastAsia="Calibri" w:hAnsi="Calibri" w:cs="Times New Roman"/>
          <w:color w:val="FF0000"/>
          <w:lang w:val="en-GB"/>
        </w:rPr>
        <w:t xml:space="preserve"> </w:t>
      </w:r>
      <w:r w:rsidRPr="00ED3BCF">
        <w:rPr>
          <w:rFonts w:ascii="Calibri" w:eastAsia="Calibri" w:hAnsi="Calibri" w:cs="Times New Roman"/>
          <w:lang w:val="en-GB"/>
        </w:rPr>
        <w:t>–</w:t>
      </w:r>
      <w:r w:rsidR="003047FF">
        <w:rPr>
          <w:lang w:val="en-GB"/>
        </w:rPr>
        <w:t xml:space="preserve"> </w:t>
      </w:r>
      <w:r w:rsidR="003047FF">
        <w:rPr>
          <w:rFonts w:ascii="Calibri" w:eastAsia="Calibri" w:hAnsi="Calibri" w:cs="Times New Roman"/>
          <w:b/>
          <w:lang w:val="en-GB"/>
        </w:rPr>
        <w:t>European Network of Legal E</w:t>
      </w:r>
      <w:r w:rsidR="003047FF" w:rsidRPr="003047FF">
        <w:rPr>
          <w:rFonts w:ascii="Calibri" w:eastAsia="Calibri" w:hAnsi="Calibri" w:cs="Times New Roman"/>
          <w:b/>
          <w:lang w:val="en-GB"/>
        </w:rPr>
        <w:t>xp</w:t>
      </w:r>
      <w:r w:rsidR="003047FF">
        <w:rPr>
          <w:rFonts w:ascii="Calibri" w:eastAsia="Calibri" w:hAnsi="Calibri" w:cs="Times New Roman"/>
          <w:b/>
          <w:lang w:val="en-GB"/>
        </w:rPr>
        <w:t>erts in Gender Equality and Non-D</w:t>
      </w:r>
      <w:r w:rsidR="003047FF" w:rsidRPr="003047FF">
        <w:rPr>
          <w:rFonts w:ascii="Calibri" w:eastAsia="Calibri" w:hAnsi="Calibri" w:cs="Times New Roman"/>
          <w:b/>
          <w:lang w:val="en-GB"/>
        </w:rPr>
        <w:t>iscrimination</w:t>
      </w:r>
      <w:r w:rsidRPr="00ED3BCF">
        <w:rPr>
          <w:rFonts w:ascii="Calibri" w:eastAsia="Calibri" w:hAnsi="Calibri" w:cs="Times New Roman"/>
          <w:lang w:val="en-GB"/>
        </w:rPr>
        <w:t xml:space="preserve">– </w:t>
      </w:r>
      <w:hyperlink r:id="rId42" w:history="1">
        <w:r w:rsidR="00883560" w:rsidRPr="00ED3BCF">
          <w:rPr>
            <w:rStyle w:val="Hyperlink"/>
            <w:lang w:val="en-US"/>
          </w:rPr>
          <w:t>Intersectional discrimination in EU gender equality and non-discrimination law</w:t>
        </w:r>
      </w:hyperlink>
    </w:p>
    <w:p w14:paraId="5754B2A8" w14:textId="5D52249B" w:rsidR="0089532B" w:rsidRDefault="00ED3BCF" w:rsidP="003047FF">
      <w:pPr>
        <w:spacing w:line="240" w:lineRule="auto"/>
        <w:jc w:val="both"/>
        <w:rPr>
          <w:lang w:val="en-GB"/>
        </w:rPr>
      </w:pPr>
      <w:r w:rsidRPr="00ED3BCF">
        <w:rPr>
          <w:lang w:val="en-GB"/>
        </w:rPr>
        <w:t xml:space="preserve">The report analyses the ways in which European states deal with multiple discrimination and intersectionality, drawing on responses by national experts from all the EU member States, as well as the candidate countries (Montenegro, the former Yugoslav Republic of Macedonia, Serbia and Turkey), Liechtenstein, Iceland and Norway </w:t>
      </w:r>
      <w:r w:rsidR="0089532B" w:rsidRPr="00ED3BCF">
        <w:rPr>
          <w:lang w:val="en-GB"/>
        </w:rPr>
        <w:t xml:space="preserve">The report </w:t>
      </w:r>
      <w:r w:rsidRPr="00ED3BCF">
        <w:rPr>
          <w:lang w:val="en-GB"/>
        </w:rPr>
        <w:t>was produced</w:t>
      </w:r>
      <w:r w:rsidR="0089532B" w:rsidRPr="00ED3BCF">
        <w:rPr>
          <w:lang w:val="en-GB"/>
        </w:rPr>
        <w:t xml:space="preserve"> by the gender equality experts of the European network of legal experts in gender equality and non-discrimination.</w:t>
      </w:r>
    </w:p>
    <w:p w14:paraId="33F0EE44" w14:textId="5BC28B06" w:rsidR="00FD41B8" w:rsidRDefault="00FD41B8" w:rsidP="003047FF">
      <w:pPr>
        <w:spacing w:line="240" w:lineRule="auto"/>
        <w:jc w:val="both"/>
        <w:rPr>
          <w:lang w:val="en-GB"/>
        </w:rPr>
      </w:pPr>
      <w:r w:rsidRPr="00FD41B8">
        <w:rPr>
          <w:b/>
          <w:color w:val="FFFFFF" w:themeColor="background1"/>
          <w:shd w:val="clear" w:color="auto" w:fill="00B050"/>
          <w:lang w:val="en-GB"/>
        </w:rPr>
        <w:t>WEBSITE</w:t>
      </w:r>
      <w:r>
        <w:rPr>
          <w:lang w:val="en-GB"/>
        </w:rPr>
        <w:t xml:space="preserve"> </w:t>
      </w:r>
      <w:r w:rsidR="00C56AF1">
        <w:rPr>
          <w:lang w:val="en-GB"/>
        </w:rPr>
        <w:t>–</w:t>
      </w:r>
      <w:r>
        <w:rPr>
          <w:lang w:val="en-GB"/>
        </w:rPr>
        <w:t xml:space="preserve"> </w:t>
      </w:r>
      <w:r w:rsidR="00C56AF1" w:rsidRPr="00C56AF1">
        <w:rPr>
          <w:b/>
          <w:lang w:val="en-GB"/>
        </w:rPr>
        <w:t>European Institute for Gender Equality</w:t>
      </w:r>
      <w:r w:rsidR="00C56AF1">
        <w:rPr>
          <w:lang w:val="en-GB"/>
        </w:rPr>
        <w:t xml:space="preserve"> – </w:t>
      </w:r>
      <w:hyperlink r:id="rId43" w:history="1">
        <w:r w:rsidR="00C56AF1" w:rsidRPr="00C56AF1">
          <w:rPr>
            <w:rStyle w:val="Hyperlink"/>
            <w:lang w:val="en-GB"/>
          </w:rPr>
          <w:t>Gender Mainstreaming Platform</w:t>
        </w:r>
      </w:hyperlink>
    </w:p>
    <w:p w14:paraId="6C200BF9" w14:textId="77777777" w:rsidR="003047FF" w:rsidRPr="00ED3BCF" w:rsidRDefault="003047FF" w:rsidP="003047FF">
      <w:pPr>
        <w:spacing w:line="240" w:lineRule="auto"/>
        <w:jc w:val="both"/>
        <w:rPr>
          <w:color w:val="FF0000"/>
          <w:lang w:val="en-US"/>
        </w:rPr>
      </w:pPr>
    </w:p>
    <w:p w14:paraId="4279531E" w14:textId="5EC9888F" w:rsidR="00C842B1" w:rsidRPr="001A3BA9" w:rsidRDefault="00F93FE2" w:rsidP="00CE7D4C">
      <w:pPr>
        <w:pStyle w:val="Heading1"/>
        <w:pBdr>
          <w:top w:val="dotted" w:sz="4" w:space="1" w:color="auto"/>
          <w:bottom w:val="dotted" w:sz="4" w:space="1" w:color="auto"/>
        </w:pBdr>
        <w:spacing w:line="240" w:lineRule="auto"/>
        <w:rPr>
          <w:lang w:val="en-GB"/>
        </w:rPr>
      </w:pPr>
      <w:bookmarkStart w:id="15" w:name="_Race/ethnic_origin"/>
      <w:bookmarkStart w:id="16" w:name="_Toc418770748"/>
      <w:bookmarkStart w:id="17" w:name="_Ref418784315"/>
      <w:bookmarkStart w:id="18" w:name="_Ref418784316"/>
      <w:bookmarkEnd w:id="11"/>
      <w:bookmarkEnd w:id="12"/>
      <w:bookmarkEnd w:id="15"/>
      <w:r w:rsidRPr="001A3BA9">
        <w:rPr>
          <w:lang w:val="en-GB"/>
        </w:rPr>
        <w:t>Race/ethnic origin</w:t>
      </w:r>
    </w:p>
    <w:p w14:paraId="1FF61614" w14:textId="0AE12B28" w:rsidR="009E42A3" w:rsidRPr="001A3BA9" w:rsidRDefault="009E42A3" w:rsidP="00CE7D4C">
      <w:pPr>
        <w:spacing w:line="240" w:lineRule="auto"/>
        <w:rPr>
          <w:lang w:val="en-GB"/>
        </w:rPr>
      </w:pPr>
      <w:bookmarkStart w:id="19" w:name="_Ref421267530"/>
    </w:p>
    <w:p w14:paraId="40EAB68D" w14:textId="43517BB0" w:rsidR="004830B4" w:rsidRPr="004830B4" w:rsidRDefault="00677CCA" w:rsidP="004830B4">
      <w:pPr>
        <w:pStyle w:val="Heading2"/>
        <w:spacing w:line="240" w:lineRule="auto"/>
        <w:rPr>
          <w:lang w:val="en-GB"/>
        </w:rPr>
      </w:pPr>
      <w:r w:rsidRPr="001A3BA9">
        <w:rPr>
          <w:lang w:val="en-GB"/>
        </w:rPr>
        <w:t>Policy developments</w:t>
      </w:r>
      <w:r w:rsidR="004830B4">
        <w:rPr>
          <w:lang w:val="en-GB"/>
        </w:rPr>
        <w:br/>
      </w:r>
    </w:p>
    <w:p w14:paraId="77A4FA1A" w14:textId="23DAB20E" w:rsidR="00883560" w:rsidRDefault="00883560" w:rsidP="00883560">
      <w:pPr>
        <w:pStyle w:val="ListParagraph"/>
        <w:numPr>
          <w:ilvl w:val="0"/>
          <w:numId w:val="17"/>
        </w:numPr>
        <w:spacing w:line="240" w:lineRule="auto"/>
        <w:rPr>
          <w:b/>
          <w:color w:val="1F3864" w:themeColor="accent5" w:themeShade="80"/>
          <w:lang w:val="en-GB"/>
        </w:rPr>
      </w:pPr>
      <w:r>
        <w:rPr>
          <w:b/>
          <w:color w:val="1F3864" w:themeColor="accent5" w:themeShade="80"/>
          <w:lang w:val="en-GB"/>
        </w:rPr>
        <w:t xml:space="preserve">Joint statement </w:t>
      </w:r>
      <w:r w:rsidRPr="003A343E">
        <w:rPr>
          <w:b/>
          <w:color w:val="1F3864" w:themeColor="accent5" w:themeShade="80"/>
          <w:lang w:val="en-GB"/>
        </w:rPr>
        <w:t xml:space="preserve">from </w:t>
      </w:r>
      <w:r w:rsidR="00951688">
        <w:rPr>
          <w:b/>
          <w:color w:val="1F3864" w:themeColor="accent5" w:themeShade="80"/>
          <w:lang w:val="en-GB"/>
        </w:rPr>
        <w:t xml:space="preserve">the </w:t>
      </w:r>
      <w:r w:rsidRPr="00883560">
        <w:rPr>
          <w:b/>
          <w:color w:val="1F3864" w:themeColor="accent5" w:themeShade="80"/>
          <w:lang w:val="en-GB"/>
        </w:rPr>
        <w:t>Operational Platform for Roma Equality (OPRE)</w:t>
      </w:r>
    </w:p>
    <w:p w14:paraId="4894DCA5" w14:textId="61638286" w:rsidR="00700753" w:rsidRDefault="00883560" w:rsidP="004830B4">
      <w:pPr>
        <w:spacing w:line="240" w:lineRule="auto"/>
        <w:jc w:val="both"/>
        <w:rPr>
          <w:rStyle w:val="Hyperlink"/>
          <w:lang w:val="en-GB"/>
        </w:rPr>
      </w:pPr>
      <w:r w:rsidRPr="00883560">
        <w:rPr>
          <w:lang w:val="en-GB"/>
        </w:rPr>
        <w:t>Traditionally, summer holidays coincide with the evi</w:t>
      </w:r>
      <w:r>
        <w:rPr>
          <w:lang w:val="en-GB"/>
        </w:rPr>
        <w:t xml:space="preserve">ction of Roma and Travellers </w:t>
      </w:r>
      <w:r w:rsidRPr="00883560">
        <w:rPr>
          <w:lang w:val="en-GB"/>
        </w:rPr>
        <w:t xml:space="preserve">throughout Europe, which takes place almost unnoticed. The </w:t>
      </w:r>
      <w:r w:rsidRPr="00951688">
        <w:rPr>
          <w:b/>
          <w:lang w:val="en-GB"/>
        </w:rPr>
        <w:t>Office of the United Nations High Commissioner for Human Rights</w:t>
      </w:r>
      <w:r w:rsidRPr="00883560">
        <w:rPr>
          <w:lang w:val="en-GB"/>
        </w:rPr>
        <w:t xml:space="preserve"> (OHCHR) and the </w:t>
      </w:r>
      <w:r w:rsidRPr="00951688">
        <w:rPr>
          <w:b/>
          <w:lang w:val="en-GB"/>
        </w:rPr>
        <w:t>OSCE’s Office for Democratic Institutions and Human Rights</w:t>
      </w:r>
      <w:r w:rsidRPr="00883560">
        <w:rPr>
          <w:lang w:val="en-GB"/>
        </w:rPr>
        <w:t xml:space="preserve"> (OSCE/ODIHR) join </w:t>
      </w:r>
      <w:r w:rsidRPr="00951688">
        <w:rPr>
          <w:b/>
          <w:lang w:val="en-GB"/>
        </w:rPr>
        <w:t>the Council of Europe</w:t>
      </w:r>
      <w:r w:rsidRPr="00883560">
        <w:rPr>
          <w:lang w:val="en-GB"/>
        </w:rPr>
        <w:t xml:space="preserve">, the </w:t>
      </w:r>
      <w:r w:rsidRPr="00951688">
        <w:rPr>
          <w:b/>
          <w:lang w:val="en-GB"/>
        </w:rPr>
        <w:t>European Union Agency for Fundamental Rights</w:t>
      </w:r>
      <w:r w:rsidRPr="00883560">
        <w:rPr>
          <w:lang w:val="en-GB"/>
        </w:rPr>
        <w:t xml:space="preserve"> (FRA), the </w:t>
      </w:r>
      <w:r w:rsidRPr="00951688">
        <w:rPr>
          <w:b/>
          <w:lang w:val="en-GB"/>
        </w:rPr>
        <w:t>European Network of European National Human Rights Institutions</w:t>
      </w:r>
      <w:r w:rsidRPr="00883560">
        <w:rPr>
          <w:lang w:val="en-GB"/>
        </w:rPr>
        <w:t xml:space="preserve"> (ENNHRI) and the </w:t>
      </w:r>
      <w:r w:rsidRPr="00015A82">
        <w:rPr>
          <w:b/>
          <w:lang w:val="en-GB"/>
        </w:rPr>
        <w:t>European Network of Equality Bodies</w:t>
      </w:r>
      <w:r w:rsidRPr="00883560">
        <w:rPr>
          <w:lang w:val="en-GB"/>
        </w:rPr>
        <w:t xml:space="preserve"> (Equinet) in a statement to condemn the recent evictions of Roma and Travellers in Europe.</w:t>
      </w:r>
      <w:r>
        <w:rPr>
          <w:lang w:val="en-GB"/>
        </w:rPr>
        <w:t xml:space="preserve"> You can read the statement </w:t>
      </w:r>
      <w:hyperlink r:id="rId44" w:history="1">
        <w:r w:rsidRPr="00883560">
          <w:rPr>
            <w:rStyle w:val="Hyperlink"/>
            <w:lang w:val="en-GB"/>
          </w:rPr>
          <w:t>here.</w:t>
        </w:r>
      </w:hyperlink>
    </w:p>
    <w:p w14:paraId="188C63BA" w14:textId="0D2B4F5A" w:rsidR="000B547A" w:rsidRDefault="00951688" w:rsidP="00951688">
      <w:pPr>
        <w:spacing w:line="240" w:lineRule="auto"/>
        <w:jc w:val="center"/>
        <w:rPr>
          <w:rStyle w:val="Hyperlink"/>
          <w:lang w:val="en-GB"/>
        </w:rPr>
      </w:pPr>
      <w:r>
        <w:rPr>
          <w:noProof/>
          <w:lang w:eastAsia="fr-BE"/>
        </w:rPr>
        <w:drawing>
          <wp:inline distT="0" distB="0" distL="0" distR="0" wp14:anchorId="518FF2D5" wp14:editId="4108D08D">
            <wp:extent cx="5238750" cy="714375"/>
            <wp:effectExtent l="19050" t="19050" r="19050" b="28575"/>
            <wp:docPr id="6" name="Picture 6"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lick to enlarge pict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38750" cy="714375"/>
                    </a:xfrm>
                    <a:prstGeom prst="rect">
                      <a:avLst/>
                    </a:prstGeom>
                    <a:noFill/>
                    <a:ln>
                      <a:solidFill>
                        <a:schemeClr val="tx1"/>
                      </a:solidFill>
                    </a:ln>
                  </pic:spPr>
                </pic:pic>
              </a:graphicData>
            </a:graphic>
          </wp:inline>
        </w:drawing>
      </w:r>
    </w:p>
    <w:p w14:paraId="609C3C19" w14:textId="77777777" w:rsidR="0095569F" w:rsidRPr="0095569F" w:rsidRDefault="0095569F" w:rsidP="0095569F">
      <w:pPr>
        <w:spacing w:line="240" w:lineRule="auto"/>
        <w:rPr>
          <w:rStyle w:val="Hyperlink"/>
          <w:b/>
          <w:lang w:val="en-GB"/>
        </w:rPr>
      </w:pPr>
    </w:p>
    <w:p w14:paraId="64BA8284" w14:textId="527B067B" w:rsidR="0095569F" w:rsidRPr="0095569F" w:rsidRDefault="0095569F" w:rsidP="0095569F">
      <w:pPr>
        <w:pStyle w:val="ListParagraph"/>
        <w:numPr>
          <w:ilvl w:val="0"/>
          <w:numId w:val="23"/>
        </w:numPr>
        <w:spacing w:line="240" w:lineRule="auto"/>
        <w:rPr>
          <w:rStyle w:val="Hyperlink"/>
          <w:b/>
          <w:color w:val="auto"/>
          <w:u w:val="none"/>
          <w:lang w:val="en-GB"/>
        </w:rPr>
      </w:pPr>
      <w:r w:rsidRPr="0095569F">
        <w:rPr>
          <w:rStyle w:val="Hyperlink"/>
          <w:b/>
          <w:color w:val="auto"/>
          <w:u w:val="none"/>
          <w:lang w:val="en-GB"/>
        </w:rPr>
        <w:t xml:space="preserve">European Commission launches </w:t>
      </w:r>
      <w:r w:rsidRPr="0095569F">
        <w:rPr>
          <w:b/>
          <w:lang w:val="en-GB"/>
        </w:rPr>
        <w:t>EU High Level Group on Combating Racism, Xenophobia and other forms of intolerance</w:t>
      </w:r>
    </w:p>
    <w:p w14:paraId="42E5983E" w14:textId="4D0023B5" w:rsidR="0095569F" w:rsidRPr="0095569F" w:rsidRDefault="0095569F" w:rsidP="0095569F">
      <w:pPr>
        <w:spacing w:line="240" w:lineRule="auto"/>
        <w:jc w:val="both"/>
        <w:rPr>
          <w:rStyle w:val="Hyperlink"/>
          <w:color w:val="auto"/>
          <w:u w:val="none"/>
          <w:lang w:val="en-GB"/>
        </w:rPr>
      </w:pPr>
      <w:r>
        <w:rPr>
          <w:rStyle w:val="Hyperlink"/>
          <w:color w:val="auto"/>
          <w:u w:val="none"/>
          <w:lang w:val="en-GB"/>
        </w:rPr>
        <w:t xml:space="preserve">As a follow up of the 2015 Colloquium on Fundamental Rights, the European Commission officially launched the EU High Level Group on Combating Racism, Xenophobia and other forms of intolerance. The Group is made up of experts from civil society organisations, public authorities and EU agencies and institutions. Evelyn Collins, Equinet Chair, and Anne Gaspard, Equinet Executive Director, took part in the launch meeting. More information is available </w:t>
      </w:r>
      <w:hyperlink r:id="rId46" w:history="1">
        <w:r w:rsidRPr="0095569F">
          <w:rPr>
            <w:rStyle w:val="Hyperlink"/>
            <w:lang w:val="en-GB"/>
          </w:rPr>
          <w:t>here</w:t>
        </w:r>
      </w:hyperlink>
      <w:r>
        <w:rPr>
          <w:rStyle w:val="Hyperlink"/>
          <w:color w:val="auto"/>
          <w:u w:val="none"/>
          <w:lang w:val="en-GB"/>
        </w:rPr>
        <w:t xml:space="preserve">. </w:t>
      </w:r>
    </w:p>
    <w:p w14:paraId="5CDAA2B2" w14:textId="77777777" w:rsidR="000B547A" w:rsidRPr="00883560" w:rsidRDefault="000B547A" w:rsidP="004830B4">
      <w:pPr>
        <w:spacing w:line="240" w:lineRule="auto"/>
        <w:jc w:val="both"/>
        <w:rPr>
          <w:lang w:val="en-GB"/>
        </w:rPr>
      </w:pPr>
    </w:p>
    <w:p w14:paraId="79CED96E" w14:textId="3A645E7B" w:rsidR="007A61FC" w:rsidRDefault="00EF446F" w:rsidP="00CE7D4C">
      <w:pPr>
        <w:pStyle w:val="Heading2"/>
        <w:spacing w:line="240" w:lineRule="auto"/>
        <w:jc w:val="both"/>
        <w:rPr>
          <w:lang w:val="en-GB"/>
        </w:rPr>
      </w:pPr>
      <w:r w:rsidRPr="001A3BA9">
        <w:rPr>
          <w:lang w:val="en-GB"/>
        </w:rPr>
        <w:t>Publications, funding opportunities and events</w:t>
      </w:r>
    </w:p>
    <w:p w14:paraId="1307C7B3" w14:textId="77777777" w:rsidR="004830B4" w:rsidRDefault="004830B4" w:rsidP="004830B4">
      <w:pPr>
        <w:rPr>
          <w:lang w:val="en-GB"/>
        </w:rPr>
      </w:pPr>
    </w:p>
    <w:p w14:paraId="5D74FAE0" w14:textId="0DE8DBEE" w:rsidR="008B3D0B" w:rsidRDefault="008B3D0B" w:rsidP="00F34D3B">
      <w:pPr>
        <w:jc w:val="both"/>
        <w:rPr>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Pr="001A75A1">
        <w:rPr>
          <w:rFonts w:ascii="Calibri" w:eastAsia="Calibri" w:hAnsi="Calibri" w:cs="Times New Roman"/>
          <w:b/>
          <w:lang w:val="en-GB"/>
        </w:rPr>
        <w:t xml:space="preserve">European </w:t>
      </w:r>
      <w:r>
        <w:rPr>
          <w:rFonts w:ascii="Calibri" w:eastAsia="Calibri" w:hAnsi="Calibri" w:cs="Times New Roman"/>
          <w:b/>
          <w:lang w:val="en-GB"/>
        </w:rPr>
        <w:t>Commission</w:t>
      </w:r>
      <w:r w:rsidRPr="001A3BA9">
        <w:rPr>
          <w:rFonts w:ascii="Calibri" w:eastAsia="Calibri" w:hAnsi="Calibri" w:cs="Times New Roman"/>
          <w:lang w:val="en-GB"/>
        </w:rPr>
        <w:t xml:space="preserve"> –</w:t>
      </w:r>
      <w:r w:rsidRPr="00E62BDF">
        <w:rPr>
          <w:lang w:val="en-US"/>
        </w:rPr>
        <w:t xml:space="preserve"> </w:t>
      </w:r>
      <w:bookmarkStart w:id="20" w:name="_Sexual_Orientation_and"/>
      <w:bookmarkEnd w:id="20"/>
      <w:r>
        <w:rPr>
          <w:lang w:val="en-US"/>
        </w:rPr>
        <w:fldChar w:fldCharType="begin"/>
      </w:r>
      <w:r>
        <w:rPr>
          <w:lang w:val="en-US"/>
        </w:rPr>
        <w:instrText xml:space="preserve"> HYPERLINK "http://ec.europa.eu/justice/discrimination/files/roma-report-2016_en.pdf" </w:instrText>
      </w:r>
      <w:r>
        <w:rPr>
          <w:lang w:val="en-US"/>
        </w:rPr>
        <w:fldChar w:fldCharType="separate"/>
      </w:r>
      <w:r w:rsidRPr="008B3D0B">
        <w:rPr>
          <w:rStyle w:val="Hyperlink"/>
          <w:lang w:val="en-US"/>
        </w:rPr>
        <w:t>Assessing the implementation of the EU Framework for National Roma Integration Strategies and the Council Recommendation on effective Roma integration measures in the Member States 2016</w:t>
      </w:r>
      <w:r>
        <w:rPr>
          <w:lang w:val="en-US"/>
        </w:rPr>
        <w:fldChar w:fldCharType="end"/>
      </w:r>
    </w:p>
    <w:p w14:paraId="05EE9AD4" w14:textId="66073BD1" w:rsidR="00674263" w:rsidRDefault="00674263" w:rsidP="00F34D3B">
      <w:pPr>
        <w:jc w:val="both"/>
        <w:rPr>
          <w:lang w:val="en-US"/>
        </w:rPr>
      </w:pPr>
      <w:r w:rsidRPr="00674263">
        <w:rPr>
          <w:lang w:val="en-US"/>
        </w:rPr>
        <w:t xml:space="preserve">The Commission has adopted its annual report on Roma integration. This year’s assessment provides, for the first time, an overview of the measures put in place by Member States following the </w:t>
      </w:r>
      <w:hyperlink r:id="rId47" w:history="1">
        <w:r w:rsidRPr="00674263">
          <w:rPr>
            <w:rStyle w:val="Hyperlink"/>
            <w:lang w:val="en-US"/>
          </w:rPr>
          <w:t>2013 Council Recommendation on effective Roma integration measures</w:t>
        </w:r>
      </w:hyperlink>
      <w:r w:rsidRPr="00674263">
        <w:rPr>
          <w:lang w:val="en-US"/>
        </w:rPr>
        <w:t>, which required them to develop National Roma Integration strategies to promote access of Roma to education, employment, healthcare and housing.</w:t>
      </w:r>
      <w:r>
        <w:rPr>
          <w:lang w:val="en-US"/>
        </w:rPr>
        <w:t xml:space="preserve"> Read more information about the report</w:t>
      </w:r>
      <w:hyperlink r:id="rId48" w:history="1">
        <w:r w:rsidRPr="00674263">
          <w:rPr>
            <w:rStyle w:val="Hyperlink"/>
            <w:lang w:val="en-US"/>
          </w:rPr>
          <w:t xml:space="preserve"> here</w:t>
        </w:r>
      </w:hyperlink>
      <w:r>
        <w:rPr>
          <w:lang w:val="en-US"/>
        </w:rPr>
        <w:t xml:space="preserve">. </w:t>
      </w:r>
    </w:p>
    <w:p w14:paraId="0A3591CF" w14:textId="77777777" w:rsidR="00F34D3B" w:rsidRDefault="00F34D3B" w:rsidP="00F34D3B">
      <w:pPr>
        <w:jc w:val="both"/>
        <w:rPr>
          <w:lang w:val="en-US"/>
        </w:rPr>
      </w:pPr>
    </w:p>
    <w:p w14:paraId="4376734D" w14:textId="2C84E283" w:rsidR="00624AFF" w:rsidRPr="00842C67" w:rsidRDefault="00D05673" w:rsidP="00CE7D4C">
      <w:pPr>
        <w:pStyle w:val="Heading1"/>
        <w:pBdr>
          <w:top w:val="dotted" w:sz="4" w:space="1" w:color="auto"/>
          <w:bottom w:val="dotted" w:sz="4" w:space="1" w:color="auto"/>
        </w:pBdr>
        <w:spacing w:line="240" w:lineRule="auto"/>
        <w:rPr>
          <w:lang w:val="en-GB"/>
        </w:rPr>
      </w:pPr>
      <w:r w:rsidRPr="001A3BA9">
        <w:rPr>
          <w:lang w:val="en-GB"/>
        </w:rPr>
        <w:t>Sexual Orientation and Gender Identity</w:t>
      </w:r>
      <w:bookmarkEnd w:id="16"/>
      <w:bookmarkEnd w:id="17"/>
      <w:bookmarkEnd w:id="18"/>
      <w:bookmarkEnd w:id="19"/>
    </w:p>
    <w:p w14:paraId="439731E8" w14:textId="77777777" w:rsidR="00D51E65" w:rsidRDefault="00D51E65" w:rsidP="004830B4">
      <w:pPr>
        <w:rPr>
          <w:lang w:val="en-GB"/>
        </w:rPr>
      </w:pPr>
    </w:p>
    <w:p w14:paraId="4A7BADFD" w14:textId="77777777" w:rsidR="00AA01E3" w:rsidRDefault="00AA01E3" w:rsidP="00CE7D4C">
      <w:pPr>
        <w:pStyle w:val="Heading2"/>
        <w:spacing w:line="240" w:lineRule="auto"/>
        <w:jc w:val="both"/>
        <w:rPr>
          <w:lang w:val="en-GB"/>
        </w:rPr>
      </w:pPr>
      <w:r w:rsidRPr="001A3BA9">
        <w:rPr>
          <w:lang w:val="en-GB"/>
        </w:rPr>
        <w:t>Policy developments</w:t>
      </w:r>
    </w:p>
    <w:p w14:paraId="3A4D752C" w14:textId="35FEA208" w:rsidR="00700753" w:rsidRDefault="00700753" w:rsidP="008F4A3A">
      <w:pPr>
        <w:tabs>
          <w:tab w:val="left" w:pos="1275"/>
        </w:tabs>
        <w:spacing w:line="240" w:lineRule="auto"/>
        <w:jc w:val="both"/>
        <w:rPr>
          <w:lang w:val="en-GB"/>
        </w:rPr>
      </w:pPr>
    </w:p>
    <w:p w14:paraId="2F2D542B" w14:textId="0FCE5ECB" w:rsidR="00674263" w:rsidRDefault="00674263" w:rsidP="004465CF">
      <w:pPr>
        <w:pStyle w:val="ListParagraph"/>
        <w:numPr>
          <w:ilvl w:val="0"/>
          <w:numId w:val="17"/>
        </w:numPr>
        <w:spacing w:line="240" w:lineRule="auto"/>
        <w:jc w:val="both"/>
        <w:rPr>
          <w:b/>
          <w:color w:val="1F3864" w:themeColor="accent5" w:themeShade="80"/>
          <w:lang w:val="en-GB"/>
        </w:rPr>
      </w:pPr>
      <w:r>
        <w:rPr>
          <w:b/>
          <w:color w:val="1F3864" w:themeColor="accent5" w:themeShade="80"/>
          <w:lang w:val="en-GB"/>
        </w:rPr>
        <w:t xml:space="preserve">UN adopts resolution to appoint the first independent Expert on Sexual Orientation and Gender Identity </w:t>
      </w:r>
    </w:p>
    <w:p w14:paraId="0CA778B5" w14:textId="25ADE94B" w:rsidR="00674263" w:rsidRPr="00674263" w:rsidRDefault="00674263" w:rsidP="00674263">
      <w:pPr>
        <w:spacing w:line="240" w:lineRule="auto"/>
        <w:jc w:val="both"/>
        <w:rPr>
          <w:lang w:val="en-GB"/>
        </w:rPr>
      </w:pPr>
      <w:r w:rsidRPr="00674263">
        <w:rPr>
          <w:lang w:val="en-GB"/>
        </w:rPr>
        <w:t xml:space="preserve">The new Independent Expert will monitor human rights violations against LGBTI people, monitor the implementation of anti-discrimination laws. More information is available </w:t>
      </w:r>
      <w:hyperlink r:id="rId49" w:history="1">
        <w:r w:rsidRPr="00674263">
          <w:rPr>
            <w:rStyle w:val="Hyperlink"/>
            <w:lang w:val="en-GB"/>
          </w:rPr>
          <w:t>here</w:t>
        </w:r>
      </w:hyperlink>
      <w:r w:rsidRPr="00674263">
        <w:rPr>
          <w:lang w:val="en-GB"/>
        </w:rPr>
        <w:t xml:space="preserve">. </w:t>
      </w:r>
    </w:p>
    <w:p w14:paraId="7902BC20" w14:textId="18A8A4AB" w:rsidR="00674263" w:rsidRDefault="00674263" w:rsidP="00674263">
      <w:pPr>
        <w:pStyle w:val="ListParagraph"/>
        <w:spacing w:line="240" w:lineRule="auto"/>
        <w:jc w:val="both"/>
        <w:rPr>
          <w:b/>
          <w:color w:val="1F3864" w:themeColor="accent5" w:themeShade="80"/>
          <w:lang w:val="en-GB"/>
        </w:rPr>
      </w:pPr>
    </w:p>
    <w:p w14:paraId="2BB9821C" w14:textId="1AA5C612" w:rsidR="007C2A09" w:rsidRPr="004465CF" w:rsidRDefault="007C2A09" w:rsidP="004465CF">
      <w:pPr>
        <w:pStyle w:val="ListParagraph"/>
        <w:numPr>
          <w:ilvl w:val="0"/>
          <w:numId w:val="17"/>
        </w:numPr>
        <w:spacing w:line="240" w:lineRule="auto"/>
        <w:jc w:val="both"/>
        <w:rPr>
          <w:b/>
          <w:color w:val="1F3864" w:themeColor="accent5" w:themeShade="80"/>
          <w:lang w:val="en-GB"/>
        </w:rPr>
      </w:pPr>
      <w:r w:rsidRPr="007C2A09">
        <w:rPr>
          <w:b/>
          <w:color w:val="1F3864" w:themeColor="accent5" w:themeShade="80"/>
          <w:lang w:val="en-GB"/>
        </w:rPr>
        <w:t>Joint statement from Amnesty International, ILGA-Europe and Transgender Europe</w:t>
      </w:r>
      <w:r w:rsidR="00F34D3B">
        <w:rPr>
          <w:b/>
          <w:color w:val="1F3864" w:themeColor="accent5" w:themeShade="80"/>
          <w:lang w:val="en-GB"/>
        </w:rPr>
        <w:t xml:space="preserve">: </w:t>
      </w:r>
      <w:r w:rsidR="004465CF" w:rsidRPr="004465CF">
        <w:rPr>
          <w:b/>
          <w:color w:val="1F3864" w:themeColor="accent5" w:themeShade="80"/>
          <w:lang w:val="en-GB"/>
        </w:rPr>
        <w:t>Members of the French Parliament should ensure respect for the human rights</w:t>
      </w:r>
      <w:r w:rsidR="004465CF">
        <w:rPr>
          <w:b/>
          <w:color w:val="1F3864" w:themeColor="accent5" w:themeShade="80"/>
          <w:lang w:val="en-GB"/>
        </w:rPr>
        <w:t xml:space="preserve"> </w:t>
      </w:r>
      <w:r w:rsidR="004465CF" w:rsidRPr="004465CF">
        <w:rPr>
          <w:b/>
          <w:color w:val="1F3864" w:themeColor="accent5" w:themeShade="80"/>
          <w:lang w:val="en-GB"/>
        </w:rPr>
        <w:t>of trans people</w:t>
      </w:r>
    </w:p>
    <w:p w14:paraId="06C13E99" w14:textId="3F89FDF8" w:rsidR="007C2A09" w:rsidRDefault="007C2A09" w:rsidP="007C2A09">
      <w:pPr>
        <w:spacing w:line="240" w:lineRule="auto"/>
        <w:jc w:val="both"/>
        <w:rPr>
          <w:lang w:val="en-GB"/>
        </w:rPr>
      </w:pPr>
      <w:r>
        <w:rPr>
          <w:lang w:val="en-GB"/>
        </w:rPr>
        <w:t>On June 19</w:t>
      </w:r>
      <w:r w:rsidRPr="007C2A09">
        <w:rPr>
          <w:vertAlign w:val="superscript"/>
          <w:lang w:val="en-GB"/>
        </w:rPr>
        <w:t>th</w:t>
      </w:r>
      <w:r>
        <w:rPr>
          <w:lang w:val="en-GB"/>
        </w:rPr>
        <w:t xml:space="preserve"> a </w:t>
      </w:r>
      <w:r w:rsidRPr="007C2A09">
        <w:rPr>
          <w:lang w:val="en-GB"/>
        </w:rPr>
        <w:t xml:space="preserve">Committee composed of members of the French National Assembly and the Senate </w:t>
      </w:r>
      <w:r>
        <w:rPr>
          <w:lang w:val="en-GB"/>
        </w:rPr>
        <w:t>discussed</w:t>
      </w:r>
      <w:r w:rsidRPr="007C2A09">
        <w:rPr>
          <w:lang w:val="en-GB"/>
        </w:rPr>
        <w:t xml:space="preserve"> a legislative proposal, </w:t>
      </w:r>
      <w:r>
        <w:rPr>
          <w:lang w:val="en-GB"/>
        </w:rPr>
        <w:t xml:space="preserve">which allows </w:t>
      </w:r>
      <w:r w:rsidR="00F34D3B" w:rsidRPr="007C2A09">
        <w:rPr>
          <w:lang w:val="en-GB"/>
        </w:rPr>
        <w:t>Trans</w:t>
      </w:r>
      <w:r w:rsidRPr="007C2A09">
        <w:rPr>
          <w:lang w:val="en-GB"/>
        </w:rPr>
        <w:t xml:space="preserve"> people to obtain legal recognition of their gender, but in order to do so they will have to produce evidence that may include medical certificates.</w:t>
      </w:r>
      <w:r>
        <w:rPr>
          <w:lang w:val="en-GB"/>
        </w:rPr>
        <w:t xml:space="preserve"> These organisations c</w:t>
      </w:r>
      <w:r w:rsidRPr="007C2A09">
        <w:rPr>
          <w:lang w:val="en-GB"/>
        </w:rPr>
        <w:t xml:space="preserve">all on French MPs to amend the proposal to ensure that </w:t>
      </w:r>
      <w:r w:rsidR="00F34D3B" w:rsidRPr="007C2A09">
        <w:rPr>
          <w:lang w:val="en-GB"/>
        </w:rPr>
        <w:t>Trans</w:t>
      </w:r>
      <w:r w:rsidRPr="007C2A09">
        <w:rPr>
          <w:lang w:val="en-GB"/>
        </w:rPr>
        <w:t xml:space="preserve"> people can obtain legal gender recognition through a procedure that does not impose abusive requirements and that fully respects their human rights.</w:t>
      </w:r>
      <w:r>
        <w:rPr>
          <w:lang w:val="en-GB"/>
        </w:rPr>
        <w:t xml:space="preserve"> You can read the statement </w:t>
      </w:r>
      <w:hyperlink r:id="rId50" w:history="1">
        <w:r w:rsidRPr="003A343E">
          <w:rPr>
            <w:rStyle w:val="Hyperlink"/>
            <w:lang w:val="en-GB"/>
          </w:rPr>
          <w:t>here</w:t>
        </w:r>
      </w:hyperlink>
      <w:r>
        <w:rPr>
          <w:rStyle w:val="Hyperlink"/>
          <w:lang w:val="en-GB"/>
        </w:rPr>
        <w:t xml:space="preserve">. </w:t>
      </w:r>
    </w:p>
    <w:p w14:paraId="25C9045F" w14:textId="77777777" w:rsidR="007C2A09" w:rsidRPr="00AA01E3" w:rsidRDefault="007C2A09" w:rsidP="008F4A3A">
      <w:pPr>
        <w:tabs>
          <w:tab w:val="left" w:pos="1275"/>
        </w:tabs>
        <w:spacing w:line="240" w:lineRule="auto"/>
        <w:jc w:val="both"/>
        <w:rPr>
          <w:lang w:val="en-GB"/>
        </w:rPr>
      </w:pPr>
    </w:p>
    <w:p w14:paraId="05C80605" w14:textId="247DF04D" w:rsidR="00842C67" w:rsidRPr="004465CF" w:rsidRDefault="00EF446F" w:rsidP="00CE7D4C">
      <w:pPr>
        <w:pStyle w:val="Heading2"/>
        <w:spacing w:line="240" w:lineRule="auto"/>
        <w:rPr>
          <w:lang w:val="en-GB"/>
        </w:rPr>
      </w:pPr>
      <w:r w:rsidRPr="004465CF">
        <w:rPr>
          <w:lang w:val="en-GB"/>
        </w:rPr>
        <w:t>Publications, funding opportunities and events</w:t>
      </w:r>
      <w:r w:rsidR="00842C67" w:rsidRPr="004465CF">
        <w:rPr>
          <w:lang w:val="en-GB"/>
        </w:rPr>
        <w:br/>
      </w:r>
    </w:p>
    <w:p w14:paraId="7100F3F7" w14:textId="586D55B4" w:rsidR="002E5189" w:rsidRDefault="002E5189" w:rsidP="002E5189">
      <w:pPr>
        <w:spacing w:line="240" w:lineRule="auto"/>
        <w:jc w:val="both"/>
        <w:rPr>
          <w:u w:val="single"/>
          <w:lang w:val="en-US"/>
        </w:rPr>
      </w:pPr>
      <w:r w:rsidRPr="004465CF">
        <w:rPr>
          <w:b/>
          <w:color w:val="FFFFFF" w:themeColor="background1"/>
          <w:shd w:val="clear" w:color="auto" w:fill="7030A0"/>
          <w:lang w:val="en-GB"/>
        </w:rPr>
        <w:t>PUBLICATION</w:t>
      </w:r>
      <w:r w:rsidRPr="004465CF">
        <w:rPr>
          <w:rFonts w:ascii="Calibri" w:eastAsia="Calibri" w:hAnsi="Calibri" w:cs="Times New Roman"/>
          <w:lang w:val="en-GB"/>
        </w:rPr>
        <w:t xml:space="preserve"> </w:t>
      </w:r>
      <w:r w:rsidRPr="004465CF">
        <w:rPr>
          <w:b/>
          <w:lang w:val="en-GB"/>
        </w:rPr>
        <w:t xml:space="preserve">– Council of Europe </w:t>
      </w:r>
      <w:r w:rsidRPr="004465CF">
        <w:rPr>
          <w:lang w:val="en-GB"/>
        </w:rPr>
        <w:t>–</w:t>
      </w:r>
      <w:r w:rsidRPr="004465CF">
        <w:rPr>
          <w:u w:val="single"/>
          <w:lang w:val="en-GB"/>
        </w:rPr>
        <w:t xml:space="preserve"> </w:t>
      </w:r>
      <w:hyperlink r:id="rId51" w:history="1">
        <w:r w:rsidRPr="004465CF">
          <w:rPr>
            <w:rStyle w:val="Hyperlink"/>
            <w:lang w:val="en-US"/>
          </w:rPr>
          <w:t>National action plans as effective tools to promote and protect the Human Rights of LGBTI people</w:t>
        </w:r>
      </w:hyperlink>
      <w:r w:rsidRPr="004465CF">
        <w:rPr>
          <w:u w:val="single"/>
          <w:lang w:val="en-US"/>
        </w:rPr>
        <w:t xml:space="preserve"> </w:t>
      </w:r>
    </w:p>
    <w:p w14:paraId="083D2215" w14:textId="70E428FA" w:rsidR="00E62BDF" w:rsidRPr="009754E9" w:rsidRDefault="00674263" w:rsidP="009754E9">
      <w:pPr>
        <w:spacing w:line="240" w:lineRule="auto"/>
        <w:jc w:val="both"/>
        <w:rPr>
          <w:u w:val="single"/>
          <w:lang w:val="en-US"/>
        </w:rPr>
      </w:pPr>
      <w:r w:rsidRPr="004465CF">
        <w:rPr>
          <w:b/>
          <w:color w:val="FFFFFF" w:themeColor="background1"/>
          <w:shd w:val="clear" w:color="auto" w:fill="7030A0"/>
          <w:lang w:val="en-GB"/>
        </w:rPr>
        <w:t>PUBLICATION</w:t>
      </w:r>
      <w:r w:rsidRPr="004465CF">
        <w:rPr>
          <w:rFonts w:ascii="Calibri" w:eastAsia="Calibri" w:hAnsi="Calibri" w:cs="Times New Roman"/>
          <w:lang w:val="en-GB"/>
        </w:rPr>
        <w:t xml:space="preserve"> </w:t>
      </w:r>
      <w:r w:rsidRPr="004465CF">
        <w:rPr>
          <w:b/>
          <w:lang w:val="en-GB"/>
        </w:rPr>
        <w:t>–</w:t>
      </w:r>
      <w:r>
        <w:rPr>
          <w:b/>
          <w:lang w:val="en-GB"/>
        </w:rPr>
        <w:t xml:space="preserve"> ILGA-Europe</w:t>
      </w:r>
      <w:r w:rsidRPr="004465CF">
        <w:rPr>
          <w:b/>
          <w:lang w:val="en-GB"/>
        </w:rPr>
        <w:t xml:space="preserve"> </w:t>
      </w:r>
      <w:r w:rsidRPr="004465CF">
        <w:rPr>
          <w:lang w:val="en-GB"/>
        </w:rPr>
        <w:t>–</w:t>
      </w:r>
      <w:r w:rsidRPr="00674263">
        <w:rPr>
          <w:lang w:val="en-GB"/>
        </w:rPr>
        <w:t xml:space="preserve"> </w:t>
      </w:r>
      <w:hyperlink r:id="rId52" w:history="1">
        <w:r w:rsidRPr="00674263">
          <w:rPr>
            <w:rStyle w:val="Hyperlink"/>
            <w:lang w:val="en-US"/>
          </w:rPr>
          <w:t>5 key facts on the EU and LGBT equality</w:t>
        </w:r>
      </w:hyperlink>
      <w:r w:rsidRPr="004465CF">
        <w:rPr>
          <w:u w:val="single"/>
          <w:lang w:val="en-US"/>
        </w:rPr>
        <w:t xml:space="preserve"> </w:t>
      </w:r>
      <w:bookmarkStart w:id="21" w:name="_Disability"/>
      <w:bookmarkEnd w:id="21"/>
    </w:p>
    <w:p w14:paraId="6E4EE83A" w14:textId="77777777" w:rsidR="006762EA" w:rsidRPr="0049407A" w:rsidRDefault="006762EA" w:rsidP="00CE7D4C">
      <w:pPr>
        <w:spacing w:line="240" w:lineRule="auto"/>
        <w:rPr>
          <w:lang w:val="en-GB"/>
        </w:rPr>
      </w:pPr>
    </w:p>
    <w:p w14:paraId="16F13B09" w14:textId="355DCE5B" w:rsidR="00D05673" w:rsidRPr="001A3BA9" w:rsidRDefault="00AB116C" w:rsidP="00CE7D4C">
      <w:pPr>
        <w:pStyle w:val="Heading1"/>
        <w:pBdr>
          <w:top w:val="dotted" w:sz="4" w:space="1" w:color="auto"/>
          <w:bottom w:val="dotted" w:sz="4" w:space="1" w:color="auto"/>
        </w:pBdr>
        <w:spacing w:line="240" w:lineRule="auto"/>
        <w:rPr>
          <w:lang w:val="en-GB"/>
        </w:rPr>
      </w:pPr>
      <w:bookmarkStart w:id="22" w:name="_Age"/>
      <w:bookmarkStart w:id="23" w:name="_Ref421267547"/>
      <w:bookmarkEnd w:id="22"/>
      <w:r w:rsidRPr="001A3BA9">
        <w:rPr>
          <w:lang w:val="en-GB"/>
        </w:rPr>
        <w:t>Age</w:t>
      </w:r>
      <w:bookmarkEnd w:id="23"/>
    </w:p>
    <w:p w14:paraId="34F20C56" w14:textId="77777777" w:rsidR="00FE5DDF" w:rsidRDefault="00FE5DDF" w:rsidP="00CE7D4C">
      <w:pPr>
        <w:spacing w:line="240" w:lineRule="auto"/>
        <w:rPr>
          <w:lang w:val="en-GB"/>
        </w:rPr>
      </w:pPr>
    </w:p>
    <w:p w14:paraId="5D649896" w14:textId="77777777" w:rsidR="001E3B34" w:rsidRDefault="001E3B34" w:rsidP="001E3B34">
      <w:pPr>
        <w:pStyle w:val="Heading2"/>
        <w:spacing w:line="240" w:lineRule="auto"/>
        <w:jc w:val="both"/>
        <w:rPr>
          <w:lang w:val="en-GB"/>
        </w:rPr>
      </w:pPr>
      <w:r w:rsidRPr="001A3BA9">
        <w:rPr>
          <w:lang w:val="en-GB"/>
        </w:rPr>
        <w:t>Policy developments</w:t>
      </w:r>
    </w:p>
    <w:p w14:paraId="2E6E6D51" w14:textId="77777777" w:rsidR="001E3B34" w:rsidRDefault="001E3B34" w:rsidP="00CE7D4C">
      <w:pPr>
        <w:spacing w:line="240" w:lineRule="auto"/>
        <w:rPr>
          <w:highlight w:val="yellow"/>
          <w:lang w:val="en-GB"/>
        </w:rPr>
      </w:pPr>
    </w:p>
    <w:p w14:paraId="773E9C5D" w14:textId="484197F9" w:rsidR="001E3B34" w:rsidRPr="00C16A67" w:rsidRDefault="001E3B34" w:rsidP="001E3B34">
      <w:pPr>
        <w:pStyle w:val="ListParagraph"/>
        <w:numPr>
          <w:ilvl w:val="0"/>
          <w:numId w:val="17"/>
        </w:numPr>
        <w:spacing w:line="240" w:lineRule="auto"/>
        <w:rPr>
          <w:b/>
          <w:lang w:val="en-GB"/>
        </w:rPr>
      </w:pPr>
      <w:r w:rsidRPr="00C16A67">
        <w:rPr>
          <w:b/>
          <w:lang w:val="en-GB"/>
        </w:rPr>
        <w:t>UN Human Rights Council adopt resolution on youth and human rights</w:t>
      </w:r>
    </w:p>
    <w:p w14:paraId="4F92A7F1" w14:textId="31A44C0F" w:rsidR="001E3B34" w:rsidRPr="00C16A67" w:rsidRDefault="001E3B34" w:rsidP="001E3B34">
      <w:pPr>
        <w:spacing w:line="240" w:lineRule="auto"/>
        <w:rPr>
          <w:lang w:val="en-GB"/>
        </w:rPr>
      </w:pPr>
      <w:r w:rsidRPr="00C16A67">
        <w:rPr>
          <w:lang w:val="en-GB"/>
        </w:rPr>
        <w:t>On 30</w:t>
      </w:r>
      <w:r w:rsidRPr="00C16A67">
        <w:rPr>
          <w:vertAlign w:val="superscript"/>
          <w:lang w:val="en-GB"/>
        </w:rPr>
        <w:t>th</w:t>
      </w:r>
      <w:r w:rsidRPr="00C16A67">
        <w:rPr>
          <w:lang w:val="en-GB"/>
        </w:rPr>
        <w:t xml:space="preserve"> June, the UN Human Rights Council adopted a resolution on Youth and Human Rights</w:t>
      </w:r>
      <w:r w:rsidR="00C16A67" w:rsidRPr="00C16A67">
        <w:rPr>
          <w:lang w:val="en-GB"/>
        </w:rPr>
        <w:t xml:space="preserve">, calling on the UN to address challenges specific to young people. More information is available </w:t>
      </w:r>
      <w:hyperlink r:id="rId53" w:history="1">
        <w:r w:rsidR="00C16A67" w:rsidRPr="00C16A67">
          <w:rPr>
            <w:rStyle w:val="Hyperlink"/>
            <w:lang w:val="en-GB"/>
          </w:rPr>
          <w:t>here</w:t>
        </w:r>
      </w:hyperlink>
      <w:r w:rsidR="00C16A67" w:rsidRPr="00C16A67">
        <w:rPr>
          <w:lang w:val="en-GB"/>
        </w:rPr>
        <w:t xml:space="preserve">. </w:t>
      </w:r>
    </w:p>
    <w:p w14:paraId="06164BE7" w14:textId="77777777" w:rsidR="00C16A67" w:rsidRDefault="00C16A67" w:rsidP="00CE7D4C">
      <w:pPr>
        <w:pStyle w:val="Heading2"/>
        <w:spacing w:line="240" w:lineRule="auto"/>
        <w:jc w:val="both"/>
        <w:rPr>
          <w:lang w:val="en-GB"/>
        </w:rPr>
      </w:pPr>
    </w:p>
    <w:p w14:paraId="3AB18B60" w14:textId="483CA443" w:rsidR="00EF446F" w:rsidRDefault="00EF446F" w:rsidP="00CE7D4C">
      <w:pPr>
        <w:pStyle w:val="Heading2"/>
        <w:spacing w:line="240" w:lineRule="auto"/>
        <w:jc w:val="both"/>
        <w:rPr>
          <w:lang w:val="en-GB"/>
        </w:rPr>
      </w:pPr>
      <w:r w:rsidRPr="001A3BA9">
        <w:rPr>
          <w:lang w:val="en-GB"/>
        </w:rPr>
        <w:t>Publications, funding opportunities and events</w:t>
      </w:r>
    </w:p>
    <w:p w14:paraId="19D4C500" w14:textId="77777777" w:rsidR="00842C67" w:rsidRDefault="00842C67" w:rsidP="00CE7D4C">
      <w:pPr>
        <w:spacing w:line="240" w:lineRule="auto"/>
        <w:rPr>
          <w:lang w:val="en-GB"/>
        </w:rPr>
      </w:pPr>
    </w:p>
    <w:p w14:paraId="41B9BD18" w14:textId="77777777" w:rsidR="00E133AC" w:rsidRPr="00E133AC" w:rsidRDefault="00E133AC" w:rsidP="004465CF">
      <w:pPr>
        <w:spacing w:line="240" w:lineRule="auto"/>
        <w:jc w:val="both"/>
        <w:rPr>
          <w:lang w:val="en-US"/>
        </w:rPr>
      </w:pPr>
      <w:r w:rsidRPr="00E133AC">
        <w:rPr>
          <w:b/>
          <w:color w:val="FFFFFF" w:themeColor="background1"/>
          <w:shd w:val="clear" w:color="auto" w:fill="7030A0"/>
          <w:lang w:val="en-GB"/>
        </w:rPr>
        <w:t>PUBLICATION</w:t>
      </w:r>
      <w:r w:rsidRPr="00E133AC">
        <w:rPr>
          <w:rFonts w:ascii="Calibri" w:eastAsia="Calibri" w:hAnsi="Calibri" w:cs="Times New Roman"/>
          <w:color w:val="FFFFFF" w:themeColor="background1"/>
          <w:lang w:val="en-GB"/>
        </w:rPr>
        <w:t xml:space="preserve"> </w:t>
      </w:r>
      <w:r w:rsidRPr="00E133AC">
        <w:rPr>
          <w:b/>
          <w:lang w:val="en-GB"/>
        </w:rPr>
        <w:t>–</w:t>
      </w:r>
      <w:r>
        <w:rPr>
          <w:b/>
          <w:lang w:val="en-GB"/>
        </w:rPr>
        <w:t xml:space="preserve"> </w:t>
      </w:r>
      <w:r w:rsidRPr="00E133AC">
        <w:rPr>
          <w:b/>
          <w:lang w:val="en-GB"/>
        </w:rPr>
        <w:t>AGE Platform Europe</w:t>
      </w:r>
      <w:r w:rsidRPr="00E133AC">
        <w:rPr>
          <w:lang w:val="en-GB"/>
        </w:rPr>
        <w:t>–</w:t>
      </w:r>
      <w:r w:rsidRPr="00E133AC">
        <w:rPr>
          <w:lang w:val="en-US"/>
        </w:rPr>
        <w:t xml:space="preserve"> </w:t>
      </w:r>
      <w:hyperlink r:id="rId54" w:history="1">
        <w:r w:rsidRPr="00E133AC">
          <w:rPr>
            <w:rStyle w:val="Hyperlink"/>
            <w:lang w:val="en-US"/>
          </w:rPr>
          <w:t>Applying the Right to the City to older persons: the opportunity of EU Urban Agenda</w:t>
        </w:r>
      </w:hyperlink>
    </w:p>
    <w:p w14:paraId="09BCED66" w14:textId="738084D6" w:rsidR="008F4A3A" w:rsidRDefault="00536A7F" w:rsidP="004465CF">
      <w:pPr>
        <w:spacing w:line="240" w:lineRule="auto"/>
        <w:jc w:val="both"/>
        <w:rPr>
          <w:lang w:val="en-US"/>
        </w:rPr>
      </w:pPr>
      <w:r w:rsidRPr="00E133AC">
        <w:rPr>
          <w:b/>
          <w:color w:val="FFFFFF" w:themeColor="background1"/>
          <w:shd w:val="clear" w:color="auto" w:fill="7030A0"/>
          <w:lang w:val="en-GB"/>
        </w:rPr>
        <w:t>PUBLICATION</w:t>
      </w:r>
      <w:r w:rsidRPr="008E06CA">
        <w:rPr>
          <w:rFonts w:ascii="Calibri" w:eastAsia="Calibri" w:hAnsi="Calibri" w:cs="Times New Roman"/>
          <w:color w:val="FF0000"/>
          <w:lang w:val="en-GB"/>
        </w:rPr>
        <w:t xml:space="preserve"> </w:t>
      </w:r>
      <w:r w:rsidRPr="00E133AC">
        <w:rPr>
          <w:rFonts w:ascii="Calibri" w:eastAsia="Calibri" w:hAnsi="Calibri" w:cs="Times New Roman"/>
          <w:lang w:val="en-GB"/>
        </w:rPr>
        <w:t xml:space="preserve">– </w:t>
      </w:r>
      <w:r w:rsidRPr="00E133AC">
        <w:rPr>
          <w:rFonts w:ascii="Calibri" w:eastAsia="Calibri" w:hAnsi="Calibri" w:cs="Times New Roman"/>
          <w:b/>
          <w:lang w:val="en-GB"/>
        </w:rPr>
        <w:t>European Youth Forum</w:t>
      </w:r>
      <w:r w:rsidRPr="00E133AC">
        <w:rPr>
          <w:rFonts w:ascii="Calibri" w:eastAsia="Calibri" w:hAnsi="Calibri" w:cs="Times New Roman"/>
          <w:lang w:val="en-GB"/>
        </w:rPr>
        <w:t xml:space="preserve"> – </w:t>
      </w:r>
      <w:hyperlink r:id="rId55" w:history="1">
        <w:r w:rsidR="00E133AC" w:rsidRPr="00E133AC">
          <w:rPr>
            <w:rStyle w:val="Hyperlink"/>
            <w:lang w:val="en-US"/>
          </w:rPr>
          <w:t>A Toolkit on Quality Standards for Youth Policy</w:t>
        </w:r>
      </w:hyperlink>
    </w:p>
    <w:p w14:paraId="24750DD0" w14:textId="77777777" w:rsidR="004465CF" w:rsidRPr="004465CF" w:rsidRDefault="004465CF" w:rsidP="004465CF">
      <w:pPr>
        <w:spacing w:line="240" w:lineRule="auto"/>
        <w:jc w:val="both"/>
        <w:rPr>
          <w:lang w:val="en-US"/>
        </w:rPr>
      </w:pPr>
    </w:p>
    <w:p w14:paraId="36EF85F0" w14:textId="77777777" w:rsidR="009C0A5A" w:rsidRPr="009C0A5A" w:rsidRDefault="009C0A5A" w:rsidP="009C0A5A">
      <w:pPr>
        <w:spacing w:line="240" w:lineRule="auto"/>
        <w:rPr>
          <w:lang w:val="en-GB"/>
        </w:rPr>
      </w:pPr>
    </w:p>
    <w:p w14:paraId="37A35064" w14:textId="280F6441" w:rsidR="00EF446F" w:rsidRPr="001A3BA9" w:rsidRDefault="00EF446F" w:rsidP="00CE7D4C">
      <w:pPr>
        <w:pStyle w:val="Heading1"/>
        <w:pBdr>
          <w:top w:val="dotted" w:sz="4" w:space="1" w:color="auto"/>
          <w:bottom w:val="dotted" w:sz="4" w:space="1" w:color="auto"/>
        </w:pBdr>
        <w:spacing w:line="240" w:lineRule="auto"/>
        <w:rPr>
          <w:lang w:val="en-GB"/>
        </w:rPr>
      </w:pPr>
      <w:bookmarkStart w:id="24" w:name="_Other"/>
      <w:bookmarkEnd w:id="24"/>
      <w:r w:rsidRPr="001A3BA9">
        <w:rPr>
          <w:lang w:val="en-GB"/>
        </w:rPr>
        <w:t>Other</w:t>
      </w:r>
      <w:r w:rsidR="005F29CB">
        <w:rPr>
          <w:lang w:val="en-GB"/>
        </w:rPr>
        <w:t xml:space="preserve"> </w:t>
      </w:r>
      <w:r w:rsidR="00A64F44">
        <w:rPr>
          <w:lang w:val="en-GB"/>
        </w:rPr>
        <w:t xml:space="preserve">policy areas and </w:t>
      </w:r>
      <w:r w:rsidR="005F29CB">
        <w:rPr>
          <w:lang w:val="en-GB"/>
        </w:rPr>
        <w:t>grounds of discrimination</w:t>
      </w:r>
    </w:p>
    <w:p w14:paraId="165AC62D" w14:textId="77777777" w:rsidR="00A64F44" w:rsidRDefault="00A64F44" w:rsidP="00047AFD">
      <w:pPr>
        <w:rPr>
          <w:lang w:val="en-GB"/>
        </w:rPr>
      </w:pPr>
    </w:p>
    <w:p w14:paraId="439AF302" w14:textId="77777777" w:rsidR="00047AFD" w:rsidRDefault="00047AFD" w:rsidP="00047AFD">
      <w:pPr>
        <w:pStyle w:val="Heading2"/>
        <w:spacing w:line="240" w:lineRule="auto"/>
        <w:jc w:val="both"/>
        <w:rPr>
          <w:lang w:val="en-GB"/>
        </w:rPr>
      </w:pPr>
      <w:r w:rsidRPr="001A3BA9">
        <w:rPr>
          <w:lang w:val="en-GB"/>
        </w:rPr>
        <w:t>Policy developments</w:t>
      </w:r>
    </w:p>
    <w:p w14:paraId="238F1810" w14:textId="77777777" w:rsidR="00047AFD" w:rsidRDefault="00047AFD" w:rsidP="00047AFD">
      <w:pPr>
        <w:rPr>
          <w:lang w:val="en-GB"/>
        </w:rPr>
      </w:pPr>
    </w:p>
    <w:p w14:paraId="2A695B5C" w14:textId="572010BF" w:rsidR="00047AFD" w:rsidRPr="00047AFD" w:rsidRDefault="00047AFD" w:rsidP="00047AFD">
      <w:pPr>
        <w:pStyle w:val="ListParagraph"/>
        <w:numPr>
          <w:ilvl w:val="0"/>
          <w:numId w:val="17"/>
        </w:numPr>
        <w:rPr>
          <w:b/>
          <w:lang w:val="en-GB"/>
        </w:rPr>
      </w:pPr>
      <w:r w:rsidRPr="00047AFD">
        <w:rPr>
          <w:b/>
          <w:lang w:val="en-GB"/>
        </w:rPr>
        <w:t>European Commission adopts EU Integration Action Plan of Third-Country Nationals</w:t>
      </w:r>
    </w:p>
    <w:p w14:paraId="56FDEAAC" w14:textId="7A6A228A" w:rsidR="00047AFD" w:rsidRPr="00047AFD" w:rsidRDefault="00047AFD" w:rsidP="00047AFD">
      <w:pPr>
        <w:jc w:val="both"/>
        <w:rPr>
          <w:lang w:val="en-GB"/>
        </w:rPr>
      </w:pPr>
      <w:r>
        <w:rPr>
          <w:lang w:val="en-GB"/>
        </w:rPr>
        <w:t>On 7</w:t>
      </w:r>
      <w:r w:rsidRPr="00047AFD">
        <w:rPr>
          <w:vertAlign w:val="superscript"/>
          <w:lang w:val="en-GB"/>
        </w:rPr>
        <w:t>th</w:t>
      </w:r>
      <w:r>
        <w:rPr>
          <w:lang w:val="en-GB"/>
        </w:rPr>
        <w:t xml:space="preserve"> June, the European Commission adopted an </w:t>
      </w:r>
      <w:r w:rsidRPr="00047AFD">
        <w:rPr>
          <w:b/>
          <w:lang w:val="en-GB"/>
        </w:rPr>
        <w:t>EU Integration Action Plan of Third-Country Nationals</w:t>
      </w:r>
      <w:r>
        <w:rPr>
          <w:lang w:val="en-GB"/>
        </w:rPr>
        <w:t xml:space="preserve">. </w:t>
      </w:r>
      <w:r w:rsidRPr="00047AFD">
        <w:rPr>
          <w:lang w:val="en-GB"/>
        </w:rPr>
        <w:t>The Action Plan includes actions suppor</w:t>
      </w:r>
      <w:r>
        <w:rPr>
          <w:lang w:val="en-GB"/>
        </w:rPr>
        <w:t xml:space="preserve">ting </w:t>
      </w:r>
      <w:r w:rsidRPr="00047AFD">
        <w:rPr>
          <w:lang w:val="en-GB"/>
        </w:rPr>
        <w:t>pre-departure and pre-arrival measures, education, employment and vocational training, a</w:t>
      </w:r>
      <w:r>
        <w:rPr>
          <w:lang w:val="en-GB"/>
        </w:rPr>
        <w:t xml:space="preserve">ccess to basic services, active </w:t>
      </w:r>
      <w:r w:rsidRPr="00047AFD">
        <w:rPr>
          <w:lang w:val="en-GB"/>
        </w:rPr>
        <w:t>participation and social inclusion.</w:t>
      </w:r>
      <w:r>
        <w:rPr>
          <w:lang w:val="en-GB"/>
        </w:rPr>
        <w:t xml:space="preserve"> A specific section is dedicated to non-discrimination, with a focus on racism and xenophobia. More information is available </w:t>
      </w:r>
      <w:hyperlink r:id="rId56" w:history="1">
        <w:r w:rsidRPr="00047AFD">
          <w:rPr>
            <w:rStyle w:val="Hyperlink"/>
            <w:lang w:val="en-GB"/>
          </w:rPr>
          <w:t>here</w:t>
        </w:r>
      </w:hyperlink>
      <w:r>
        <w:rPr>
          <w:lang w:val="en-GB"/>
        </w:rPr>
        <w:t xml:space="preserve"> and </w:t>
      </w:r>
      <w:hyperlink r:id="rId57" w:history="1">
        <w:r w:rsidRPr="00047AFD">
          <w:rPr>
            <w:rStyle w:val="Hyperlink"/>
            <w:lang w:val="en-GB"/>
          </w:rPr>
          <w:t>here</w:t>
        </w:r>
      </w:hyperlink>
      <w:r>
        <w:rPr>
          <w:lang w:val="en-GB"/>
        </w:rPr>
        <w:t xml:space="preserve">. </w:t>
      </w:r>
    </w:p>
    <w:p w14:paraId="3428FD6D" w14:textId="77777777" w:rsidR="00047AFD" w:rsidRDefault="00047AFD" w:rsidP="00047AFD">
      <w:pPr>
        <w:rPr>
          <w:lang w:val="en-GB"/>
        </w:rPr>
      </w:pPr>
    </w:p>
    <w:p w14:paraId="3B0B36B4" w14:textId="48699A8C" w:rsidR="003547E8" w:rsidRDefault="003547E8" w:rsidP="00CE7D4C">
      <w:pPr>
        <w:pStyle w:val="Heading2"/>
        <w:spacing w:line="240" w:lineRule="auto"/>
        <w:rPr>
          <w:lang w:val="en-GB"/>
        </w:rPr>
      </w:pPr>
      <w:r w:rsidRPr="001A3BA9">
        <w:rPr>
          <w:lang w:val="en-GB"/>
        </w:rPr>
        <w:t>Publications, funding opportunities and events</w:t>
      </w:r>
    </w:p>
    <w:p w14:paraId="7658672C" w14:textId="77777777" w:rsidR="00916E9C" w:rsidRPr="00916E9C" w:rsidRDefault="00916E9C" w:rsidP="00916E9C">
      <w:pPr>
        <w:rPr>
          <w:lang w:val="en-GB"/>
        </w:rPr>
      </w:pPr>
    </w:p>
    <w:p w14:paraId="531561DE" w14:textId="26D7AE5B" w:rsidR="00916E9C" w:rsidRDefault="00916E9C" w:rsidP="00916E9C">
      <w:pPr>
        <w:spacing w:line="240" w:lineRule="auto"/>
        <w:jc w:val="both"/>
        <w:rPr>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Pr>
          <w:rFonts w:ascii="Calibri" w:eastAsia="Calibri" w:hAnsi="Calibri" w:cs="Times New Roman"/>
          <w:b/>
          <w:lang w:val="en-GB"/>
        </w:rPr>
        <w:t>Frontex</w:t>
      </w:r>
      <w:r w:rsidRPr="001A3BA9">
        <w:rPr>
          <w:rFonts w:ascii="Calibri" w:eastAsia="Calibri" w:hAnsi="Calibri" w:cs="Times New Roman"/>
          <w:lang w:val="en-GB"/>
        </w:rPr>
        <w:t xml:space="preserve"> – </w:t>
      </w:r>
      <w:hyperlink r:id="rId58" w:history="1">
        <w:r w:rsidRPr="00916E9C">
          <w:rPr>
            <w:rStyle w:val="Hyperlink"/>
            <w:lang w:val="en-US"/>
          </w:rPr>
          <w:t>Western Balkans Annual Risk Analysis 2016</w:t>
        </w:r>
      </w:hyperlink>
    </w:p>
    <w:p w14:paraId="43A1C3AD" w14:textId="77777777" w:rsidR="00A64F44" w:rsidRDefault="00A64F44" w:rsidP="00CE7D4C">
      <w:pPr>
        <w:spacing w:line="240" w:lineRule="auto"/>
        <w:jc w:val="both"/>
        <w:rPr>
          <w:b/>
          <w:color w:val="FFFFFF" w:themeColor="background1"/>
          <w:shd w:val="clear" w:color="auto" w:fill="7030A0"/>
          <w:lang w:val="en-GB"/>
        </w:rPr>
      </w:pPr>
    </w:p>
    <w:p w14:paraId="0DEC4F94" w14:textId="77777777" w:rsidR="00610CE4" w:rsidRPr="001A3BA9" w:rsidRDefault="00610CE4" w:rsidP="00CE7D4C">
      <w:pPr>
        <w:pBdr>
          <w:bottom w:val="dotted" w:sz="36" w:space="1" w:color="auto"/>
        </w:pBdr>
        <w:spacing w:line="240" w:lineRule="auto"/>
        <w:rPr>
          <w:lang w:val="en-GB"/>
        </w:rPr>
      </w:pPr>
    </w:p>
    <w:p w14:paraId="6CA5DCFF" w14:textId="3B46C39E" w:rsidR="009C0A5A" w:rsidRDefault="009C0A5A">
      <w:pPr>
        <w:rPr>
          <w:rFonts w:ascii="Tahoma" w:eastAsiaTheme="majorEastAsia" w:hAnsi="Tahoma" w:cstheme="majorBidi"/>
          <w:b/>
          <w:color w:val="0070C0"/>
          <w:sz w:val="32"/>
          <w:szCs w:val="32"/>
          <w:lang w:val="en-GB"/>
        </w:rPr>
      </w:pPr>
      <w:bookmarkStart w:id="25" w:name="_Recent_case-law"/>
      <w:bookmarkStart w:id="26" w:name="_Toc418770756"/>
      <w:bookmarkStart w:id="27" w:name="_Ref418784375"/>
      <w:bookmarkStart w:id="28" w:name="_Ref421267634"/>
      <w:bookmarkEnd w:id="25"/>
    </w:p>
    <w:p w14:paraId="6A49563D" w14:textId="1DF21F42" w:rsidR="00B07813" w:rsidRPr="001A3BA9" w:rsidRDefault="00B07813" w:rsidP="00CE7D4C">
      <w:pPr>
        <w:pStyle w:val="Heading1"/>
        <w:pBdr>
          <w:top w:val="dotted" w:sz="4" w:space="1" w:color="auto"/>
          <w:bottom w:val="dotted" w:sz="4" w:space="1" w:color="auto"/>
        </w:pBdr>
        <w:spacing w:line="240" w:lineRule="auto"/>
        <w:rPr>
          <w:lang w:val="en-GB"/>
        </w:rPr>
      </w:pPr>
      <w:r w:rsidRPr="001A3BA9">
        <w:rPr>
          <w:lang w:val="en-GB"/>
        </w:rPr>
        <w:t>Recent case-law</w:t>
      </w:r>
      <w:bookmarkEnd w:id="26"/>
      <w:bookmarkEnd w:id="27"/>
      <w:bookmarkEnd w:id="28"/>
    </w:p>
    <w:p w14:paraId="1F1D90D0" w14:textId="77777777" w:rsidR="00A97F7C" w:rsidRPr="00A97F7C" w:rsidRDefault="00A97F7C" w:rsidP="00E87DE2">
      <w:pPr>
        <w:spacing w:line="240" w:lineRule="auto"/>
        <w:rPr>
          <w:lang w:val="en-GB"/>
        </w:rPr>
      </w:pPr>
    </w:p>
    <w:p w14:paraId="284F08C7" w14:textId="77777777" w:rsidR="00E87DE2" w:rsidRPr="00E67890" w:rsidRDefault="00E87DE2" w:rsidP="00E87DE2">
      <w:pPr>
        <w:spacing w:line="240" w:lineRule="auto"/>
        <w:jc w:val="both"/>
        <w:rPr>
          <w:lang w:val="en-GB"/>
        </w:rPr>
      </w:pPr>
    </w:p>
    <w:p w14:paraId="7B10DD56" w14:textId="4A11A56F" w:rsidR="009913B6" w:rsidRPr="001A3BA9" w:rsidRDefault="00AB116C" w:rsidP="00E87DE2">
      <w:pPr>
        <w:pStyle w:val="Heading2"/>
        <w:spacing w:line="240" w:lineRule="auto"/>
        <w:rPr>
          <w:lang w:val="en-GB"/>
        </w:rPr>
      </w:pPr>
      <w:bookmarkStart w:id="29" w:name="_Ref421267644"/>
      <w:r w:rsidRPr="001A3BA9">
        <w:rPr>
          <w:lang w:val="en-GB"/>
        </w:rPr>
        <w:t>European Court of Human Rights (EC</w:t>
      </w:r>
      <w:r w:rsidR="00880B15" w:rsidRPr="001A3BA9">
        <w:rPr>
          <w:lang w:val="en-GB"/>
        </w:rPr>
        <w:t>t</w:t>
      </w:r>
      <w:r w:rsidRPr="001A3BA9">
        <w:rPr>
          <w:lang w:val="en-GB"/>
        </w:rPr>
        <w:t>HR)</w:t>
      </w:r>
      <w:bookmarkEnd w:id="29"/>
      <w:r w:rsidR="009913B6" w:rsidRPr="001A3BA9">
        <w:rPr>
          <w:lang w:val="en-GB"/>
        </w:rPr>
        <w:br/>
      </w:r>
    </w:p>
    <w:p w14:paraId="1E2921F1" w14:textId="77777777" w:rsidR="0054736B" w:rsidRPr="0054736B" w:rsidRDefault="002920C2" w:rsidP="0054736B">
      <w:pPr>
        <w:pStyle w:val="ListParagraph"/>
        <w:numPr>
          <w:ilvl w:val="0"/>
          <w:numId w:val="16"/>
        </w:numPr>
        <w:spacing w:line="240" w:lineRule="auto"/>
        <w:jc w:val="both"/>
        <w:rPr>
          <w:b/>
          <w:lang w:val="en-GB"/>
        </w:rPr>
      </w:pPr>
      <w:hyperlink r:id="rId59" w:history="1">
        <w:r w:rsidR="0054736B" w:rsidRPr="0054736B">
          <w:rPr>
            <w:rStyle w:val="Hyperlink"/>
            <w:b/>
            <w:lang w:val="en-GB"/>
          </w:rPr>
          <w:t>Application no. 38590/10 - Grand Chamber Judgement – Biao v. Denmark</w:t>
        </w:r>
      </w:hyperlink>
      <w:r w:rsidR="0054736B" w:rsidRPr="0054736B">
        <w:rPr>
          <w:b/>
          <w:lang w:val="en-GB"/>
        </w:rPr>
        <w:t xml:space="preserve"> </w:t>
      </w:r>
      <w:r w:rsidR="0054736B" w:rsidRPr="0054736B">
        <w:rPr>
          <w:lang w:val="en-GB"/>
        </w:rPr>
        <w:t>(24 May 2016)</w:t>
      </w:r>
    </w:p>
    <w:p w14:paraId="6062EB7C" w14:textId="6F792870" w:rsidR="0054736B" w:rsidRPr="0054736B" w:rsidRDefault="0054736B" w:rsidP="0054736B">
      <w:pPr>
        <w:spacing w:line="240" w:lineRule="auto"/>
        <w:jc w:val="both"/>
        <w:rPr>
          <w:b/>
          <w:lang w:val="en-GB"/>
        </w:rPr>
      </w:pPr>
      <w:r w:rsidRPr="0054736B">
        <w:rPr>
          <w:lang w:val="en-GB"/>
        </w:rPr>
        <w:t xml:space="preserve">The case concerned the complaint by a naturalised Danish citizen of Togolese origin, Ousmane Biao, and his Ghanaian wife that they could not settle in Denmark. Notably, the Danish authorities refused to grant them family reunion as the couple did not comply with the requirement under the relevant domestic </w:t>
      </w:r>
      <w:r w:rsidR="002920C2">
        <w:rPr>
          <w:lang w:val="en-GB"/>
        </w:rPr>
        <w:t xml:space="preserve">law </w:t>
      </w:r>
      <w:r w:rsidRPr="0054736B">
        <w:rPr>
          <w:lang w:val="en-GB"/>
        </w:rPr>
        <w:t>that they must not have stronger ties with another country, Ghana in their case, than with Denmark (known as the “attachment requirement”). They also complained that an amendment to the Aliens Act in December 2003 – lifting the attachment requirement for those who held Danish citizenship for at least 28 years – resulted in a difference in treatment between those born Danish nationals and those, like Mr Biao, who had acquired Danish citizenship later in life.</w:t>
      </w:r>
    </w:p>
    <w:p w14:paraId="5CF59AF7" w14:textId="43F8F95C" w:rsidR="0054736B" w:rsidRDefault="0054736B" w:rsidP="0054736B">
      <w:pPr>
        <w:spacing w:line="240" w:lineRule="auto"/>
        <w:jc w:val="both"/>
        <w:rPr>
          <w:lang w:val="en-GB"/>
        </w:rPr>
      </w:pPr>
      <w:r w:rsidRPr="0054736B">
        <w:rPr>
          <w:lang w:val="en-GB"/>
        </w:rPr>
        <w:t>The Court therefore concluded that the Government had failed to show that there were compelling or very weighty reasons unrelated to ethnic origin to justify the indirect discriminatory effect of the 28-year rule. That rule favoured Danish nationals of Danish ethnic origin, and placed at a disadvantage, or had a disproportionately prejudicial effect on persons, such as Mr Biao, who acquired Danish nationality later in life and who were of ethnic origins other than Danish.</w:t>
      </w:r>
    </w:p>
    <w:p w14:paraId="3B1576E2" w14:textId="2045C34C" w:rsidR="00E276FB" w:rsidRDefault="002920C2" w:rsidP="00E276FB">
      <w:pPr>
        <w:pStyle w:val="ListParagraph"/>
        <w:numPr>
          <w:ilvl w:val="0"/>
          <w:numId w:val="16"/>
        </w:numPr>
        <w:spacing w:line="240" w:lineRule="auto"/>
        <w:jc w:val="both"/>
        <w:rPr>
          <w:lang w:val="en-GB"/>
        </w:rPr>
      </w:pPr>
      <w:hyperlink r:id="rId60" w:history="1">
        <w:r w:rsidR="00E276FB" w:rsidRPr="00E276FB">
          <w:rPr>
            <w:rStyle w:val="Hyperlink"/>
            <w:b/>
            <w:lang w:val="en-GB"/>
          </w:rPr>
          <w:t>Application no. 63034/11 - Halime Kılıç v. Turkey</w:t>
        </w:r>
      </w:hyperlink>
      <w:r w:rsidR="00E276FB">
        <w:rPr>
          <w:lang w:val="en-GB"/>
        </w:rPr>
        <w:t xml:space="preserve"> (28 June 2016)</w:t>
      </w:r>
    </w:p>
    <w:p w14:paraId="0C5AF7AE" w14:textId="5FE345F7" w:rsidR="00E276FB" w:rsidRPr="00E276FB" w:rsidRDefault="00E276FB" w:rsidP="00E276FB">
      <w:pPr>
        <w:spacing w:line="240" w:lineRule="auto"/>
        <w:jc w:val="both"/>
        <w:rPr>
          <w:lang w:val="en-GB"/>
        </w:rPr>
      </w:pPr>
      <w:r w:rsidRPr="00E276FB">
        <w:rPr>
          <w:lang w:val="en-GB"/>
        </w:rPr>
        <w:t>The case concerned the death of Ms Kılıç’s daughter, Fatma Babatlı</w:t>
      </w:r>
      <w:r>
        <w:rPr>
          <w:lang w:val="en-GB"/>
        </w:rPr>
        <w:t xml:space="preserve">, who was killed by her husband </w:t>
      </w:r>
      <w:r w:rsidRPr="00E276FB">
        <w:rPr>
          <w:lang w:val="en-GB"/>
        </w:rPr>
        <w:t>despite having lodged four complaints and obtained three protection orders and injunctions.</w:t>
      </w:r>
    </w:p>
    <w:p w14:paraId="4378EAB3" w14:textId="1CB7AFD6" w:rsidR="00E276FB" w:rsidRPr="00E276FB" w:rsidRDefault="00E276FB" w:rsidP="00E276FB">
      <w:pPr>
        <w:spacing w:line="240" w:lineRule="auto"/>
        <w:jc w:val="both"/>
        <w:rPr>
          <w:lang w:val="en-GB"/>
        </w:rPr>
      </w:pPr>
      <w:r w:rsidRPr="00E276FB">
        <w:rPr>
          <w:lang w:val="en-GB"/>
        </w:rPr>
        <w:t>The Court found in particular that the domestic proceedings had fai</w:t>
      </w:r>
      <w:r>
        <w:rPr>
          <w:lang w:val="en-GB"/>
        </w:rPr>
        <w:t xml:space="preserve">led to meet the requirements of </w:t>
      </w:r>
      <w:r w:rsidRPr="00E276FB">
        <w:rPr>
          <w:lang w:val="en-GB"/>
        </w:rPr>
        <w:t>Article 2 of the Convention by providing protection for Fatma Babatlı. B</w:t>
      </w:r>
      <w:r>
        <w:rPr>
          <w:lang w:val="en-GB"/>
        </w:rPr>
        <w:t xml:space="preserve">y failing to punish the failure </w:t>
      </w:r>
      <w:r w:rsidRPr="00E276FB">
        <w:rPr>
          <w:lang w:val="en-GB"/>
        </w:rPr>
        <w:t>by Fatma Babatlı’s husband to comply with the orders issued agains</w:t>
      </w:r>
      <w:r>
        <w:rPr>
          <w:lang w:val="en-GB"/>
        </w:rPr>
        <w:t xml:space="preserve">t him, the national authorities </w:t>
      </w:r>
      <w:r w:rsidRPr="00E276FB">
        <w:rPr>
          <w:lang w:val="en-GB"/>
        </w:rPr>
        <w:t>had deprived the orders of any effectiveness, thus creating a cont</w:t>
      </w:r>
      <w:r>
        <w:rPr>
          <w:lang w:val="en-GB"/>
        </w:rPr>
        <w:t xml:space="preserve">ext of impunity enabling him to </w:t>
      </w:r>
      <w:r w:rsidRPr="00E276FB">
        <w:rPr>
          <w:lang w:val="en-GB"/>
        </w:rPr>
        <w:t>repeatedly assault his wife without being called to account.</w:t>
      </w:r>
    </w:p>
    <w:p w14:paraId="4EF5E034" w14:textId="6D803E11" w:rsidR="00E276FB" w:rsidRPr="00E276FB" w:rsidRDefault="00E276FB" w:rsidP="00E276FB">
      <w:pPr>
        <w:spacing w:line="240" w:lineRule="auto"/>
        <w:jc w:val="both"/>
        <w:rPr>
          <w:lang w:val="en-GB"/>
        </w:rPr>
      </w:pPr>
      <w:r w:rsidRPr="00E276FB">
        <w:rPr>
          <w:lang w:val="en-GB"/>
        </w:rPr>
        <w:t>The Court also found it unacceptable that Fatma Babatlı had</w:t>
      </w:r>
      <w:r>
        <w:rPr>
          <w:lang w:val="en-GB"/>
        </w:rPr>
        <w:t xml:space="preserve"> been left without resources or </w:t>
      </w:r>
      <w:r w:rsidRPr="00E276FB">
        <w:rPr>
          <w:lang w:val="en-GB"/>
        </w:rPr>
        <w:t>protection when faced with her husband’s violent behaviour and tha</w:t>
      </w:r>
      <w:r>
        <w:rPr>
          <w:lang w:val="en-GB"/>
        </w:rPr>
        <w:t xml:space="preserve">t in turning a blind eye to the </w:t>
      </w:r>
      <w:r w:rsidRPr="00E276FB">
        <w:rPr>
          <w:lang w:val="en-GB"/>
        </w:rPr>
        <w:t>repeated acts of violence and death threats against the victim, the au</w:t>
      </w:r>
      <w:r>
        <w:rPr>
          <w:lang w:val="en-GB"/>
        </w:rPr>
        <w:t xml:space="preserve">thorities had created a climate </w:t>
      </w:r>
      <w:r w:rsidRPr="00E276FB">
        <w:rPr>
          <w:lang w:val="en-GB"/>
        </w:rPr>
        <w:t xml:space="preserve">that was </w:t>
      </w:r>
      <w:r w:rsidR="009754E9">
        <w:rPr>
          <w:lang w:val="en-GB"/>
        </w:rPr>
        <w:t>conducive to domestic violence.</w:t>
      </w:r>
    </w:p>
    <w:p w14:paraId="4F6BFF8F" w14:textId="7118BF00" w:rsidR="00E67890" w:rsidRPr="0054736B" w:rsidRDefault="002920C2" w:rsidP="00FD41B8">
      <w:pPr>
        <w:pStyle w:val="ListParagraph"/>
        <w:numPr>
          <w:ilvl w:val="0"/>
          <w:numId w:val="16"/>
        </w:numPr>
        <w:spacing w:line="240" w:lineRule="auto"/>
        <w:jc w:val="both"/>
        <w:rPr>
          <w:lang w:val="en-GB"/>
        </w:rPr>
      </w:pPr>
      <w:hyperlink r:id="rId61" w:history="1">
        <w:r w:rsidR="00182F22" w:rsidRPr="00E67890">
          <w:rPr>
            <w:rStyle w:val="Hyperlink"/>
            <w:b/>
            <w:lang w:val="en-GB"/>
          </w:rPr>
          <w:t>Application no.</w:t>
        </w:r>
        <w:r w:rsidR="003C28EB" w:rsidRPr="00E67890">
          <w:rPr>
            <w:rStyle w:val="Hyperlink"/>
            <w:lang w:val="en-US"/>
          </w:rPr>
          <w:t xml:space="preserve"> </w:t>
        </w:r>
        <w:r w:rsidR="00E67890" w:rsidRPr="00E67890">
          <w:rPr>
            <w:rStyle w:val="Hyperlink"/>
            <w:b/>
            <w:lang w:val="en-GB"/>
          </w:rPr>
          <w:t xml:space="preserve">51362/09 </w:t>
        </w:r>
        <w:r w:rsidR="00182F22" w:rsidRPr="00E67890">
          <w:rPr>
            <w:rStyle w:val="Hyperlink"/>
            <w:b/>
            <w:lang w:val="en-GB"/>
          </w:rPr>
          <w:t xml:space="preserve">– </w:t>
        </w:r>
        <w:r w:rsidR="00E67890" w:rsidRPr="00E67890">
          <w:rPr>
            <w:rStyle w:val="Hyperlink"/>
            <w:b/>
            <w:lang w:val="en-GB"/>
          </w:rPr>
          <w:t>Taddeucci and McCall v. Italy</w:t>
        </w:r>
      </w:hyperlink>
      <w:r w:rsidR="00E67890" w:rsidRPr="00E67890">
        <w:rPr>
          <w:b/>
          <w:lang w:val="en-GB"/>
        </w:rPr>
        <w:t xml:space="preserve"> </w:t>
      </w:r>
      <w:r w:rsidR="0054736B" w:rsidRPr="0054736B">
        <w:rPr>
          <w:lang w:val="en-GB"/>
        </w:rPr>
        <w:t>(30 June 2016)</w:t>
      </w:r>
    </w:p>
    <w:p w14:paraId="38B6ADFF" w14:textId="7D7448C6" w:rsidR="004465CF" w:rsidRDefault="00E67890" w:rsidP="004465CF">
      <w:pPr>
        <w:spacing w:line="240" w:lineRule="auto"/>
        <w:jc w:val="both"/>
        <w:rPr>
          <w:lang w:val="en-GB"/>
        </w:rPr>
      </w:pPr>
      <w:r w:rsidRPr="004465CF">
        <w:rPr>
          <w:lang w:val="en-GB"/>
        </w:rPr>
        <w:t>The European Court of Human Rights judgement in the case Taddeucci</w:t>
      </w:r>
      <w:r w:rsidR="0054736B">
        <w:rPr>
          <w:lang w:val="en-GB"/>
        </w:rPr>
        <w:t xml:space="preserve"> and McCall v. Italy</w:t>
      </w:r>
      <w:r w:rsidRPr="004465CF">
        <w:rPr>
          <w:lang w:val="en-GB"/>
        </w:rPr>
        <w:t xml:space="preserve"> held that a refusal to grant a residence permit to a gay couple on family grounds was unjustified discrimination.</w:t>
      </w:r>
    </w:p>
    <w:p w14:paraId="2628FA75" w14:textId="533DE128" w:rsidR="00E87DE2" w:rsidRDefault="00E67890" w:rsidP="004465CF">
      <w:pPr>
        <w:spacing w:line="240" w:lineRule="auto"/>
        <w:jc w:val="both"/>
        <w:rPr>
          <w:lang w:val="en-GB"/>
        </w:rPr>
      </w:pPr>
      <w:r w:rsidRPr="004465CF">
        <w:rPr>
          <w:lang w:val="en-GB"/>
        </w:rPr>
        <w:t xml:space="preserve">Six votes to one voted that a violation had taken place of Article 14 (prohibition of discrimination) taken together with Article 8 (right to respect for private and family life) of the European Convention on Human Rights.  </w:t>
      </w:r>
    </w:p>
    <w:p w14:paraId="05B69EE5" w14:textId="1678B3C5" w:rsidR="004465CF" w:rsidRDefault="004465CF" w:rsidP="004465CF">
      <w:pPr>
        <w:spacing w:line="240" w:lineRule="auto"/>
        <w:jc w:val="both"/>
        <w:rPr>
          <w:lang w:val="en-GB"/>
        </w:rPr>
      </w:pPr>
      <w:r>
        <w:rPr>
          <w:lang w:val="en-GB"/>
        </w:rPr>
        <w:t xml:space="preserve">Read the analysis of the case by ILGA-Europe </w:t>
      </w:r>
      <w:hyperlink r:id="rId62" w:history="1">
        <w:r w:rsidRPr="004465CF">
          <w:rPr>
            <w:rStyle w:val="Hyperlink"/>
            <w:lang w:val="en-GB"/>
          </w:rPr>
          <w:t>here</w:t>
        </w:r>
      </w:hyperlink>
      <w:r>
        <w:rPr>
          <w:lang w:val="en-GB"/>
        </w:rPr>
        <w:t xml:space="preserve">. </w:t>
      </w:r>
    </w:p>
    <w:p w14:paraId="6BDA09E9" w14:textId="79051563" w:rsidR="009754E9" w:rsidRPr="009754E9" w:rsidRDefault="002920C2" w:rsidP="009754E9">
      <w:pPr>
        <w:pStyle w:val="ListParagraph"/>
        <w:numPr>
          <w:ilvl w:val="0"/>
          <w:numId w:val="16"/>
        </w:numPr>
        <w:spacing w:line="240" w:lineRule="auto"/>
        <w:jc w:val="both"/>
        <w:rPr>
          <w:b/>
          <w:lang w:val="en-GB"/>
        </w:rPr>
      </w:pPr>
      <w:hyperlink r:id="rId63" w:anchor="{%22itemid%22:[%22003-5427545-6797362%22]}" w:history="1">
        <w:r w:rsidR="009754E9" w:rsidRPr="009754E9">
          <w:rPr>
            <w:rStyle w:val="Hyperlink"/>
            <w:b/>
            <w:lang w:val="en-GB"/>
          </w:rPr>
          <w:t>Application no. 9912/15 – O.M. v Hungary</w:t>
        </w:r>
      </w:hyperlink>
      <w:r w:rsidR="009754E9" w:rsidRPr="009754E9">
        <w:rPr>
          <w:b/>
          <w:lang w:val="en-GB"/>
        </w:rPr>
        <w:t xml:space="preserve"> (5 July 2016)</w:t>
      </w:r>
    </w:p>
    <w:p w14:paraId="26BB13AD" w14:textId="7CBADC9F" w:rsidR="009754E9" w:rsidRDefault="009754E9" w:rsidP="009754E9">
      <w:pPr>
        <w:spacing w:line="240" w:lineRule="auto"/>
        <w:jc w:val="both"/>
        <w:rPr>
          <w:lang w:val="en-GB"/>
        </w:rPr>
      </w:pPr>
      <w:r w:rsidRPr="009754E9">
        <w:rPr>
          <w:lang w:val="en-GB"/>
        </w:rPr>
        <w:t>The applicant, O.M., is an Iranian national who was born in 1982 a</w:t>
      </w:r>
      <w:r>
        <w:rPr>
          <w:lang w:val="en-GB"/>
        </w:rPr>
        <w:t xml:space="preserve">nd currently lives in Budapest. </w:t>
      </w:r>
      <w:r w:rsidRPr="009754E9">
        <w:rPr>
          <w:lang w:val="en-GB"/>
        </w:rPr>
        <w:t>The case concerned his detention for 58 days following his request for asylum in Hungary.</w:t>
      </w:r>
      <w:r>
        <w:rPr>
          <w:lang w:val="en-GB"/>
        </w:rPr>
        <w:t xml:space="preserve"> </w:t>
      </w:r>
      <w:r w:rsidRPr="009754E9">
        <w:rPr>
          <w:lang w:val="en-GB"/>
        </w:rPr>
        <w:t>Relying on Article 5 (right to liberty and security), O.M. complai</w:t>
      </w:r>
      <w:r>
        <w:rPr>
          <w:lang w:val="en-GB"/>
        </w:rPr>
        <w:t xml:space="preserve">ned that his detention had been </w:t>
      </w:r>
      <w:r w:rsidRPr="009754E9">
        <w:rPr>
          <w:lang w:val="en-GB"/>
        </w:rPr>
        <w:t>arbitrary and unjustified and that the authorities had failed to take in</w:t>
      </w:r>
      <w:r>
        <w:rPr>
          <w:lang w:val="en-GB"/>
        </w:rPr>
        <w:t xml:space="preserve">to consideration the individual </w:t>
      </w:r>
      <w:r w:rsidRPr="009754E9">
        <w:rPr>
          <w:lang w:val="en-GB"/>
        </w:rPr>
        <w:t>circumstances of his case, in particular, his belonging to a vulnerable group.</w:t>
      </w:r>
      <w:r>
        <w:rPr>
          <w:lang w:val="en-GB"/>
        </w:rPr>
        <w:t xml:space="preserve"> The court ruled that Hungary violated the article 5. </w:t>
      </w:r>
    </w:p>
    <w:p w14:paraId="0A98E540" w14:textId="7CE89592" w:rsidR="004465CF" w:rsidRPr="00015A82" w:rsidRDefault="009754E9" w:rsidP="004465CF">
      <w:pPr>
        <w:spacing w:line="240" w:lineRule="auto"/>
        <w:jc w:val="both"/>
        <w:rPr>
          <w:color w:val="0563C1" w:themeColor="hyperlink"/>
          <w:u w:val="single"/>
          <w:lang w:val="en-GB"/>
        </w:rPr>
      </w:pPr>
      <w:r>
        <w:rPr>
          <w:lang w:val="en-GB"/>
        </w:rPr>
        <w:t xml:space="preserve">Read the analysis of the case by ILGA-Europe </w:t>
      </w:r>
      <w:hyperlink r:id="rId64" w:history="1">
        <w:r w:rsidR="00015A82" w:rsidRPr="00015A82">
          <w:rPr>
            <w:rStyle w:val="Hyperlink"/>
            <w:lang w:val="en-GB"/>
          </w:rPr>
          <w:t>here</w:t>
        </w:r>
      </w:hyperlink>
      <w:r w:rsidR="00015A82">
        <w:rPr>
          <w:lang w:val="en-GB"/>
        </w:rPr>
        <w:t xml:space="preserve">. </w:t>
      </w:r>
      <w:bookmarkStart w:id="30" w:name="_GoBack"/>
      <w:bookmarkEnd w:id="30"/>
    </w:p>
    <w:sectPr w:rsidR="004465CF" w:rsidRPr="00015A82" w:rsidSect="006415D5">
      <w:footerReference w:type="default" r:id="rId6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AA19D" w14:textId="77777777" w:rsidR="00FD41B8" w:rsidRDefault="00FD41B8" w:rsidP="001140DC">
      <w:pPr>
        <w:spacing w:after="0" w:line="240" w:lineRule="auto"/>
      </w:pPr>
      <w:r>
        <w:separator/>
      </w:r>
    </w:p>
  </w:endnote>
  <w:endnote w:type="continuationSeparator" w:id="0">
    <w:p w14:paraId="4C6614F9" w14:textId="77777777" w:rsidR="00FD41B8" w:rsidRDefault="00FD41B8"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1DD77DD1" w:rsidR="00FD41B8" w:rsidRDefault="00FD41B8">
        <w:pPr>
          <w:pStyle w:val="Footer"/>
          <w:jc w:val="center"/>
        </w:pPr>
        <w:r>
          <w:fldChar w:fldCharType="begin"/>
        </w:r>
        <w:r>
          <w:instrText xml:space="preserve"> PAGE   \* MERGEFORMAT </w:instrText>
        </w:r>
        <w:r>
          <w:fldChar w:fldCharType="separate"/>
        </w:r>
        <w:r w:rsidR="00015A82">
          <w:rPr>
            <w:noProof/>
          </w:rPr>
          <w:t>4</w:t>
        </w:r>
        <w:r>
          <w:rPr>
            <w:noProof/>
          </w:rPr>
          <w:fldChar w:fldCharType="end"/>
        </w:r>
      </w:p>
    </w:sdtContent>
  </w:sdt>
  <w:p w14:paraId="69CDCD89" w14:textId="77777777" w:rsidR="00FD41B8" w:rsidRDefault="00FD4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5DFD7" w14:textId="77777777" w:rsidR="00FD41B8" w:rsidRDefault="00FD41B8" w:rsidP="001140DC">
      <w:pPr>
        <w:spacing w:after="0" w:line="240" w:lineRule="auto"/>
      </w:pPr>
      <w:r>
        <w:separator/>
      </w:r>
    </w:p>
  </w:footnote>
  <w:footnote w:type="continuationSeparator" w:id="0">
    <w:p w14:paraId="44F3A422" w14:textId="77777777" w:rsidR="00FD41B8" w:rsidRDefault="00FD41B8"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5FC"/>
    <w:multiLevelType w:val="hybridMultilevel"/>
    <w:tmpl w:val="842A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6C88"/>
    <w:multiLevelType w:val="hybridMultilevel"/>
    <w:tmpl w:val="B9A8DE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127922"/>
    <w:multiLevelType w:val="hybridMultilevel"/>
    <w:tmpl w:val="C09C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C089D"/>
    <w:multiLevelType w:val="hybridMultilevel"/>
    <w:tmpl w:val="A1DE2B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D633B1B"/>
    <w:multiLevelType w:val="hybridMultilevel"/>
    <w:tmpl w:val="6986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F6B42"/>
    <w:multiLevelType w:val="hybridMultilevel"/>
    <w:tmpl w:val="B3F0B3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C56813"/>
    <w:multiLevelType w:val="hybridMultilevel"/>
    <w:tmpl w:val="44141072"/>
    <w:lvl w:ilvl="0" w:tplc="50EE1F2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F3BDB"/>
    <w:multiLevelType w:val="hybridMultilevel"/>
    <w:tmpl w:val="8482E9B2"/>
    <w:lvl w:ilvl="0" w:tplc="A69C45C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DD736E"/>
    <w:multiLevelType w:val="hybridMultilevel"/>
    <w:tmpl w:val="4DC4BF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A62188"/>
    <w:multiLevelType w:val="hybridMultilevel"/>
    <w:tmpl w:val="34F860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6702B39"/>
    <w:multiLevelType w:val="hybridMultilevel"/>
    <w:tmpl w:val="CEF291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8012ED2"/>
    <w:multiLevelType w:val="hybridMultilevel"/>
    <w:tmpl w:val="DFC2B8DC"/>
    <w:lvl w:ilvl="0" w:tplc="A69C45C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68D4DFE"/>
    <w:multiLevelType w:val="hybridMultilevel"/>
    <w:tmpl w:val="BD145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CA81278"/>
    <w:multiLevelType w:val="hybridMultilevel"/>
    <w:tmpl w:val="7DDCD9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D217B51"/>
    <w:multiLevelType w:val="hybridMultilevel"/>
    <w:tmpl w:val="0A2CB9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0434772"/>
    <w:multiLevelType w:val="hybridMultilevel"/>
    <w:tmpl w:val="3DCC0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E03468"/>
    <w:multiLevelType w:val="hybridMultilevel"/>
    <w:tmpl w:val="8E38934E"/>
    <w:lvl w:ilvl="0" w:tplc="2DB03E0E">
      <w:numFmt w:val="bullet"/>
      <w:lvlText w:val="•"/>
      <w:lvlJc w:val="left"/>
      <w:pPr>
        <w:ind w:left="1065" w:hanging="705"/>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622D1769"/>
    <w:multiLevelType w:val="hybridMultilevel"/>
    <w:tmpl w:val="D4289C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7721D03"/>
    <w:multiLevelType w:val="hybridMultilevel"/>
    <w:tmpl w:val="94169BD0"/>
    <w:lvl w:ilvl="0" w:tplc="0A3CF0E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89E0A68"/>
    <w:multiLevelType w:val="hybridMultilevel"/>
    <w:tmpl w:val="F4BC56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96E4406"/>
    <w:multiLevelType w:val="hybridMultilevel"/>
    <w:tmpl w:val="B37C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53976"/>
    <w:multiLevelType w:val="hybridMultilevel"/>
    <w:tmpl w:val="5CE2A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6"/>
  </w:num>
  <w:num w:numId="4">
    <w:abstractNumId w:val="18"/>
  </w:num>
  <w:num w:numId="5">
    <w:abstractNumId w:val="3"/>
  </w:num>
  <w:num w:numId="6">
    <w:abstractNumId w:val="9"/>
  </w:num>
  <w:num w:numId="7">
    <w:abstractNumId w:val="21"/>
  </w:num>
  <w:num w:numId="8">
    <w:abstractNumId w:val="8"/>
  </w:num>
  <w:num w:numId="9">
    <w:abstractNumId w:val="15"/>
  </w:num>
  <w:num w:numId="10">
    <w:abstractNumId w:val="6"/>
  </w:num>
  <w:num w:numId="11">
    <w:abstractNumId w:val="0"/>
  </w:num>
  <w:num w:numId="12">
    <w:abstractNumId w:val="2"/>
  </w:num>
  <w:num w:numId="13">
    <w:abstractNumId w:val="10"/>
  </w:num>
  <w:num w:numId="14">
    <w:abstractNumId w:val="12"/>
  </w:num>
  <w:num w:numId="15">
    <w:abstractNumId w:val="5"/>
  </w:num>
  <w:num w:numId="16">
    <w:abstractNumId w:val="13"/>
  </w:num>
  <w:num w:numId="17">
    <w:abstractNumId w:val="8"/>
  </w:num>
  <w:num w:numId="18">
    <w:abstractNumId w:val="20"/>
  </w:num>
  <w:num w:numId="19">
    <w:abstractNumId w:val="14"/>
  </w:num>
  <w:num w:numId="20">
    <w:abstractNumId w:val="4"/>
  </w:num>
  <w:num w:numId="21">
    <w:abstractNumId w:val="7"/>
  </w:num>
  <w:num w:numId="22">
    <w:abstractNumId w:val="11"/>
  </w:num>
  <w:num w:numId="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0325"/>
    <w:rsid w:val="00005CDB"/>
    <w:rsid w:val="00011489"/>
    <w:rsid w:val="000124F1"/>
    <w:rsid w:val="00015A82"/>
    <w:rsid w:val="00025B0B"/>
    <w:rsid w:val="000263B4"/>
    <w:rsid w:val="000322FB"/>
    <w:rsid w:val="00032B4D"/>
    <w:rsid w:val="00033C74"/>
    <w:rsid w:val="000348AB"/>
    <w:rsid w:val="00036CEA"/>
    <w:rsid w:val="00047AFD"/>
    <w:rsid w:val="000515A0"/>
    <w:rsid w:val="00052136"/>
    <w:rsid w:val="00060AE9"/>
    <w:rsid w:val="00062190"/>
    <w:rsid w:val="00070718"/>
    <w:rsid w:val="00071CE6"/>
    <w:rsid w:val="00074333"/>
    <w:rsid w:val="0007544B"/>
    <w:rsid w:val="00094672"/>
    <w:rsid w:val="000A426F"/>
    <w:rsid w:val="000B22AC"/>
    <w:rsid w:val="000B440E"/>
    <w:rsid w:val="000B4792"/>
    <w:rsid w:val="000B547A"/>
    <w:rsid w:val="000B784B"/>
    <w:rsid w:val="000C07C3"/>
    <w:rsid w:val="000C7863"/>
    <w:rsid w:val="000D5978"/>
    <w:rsid w:val="000E1235"/>
    <w:rsid w:val="000E568F"/>
    <w:rsid w:val="000F46D8"/>
    <w:rsid w:val="000F5307"/>
    <w:rsid w:val="000F79AC"/>
    <w:rsid w:val="0011369A"/>
    <w:rsid w:val="001140DC"/>
    <w:rsid w:val="00114F97"/>
    <w:rsid w:val="001252F9"/>
    <w:rsid w:val="00126C6E"/>
    <w:rsid w:val="00135F22"/>
    <w:rsid w:val="001407CF"/>
    <w:rsid w:val="0014109E"/>
    <w:rsid w:val="00141904"/>
    <w:rsid w:val="00156C8C"/>
    <w:rsid w:val="0016113D"/>
    <w:rsid w:val="00164743"/>
    <w:rsid w:val="00167053"/>
    <w:rsid w:val="00167A1B"/>
    <w:rsid w:val="00167D2D"/>
    <w:rsid w:val="00175EA1"/>
    <w:rsid w:val="00177C56"/>
    <w:rsid w:val="00181AC5"/>
    <w:rsid w:val="00181E5F"/>
    <w:rsid w:val="00182F22"/>
    <w:rsid w:val="0018390B"/>
    <w:rsid w:val="0018402A"/>
    <w:rsid w:val="001A3BA9"/>
    <w:rsid w:val="001A75A1"/>
    <w:rsid w:val="001B305F"/>
    <w:rsid w:val="001C172F"/>
    <w:rsid w:val="001C5ACD"/>
    <w:rsid w:val="001D369F"/>
    <w:rsid w:val="001E3467"/>
    <w:rsid w:val="001E3B34"/>
    <w:rsid w:val="001E6A3C"/>
    <w:rsid w:val="00207FD0"/>
    <w:rsid w:val="00210D58"/>
    <w:rsid w:val="00217BAD"/>
    <w:rsid w:val="002257C4"/>
    <w:rsid w:val="0024578B"/>
    <w:rsid w:val="00253898"/>
    <w:rsid w:val="00255FDB"/>
    <w:rsid w:val="002606F8"/>
    <w:rsid w:val="00274B8D"/>
    <w:rsid w:val="00284861"/>
    <w:rsid w:val="0028756D"/>
    <w:rsid w:val="00290542"/>
    <w:rsid w:val="00291191"/>
    <w:rsid w:val="00291472"/>
    <w:rsid w:val="002920C2"/>
    <w:rsid w:val="002A17B3"/>
    <w:rsid w:val="002A226B"/>
    <w:rsid w:val="002B08F4"/>
    <w:rsid w:val="002B685B"/>
    <w:rsid w:val="002B70D2"/>
    <w:rsid w:val="002C2F53"/>
    <w:rsid w:val="002C31FA"/>
    <w:rsid w:val="002C3BF0"/>
    <w:rsid w:val="002D0D1E"/>
    <w:rsid w:val="002D1695"/>
    <w:rsid w:val="002D35C4"/>
    <w:rsid w:val="002E5189"/>
    <w:rsid w:val="002E5A0D"/>
    <w:rsid w:val="002F0278"/>
    <w:rsid w:val="002F7E79"/>
    <w:rsid w:val="00300E7F"/>
    <w:rsid w:val="003047FF"/>
    <w:rsid w:val="00307D94"/>
    <w:rsid w:val="00317F37"/>
    <w:rsid w:val="003253E5"/>
    <w:rsid w:val="0032711E"/>
    <w:rsid w:val="003323C7"/>
    <w:rsid w:val="003334CD"/>
    <w:rsid w:val="00336FE1"/>
    <w:rsid w:val="0034362B"/>
    <w:rsid w:val="00353AB1"/>
    <w:rsid w:val="003547E8"/>
    <w:rsid w:val="003645BF"/>
    <w:rsid w:val="003713E7"/>
    <w:rsid w:val="003722A3"/>
    <w:rsid w:val="00376B56"/>
    <w:rsid w:val="00383A1F"/>
    <w:rsid w:val="0038736A"/>
    <w:rsid w:val="003904F8"/>
    <w:rsid w:val="00391048"/>
    <w:rsid w:val="003A3173"/>
    <w:rsid w:val="003A343E"/>
    <w:rsid w:val="003B52AB"/>
    <w:rsid w:val="003C28EB"/>
    <w:rsid w:val="003C34AB"/>
    <w:rsid w:val="003C75BF"/>
    <w:rsid w:val="003D11E6"/>
    <w:rsid w:val="003E0A37"/>
    <w:rsid w:val="003E5C38"/>
    <w:rsid w:val="003F59DF"/>
    <w:rsid w:val="004141B8"/>
    <w:rsid w:val="004275EC"/>
    <w:rsid w:val="004330D6"/>
    <w:rsid w:val="004407DF"/>
    <w:rsid w:val="004424A6"/>
    <w:rsid w:val="00445864"/>
    <w:rsid w:val="00445DEE"/>
    <w:rsid w:val="004465CF"/>
    <w:rsid w:val="0044701A"/>
    <w:rsid w:val="0045538F"/>
    <w:rsid w:val="004830B4"/>
    <w:rsid w:val="0048576D"/>
    <w:rsid w:val="00486E96"/>
    <w:rsid w:val="0049407A"/>
    <w:rsid w:val="004A773A"/>
    <w:rsid w:val="004A7771"/>
    <w:rsid w:val="004B0537"/>
    <w:rsid w:val="004B0ABE"/>
    <w:rsid w:val="004B535D"/>
    <w:rsid w:val="004D1EB3"/>
    <w:rsid w:val="004D52AF"/>
    <w:rsid w:val="004E6851"/>
    <w:rsid w:val="004F608B"/>
    <w:rsid w:val="00501C96"/>
    <w:rsid w:val="005047E4"/>
    <w:rsid w:val="0051290D"/>
    <w:rsid w:val="005165D2"/>
    <w:rsid w:val="005215AF"/>
    <w:rsid w:val="00522381"/>
    <w:rsid w:val="005223B3"/>
    <w:rsid w:val="00533A5B"/>
    <w:rsid w:val="00536A7F"/>
    <w:rsid w:val="00542158"/>
    <w:rsid w:val="00543DFC"/>
    <w:rsid w:val="00545EC8"/>
    <w:rsid w:val="00546EB9"/>
    <w:rsid w:val="0054736B"/>
    <w:rsid w:val="00564D83"/>
    <w:rsid w:val="00566380"/>
    <w:rsid w:val="00572EC6"/>
    <w:rsid w:val="0059007C"/>
    <w:rsid w:val="005978FA"/>
    <w:rsid w:val="005A59E4"/>
    <w:rsid w:val="005A767B"/>
    <w:rsid w:val="005B04DF"/>
    <w:rsid w:val="005B717A"/>
    <w:rsid w:val="005C3238"/>
    <w:rsid w:val="005D0D68"/>
    <w:rsid w:val="005D3458"/>
    <w:rsid w:val="005F001F"/>
    <w:rsid w:val="005F29CB"/>
    <w:rsid w:val="0060251B"/>
    <w:rsid w:val="00605CAA"/>
    <w:rsid w:val="006075A4"/>
    <w:rsid w:val="00610CE4"/>
    <w:rsid w:val="00611A6B"/>
    <w:rsid w:val="00617C12"/>
    <w:rsid w:val="00624AFF"/>
    <w:rsid w:val="006415D5"/>
    <w:rsid w:val="00661D88"/>
    <w:rsid w:val="0067153F"/>
    <w:rsid w:val="00674263"/>
    <w:rsid w:val="00675A23"/>
    <w:rsid w:val="006762EA"/>
    <w:rsid w:val="00677CCA"/>
    <w:rsid w:val="00680705"/>
    <w:rsid w:val="00683578"/>
    <w:rsid w:val="006A0A69"/>
    <w:rsid w:val="006A569F"/>
    <w:rsid w:val="006B5E9D"/>
    <w:rsid w:val="006B7A01"/>
    <w:rsid w:val="006C3CD5"/>
    <w:rsid w:val="006D46DE"/>
    <w:rsid w:val="006E6137"/>
    <w:rsid w:val="006F58CF"/>
    <w:rsid w:val="00700753"/>
    <w:rsid w:val="00702D8C"/>
    <w:rsid w:val="00711078"/>
    <w:rsid w:val="0071202A"/>
    <w:rsid w:val="007253DA"/>
    <w:rsid w:val="00725924"/>
    <w:rsid w:val="00735BC7"/>
    <w:rsid w:val="0073740D"/>
    <w:rsid w:val="00742492"/>
    <w:rsid w:val="007461CF"/>
    <w:rsid w:val="00754940"/>
    <w:rsid w:val="00757D6D"/>
    <w:rsid w:val="00762485"/>
    <w:rsid w:val="00781677"/>
    <w:rsid w:val="00792C11"/>
    <w:rsid w:val="007A61FC"/>
    <w:rsid w:val="007B3C9B"/>
    <w:rsid w:val="007B3F43"/>
    <w:rsid w:val="007B74FC"/>
    <w:rsid w:val="007C2A09"/>
    <w:rsid w:val="00810D49"/>
    <w:rsid w:val="00831114"/>
    <w:rsid w:val="00837FF6"/>
    <w:rsid w:val="008427D7"/>
    <w:rsid w:val="00842C67"/>
    <w:rsid w:val="00844F30"/>
    <w:rsid w:val="00845CD1"/>
    <w:rsid w:val="00845D30"/>
    <w:rsid w:val="00847B78"/>
    <w:rsid w:val="00854589"/>
    <w:rsid w:val="0086661C"/>
    <w:rsid w:val="008674A8"/>
    <w:rsid w:val="00871587"/>
    <w:rsid w:val="008719D8"/>
    <w:rsid w:val="00871EF1"/>
    <w:rsid w:val="00880B15"/>
    <w:rsid w:val="00883560"/>
    <w:rsid w:val="008860F3"/>
    <w:rsid w:val="00887B95"/>
    <w:rsid w:val="008938E6"/>
    <w:rsid w:val="0089532B"/>
    <w:rsid w:val="00895E09"/>
    <w:rsid w:val="008A3A8C"/>
    <w:rsid w:val="008B3D0B"/>
    <w:rsid w:val="008B45CB"/>
    <w:rsid w:val="008C045F"/>
    <w:rsid w:val="008E06CA"/>
    <w:rsid w:val="008F31F4"/>
    <w:rsid w:val="008F4A3A"/>
    <w:rsid w:val="008F6AB5"/>
    <w:rsid w:val="00901387"/>
    <w:rsid w:val="00907671"/>
    <w:rsid w:val="00916E9C"/>
    <w:rsid w:val="00922F1E"/>
    <w:rsid w:val="00944D6F"/>
    <w:rsid w:val="00946FD6"/>
    <w:rsid w:val="0095164B"/>
    <w:rsid w:val="00951688"/>
    <w:rsid w:val="0095569F"/>
    <w:rsid w:val="009566D7"/>
    <w:rsid w:val="00966A95"/>
    <w:rsid w:val="00975348"/>
    <w:rsid w:val="009754E9"/>
    <w:rsid w:val="0097583E"/>
    <w:rsid w:val="0098311A"/>
    <w:rsid w:val="009913B6"/>
    <w:rsid w:val="00991531"/>
    <w:rsid w:val="00997A8C"/>
    <w:rsid w:val="009A27B5"/>
    <w:rsid w:val="009A2F0B"/>
    <w:rsid w:val="009A773C"/>
    <w:rsid w:val="009B4DBA"/>
    <w:rsid w:val="009C0A5A"/>
    <w:rsid w:val="009C2CBE"/>
    <w:rsid w:val="009C69E6"/>
    <w:rsid w:val="009D1056"/>
    <w:rsid w:val="009E0E92"/>
    <w:rsid w:val="009E42A3"/>
    <w:rsid w:val="009F48FE"/>
    <w:rsid w:val="00A004B5"/>
    <w:rsid w:val="00A076E2"/>
    <w:rsid w:val="00A11060"/>
    <w:rsid w:val="00A111CC"/>
    <w:rsid w:val="00A2605C"/>
    <w:rsid w:val="00A330D1"/>
    <w:rsid w:val="00A34EB9"/>
    <w:rsid w:val="00A3740D"/>
    <w:rsid w:val="00A40F5A"/>
    <w:rsid w:val="00A572E3"/>
    <w:rsid w:val="00A64F44"/>
    <w:rsid w:val="00A738FC"/>
    <w:rsid w:val="00A73FA9"/>
    <w:rsid w:val="00A74E27"/>
    <w:rsid w:val="00A83053"/>
    <w:rsid w:val="00A86A2F"/>
    <w:rsid w:val="00A90112"/>
    <w:rsid w:val="00A91933"/>
    <w:rsid w:val="00A924CE"/>
    <w:rsid w:val="00A93646"/>
    <w:rsid w:val="00A965AC"/>
    <w:rsid w:val="00A975CF"/>
    <w:rsid w:val="00A97F7C"/>
    <w:rsid w:val="00AA01E3"/>
    <w:rsid w:val="00AA6001"/>
    <w:rsid w:val="00AB00D1"/>
    <w:rsid w:val="00AB116C"/>
    <w:rsid w:val="00AC40EF"/>
    <w:rsid w:val="00AC7F4D"/>
    <w:rsid w:val="00AD0C93"/>
    <w:rsid w:val="00AD0E96"/>
    <w:rsid w:val="00AD1C3F"/>
    <w:rsid w:val="00AD3748"/>
    <w:rsid w:val="00B01F61"/>
    <w:rsid w:val="00B05622"/>
    <w:rsid w:val="00B07813"/>
    <w:rsid w:val="00B154D6"/>
    <w:rsid w:val="00B17291"/>
    <w:rsid w:val="00B211C5"/>
    <w:rsid w:val="00B21946"/>
    <w:rsid w:val="00B22B3F"/>
    <w:rsid w:val="00B2655F"/>
    <w:rsid w:val="00B328C5"/>
    <w:rsid w:val="00B3349D"/>
    <w:rsid w:val="00B33A99"/>
    <w:rsid w:val="00B40C5A"/>
    <w:rsid w:val="00B43DB6"/>
    <w:rsid w:val="00B46448"/>
    <w:rsid w:val="00B528E1"/>
    <w:rsid w:val="00B81B74"/>
    <w:rsid w:val="00B82E36"/>
    <w:rsid w:val="00B83CEA"/>
    <w:rsid w:val="00B97583"/>
    <w:rsid w:val="00BB304C"/>
    <w:rsid w:val="00BC522B"/>
    <w:rsid w:val="00BC7E33"/>
    <w:rsid w:val="00BD5727"/>
    <w:rsid w:val="00BD7FB3"/>
    <w:rsid w:val="00BE1BC2"/>
    <w:rsid w:val="00BE1F3C"/>
    <w:rsid w:val="00BE3F66"/>
    <w:rsid w:val="00BE506C"/>
    <w:rsid w:val="00BF1E90"/>
    <w:rsid w:val="00BF7990"/>
    <w:rsid w:val="00BF7D99"/>
    <w:rsid w:val="00C0290D"/>
    <w:rsid w:val="00C035CF"/>
    <w:rsid w:val="00C07F99"/>
    <w:rsid w:val="00C117CA"/>
    <w:rsid w:val="00C16A67"/>
    <w:rsid w:val="00C24AD8"/>
    <w:rsid w:val="00C32C29"/>
    <w:rsid w:val="00C33770"/>
    <w:rsid w:val="00C358BD"/>
    <w:rsid w:val="00C53365"/>
    <w:rsid w:val="00C555EA"/>
    <w:rsid w:val="00C56AF1"/>
    <w:rsid w:val="00C607F3"/>
    <w:rsid w:val="00C62D18"/>
    <w:rsid w:val="00C70745"/>
    <w:rsid w:val="00C819D6"/>
    <w:rsid w:val="00C842B1"/>
    <w:rsid w:val="00C87C61"/>
    <w:rsid w:val="00C908E2"/>
    <w:rsid w:val="00C91705"/>
    <w:rsid w:val="00C92B6C"/>
    <w:rsid w:val="00CB1DD9"/>
    <w:rsid w:val="00CB2E4E"/>
    <w:rsid w:val="00CB7C4D"/>
    <w:rsid w:val="00CC57B6"/>
    <w:rsid w:val="00CD5C8D"/>
    <w:rsid w:val="00CE7D4C"/>
    <w:rsid w:val="00CF683F"/>
    <w:rsid w:val="00CF7284"/>
    <w:rsid w:val="00D013AD"/>
    <w:rsid w:val="00D05673"/>
    <w:rsid w:val="00D1064D"/>
    <w:rsid w:val="00D1731B"/>
    <w:rsid w:val="00D2587C"/>
    <w:rsid w:val="00D361CD"/>
    <w:rsid w:val="00D418BF"/>
    <w:rsid w:val="00D45B2F"/>
    <w:rsid w:val="00D47BC3"/>
    <w:rsid w:val="00D50634"/>
    <w:rsid w:val="00D51E65"/>
    <w:rsid w:val="00D52E39"/>
    <w:rsid w:val="00D54367"/>
    <w:rsid w:val="00D6058C"/>
    <w:rsid w:val="00D65405"/>
    <w:rsid w:val="00D72AF7"/>
    <w:rsid w:val="00D74321"/>
    <w:rsid w:val="00D80D0E"/>
    <w:rsid w:val="00D926DA"/>
    <w:rsid w:val="00D95D5E"/>
    <w:rsid w:val="00D97678"/>
    <w:rsid w:val="00DA17FE"/>
    <w:rsid w:val="00DA1BD6"/>
    <w:rsid w:val="00DC0675"/>
    <w:rsid w:val="00DD004E"/>
    <w:rsid w:val="00DD2431"/>
    <w:rsid w:val="00DE3EC3"/>
    <w:rsid w:val="00DE4E66"/>
    <w:rsid w:val="00DF2158"/>
    <w:rsid w:val="00DF2BE7"/>
    <w:rsid w:val="00E00E14"/>
    <w:rsid w:val="00E014FB"/>
    <w:rsid w:val="00E068D1"/>
    <w:rsid w:val="00E1004A"/>
    <w:rsid w:val="00E1239F"/>
    <w:rsid w:val="00E133AC"/>
    <w:rsid w:val="00E14FD5"/>
    <w:rsid w:val="00E24680"/>
    <w:rsid w:val="00E25E07"/>
    <w:rsid w:val="00E26528"/>
    <w:rsid w:val="00E276FB"/>
    <w:rsid w:val="00E300D5"/>
    <w:rsid w:val="00E30AB2"/>
    <w:rsid w:val="00E33983"/>
    <w:rsid w:val="00E37537"/>
    <w:rsid w:val="00E409BB"/>
    <w:rsid w:val="00E60B0F"/>
    <w:rsid w:val="00E624F5"/>
    <w:rsid w:val="00E62BDF"/>
    <w:rsid w:val="00E64486"/>
    <w:rsid w:val="00E675E7"/>
    <w:rsid w:val="00E67890"/>
    <w:rsid w:val="00E67F9C"/>
    <w:rsid w:val="00E86A7A"/>
    <w:rsid w:val="00E87DE2"/>
    <w:rsid w:val="00E91D96"/>
    <w:rsid w:val="00E92717"/>
    <w:rsid w:val="00E9533E"/>
    <w:rsid w:val="00EA1275"/>
    <w:rsid w:val="00EB4736"/>
    <w:rsid w:val="00EC17A4"/>
    <w:rsid w:val="00ED3BCF"/>
    <w:rsid w:val="00EE5BC9"/>
    <w:rsid w:val="00EF12AD"/>
    <w:rsid w:val="00EF446F"/>
    <w:rsid w:val="00F01BD8"/>
    <w:rsid w:val="00F204A4"/>
    <w:rsid w:val="00F20B36"/>
    <w:rsid w:val="00F23218"/>
    <w:rsid w:val="00F31126"/>
    <w:rsid w:val="00F34291"/>
    <w:rsid w:val="00F34D3B"/>
    <w:rsid w:val="00F43E45"/>
    <w:rsid w:val="00F46094"/>
    <w:rsid w:val="00F46D1B"/>
    <w:rsid w:val="00F4703B"/>
    <w:rsid w:val="00F62174"/>
    <w:rsid w:val="00F66D27"/>
    <w:rsid w:val="00F74759"/>
    <w:rsid w:val="00F92C30"/>
    <w:rsid w:val="00F93FE2"/>
    <w:rsid w:val="00F97FCF"/>
    <w:rsid w:val="00FA6B5D"/>
    <w:rsid w:val="00FB7E3C"/>
    <w:rsid w:val="00FC2233"/>
    <w:rsid w:val="00FC2FA9"/>
    <w:rsid w:val="00FC4E2D"/>
    <w:rsid w:val="00FD41B8"/>
    <w:rsid w:val="00FD527A"/>
    <w:rsid w:val="00FE5DDF"/>
    <w:rsid w:val="00FE6920"/>
    <w:rsid w:val="00FE7DB2"/>
    <w:rsid w:val="00FF559E"/>
    <w:rsid w:val="00FF7A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8E6A"/>
  <w15:docId w15:val="{DE7B67B8-4CFC-48BA-90BD-0AE68803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A"/>
  </w:style>
  <w:style w:type="paragraph" w:styleId="Heading1">
    <w:name w:val="heading 1"/>
    <w:basedOn w:val="Normal"/>
    <w:next w:val="Normal"/>
    <w:link w:val="Heading1Char"/>
    <w:uiPriority w:val="9"/>
    <w:qFormat/>
    <w:rsid w:val="004830B4"/>
    <w:pPr>
      <w:keepNext/>
      <w:keepLines/>
      <w:spacing w:before="240" w:after="0"/>
      <w:jc w:val="center"/>
      <w:outlineLvl w:val="0"/>
    </w:pPr>
    <w:rPr>
      <w:rFonts w:ascii="Tahoma" w:eastAsiaTheme="majorEastAsia" w:hAnsi="Tahoma" w:cstheme="majorBidi"/>
      <w:b/>
      <w:color w:val="0070C0"/>
      <w:sz w:val="32"/>
      <w:szCs w:val="32"/>
    </w:rPr>
  </w:style>
  <w:style w:type="paragraph" w:styleId="Heading2">
    <w:name w:val="heading 2"/>
    <w:basedOn w:val="Normal"/>
    <w:next w:val="Normal"/>
    <w:link w:val="Heading2Char"/>
    <w:uiPriority w:val="9"/>
    <w:unhideWhenUsed/>
    <w:qFormat/>
    <w:rsid w:val="00AA6001"/>
    <w:pPr>
      <w:keepNext/>
      <w:keepLines/>
      <w:spacing w:before="40" w:after="0"/>
      <w:outlineLvl w:val="1"/>
    </w:pPr>
    <w:rPr>
      <w:rFonts w:asciiTheme="majorHAnsi" w:eastAsiaTheme="majorEastAsia" w:hAnsiTheme="majorHAnsi" w:cstheme="majorBidi"/>
      <w:b/>
      <w:color w:val="C00000"/>
      <w:sz w:val="26"/>
      <w:szCs w:val="26"/>
    </w:rPr>
  </w:style>
  <w:style w:type="paragraph" w:styleId="Heading3">
    <w:name w:val="heading 3"/>
    <w:basedOn w:val="Normal"/>
    <w:next w:val="Normal"/>
    <w:link w:val="Heading3Char"/>
    <w:uiPriority w:val="9"/>
    <w:unhideWhenUsed/>
    <w:qFormat/>
    <w:rsid w:val="0009467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0B4"/>
    <w:rPr>
      <w:rFonts w:ascii="Tahoma" w:eastAsiaTheme="majorEastAsia" w:hAnsi="Tahoma" w:cstheme="majorBidi"/>
      <w:b/>
      <w:color w:val="0070C0"/>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AA6001"/>
    <w:rPr>
      <w:rFonts w:asciiTheme="majorHAnsi" w:eastAsiaTheme="majorEastAsia" w:hAnsiTheme="majorHAnsi" w:cstheme="majorBidi"/>
      <w:b/>
      <w:color w:val="C00000"/>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customStyle="1" w:styleId="Heading3Char">
    <w:name w:val="Heading 3 Char"/>
    <w:basedOn w:val="DefaultParagraphFont"/>
    <w:link w:val="Heading3"/>
    <w:uiPriority w:val="9"/>
    <w:rsid w:val="00094672"/>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0946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D95D5E"/>
    <w:rPr>
      <w:b/>
      <w:bCs/>
    </w:rPr>
  </w:style>
  <w:style w:type="paragraph" w:styleId="NoSpacing">
    <w:name w:val="No Spacing"/>
    <w:uiPriority w:val="1"/>
    <w:qFormat/>
    <w:rsid w:val="00C0290D"/>
    <w:pPr>
      <w:spacing w:after="0" w:line="240" w:lineRule="auto"/>
    </w:pPr>
  </w:style>
  <w:style w:type="character" w:customStyle="1" w:styleId="apple-converted-space">
    <w:name w:val="apple-converted-space"/>
    <w:basedOn w:val="DefaultParagraphFont"/>
    <w:rsid w:val="00B2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4607">
      <w:bodyDiv w:val="1"/>
      <w:marLeft w:val="0"/>
      <w:marRight w:val="0"/>
      <w:marTop w:val="0"/>
      <w:marBottom w:val="0"/>
      <w:divBdr>
        <w:top w:val="none" w:sz="0" w:space="0" w:color="auto"/>
        <w:left w:val="none" w:sz="0" w:space="0" w:color="auto"/>
        <w:bottom w:val="none" w:sz="0" w:space="0" w:color="auto"/>
        <w:right w:val="none" w:sz="0" w:space="0" w:color="auto"/>
      </w:divBdr>
    </w:div>
    <w:div w:id="359625593">
      <w:bodyDiv w:val="1"/>
      <w:marLeft w:val="0"/>
      <w:marRight w:val="0"/>
      <w:marTop w:val="0"/>
      <w:marBottom w:val="0"/>
      <w:divBdr>
        <w:top w:val="none" w:sz="0" w:space="0" w:color="auto"/>
        <w:left w:val="none" w:sz="0" w:space="0" w:color="auto"/>
        <w:bottom w:val="none" w:sz="0" w:space="0" w:color="auto"/>
        <w:right w:val="none" w:sz="0" w:space="0" w:color="auto"/>
      </w:divBdr>
    </w:div>
    <w:div w:id="452869706">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34595415">
      <w:bodyDiv w:val="1"/>
      <w:marLeft w:val="0"/>
      <w:marRight w:val="0"/>
      <w:marTop w:val="0"/>
      <w:marBottom w:val="0"/>
      <w:divBdr>
        <w:top w:val="none" w:sz="0" w:space="0" w:color="auto"/>
        <w:left w:val="none" w:sz="0" w:space="0" w:color="auto"/>
        <w:bottom w:val="none" w:sz="0" w:space="0" w:color="auto"/>
        <w:right w:val="none" w:sz="0" w:space="0" w:color="auto"/>
      </w:divBdr>
    </w:div>
    <w:div w:id="778453894">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810754209">
      <w:bodyDiv w:val="1"/>
      <w:marLeft w:val="0"/>
      <w:marRight w:val="0"/>
      <w:marTop w:val="0"/>
      <w:marBottom w:val="0"/>
      <w:divBdr>
        <w:top w:val="none" w:sz="0" w:space="0" w:color="auto"/>
        <w:left w:val="none" w:sz="0" w:space="0" w:color="auto"/>
        <w:bottom w:val="none" w:sz="0" w:space="0" w:color="auto"/>
        <w:right w:val="none" w:sz="0" w:space="0" w:color="auto"/>
      </w:divBdr>
    </w:div>
    <w:div w:id="1292050035">
      <w:bodyDiv w:val="1"/>
      <w:marLeft w:val="0"/>
      <w:marRight w:val="0"/>
      <w:marTop w:val="0"/>
      <w:marBottom w:val="0"/>
      <w:divBdr>
        <w:top w:val="none" w:sz="0" w:space="0" w:color="auto"/>
        <w:left w:val="none" w:sz="0" w:space="0" w:color="auto"/>
        <w:bottom w:val="none" w:sz="0" w:space="0" w:color="auto"/>
        <w:right w:val="none" w:sz="0" w:space="0" w:color="auto"/>
      </w:divBdr>
    </w:div>
    <w:div w:id="1461726229">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72085099">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788548072">
      <w:bodyDiv w:val="1"/>
      <w:marLeft w:val="0"/>
      <w:marRight w:val="0"/>
      <w:marTop w:val="0"/>
      <w:marBottom w:val="0"/>
      <w:divBdr>
        <w:top w:val="none" w:sz="0" w:space="0" w:color="auto"/>
        <w:left w:val="none" w:sz="0" w:space="0" w:color="auto"/>
        <w:bottom w:val="none" w:sz="0" w:space="0" w:color="auto"/>
        <w:right w:val="none" w:sz="0" w:space="0" w:color="auto"/>
      </w:divBdr>
    </w:div>
    <w:div w:id="1790278121">
      <w:bodyDiv w:val="1"/>
      <w:marLeft w:val="0"/>
      <w:marRight w:val="0"/>
      <w:marTop w:val="0"/>
      <w:marBottom w:val="0"/>
      <w:divBdr>
        <w:top w:val="none" w:sz="0" w:space="0" w:color="auto"/>
        <w:left w:val="none" w:sz="0" w:space="0" w:color="auto"/>
        <w:bottom w:val="none" w:sz="0" w:space="0" w:color="auto"/>
        <w:right w:val="none" w:sz="0" w:space="0" w:color="auto"/>
      </w:divBdr>
    </w:div>
    <w:div w:id="1872569373">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1921139022">
      <w:bodyDiv w:val="1"/>
      <w:marLeft w:val="0"/>
      <w:marRight w:val="0"/>
      <w:marTop w:val="0"/>
      <w:marBottom w:val="0"/>
      <w:divBdr>
        <w:top w:val="none" w:sz="0" w:space="0" w:color="auto"/>
        <w:left w:val="none" w:sz="0" w:space="0" w:color="auto"/>
        <w:bottom w:val="none" w:sz="0" w:space="0" w:color="auto"/>
        <w:right w:val="none" w:sz="0" w:space="0" w:color="auto"/>
      </w:divBdr>
    </w:div>
    <w:div w:id="1975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ineteurope.org/IMG/docx/vienna_social_inclusion_and_equality_22.6.16.docx" TargetMode="External"/><Relationship Id="rId18" Type="http://schemas.openxmlformats.org/officeDocument/2006/relationships/hyperlink" Target="http://www.equineteurope.org/IMG/pdf/equinet_workingpaper_standardsnebs.pdf" TargetMode="External"/><Relationship Id="rId26" Type="http://schemas.openxmlformats.org/officeDocument/2006/relationships/hyperlink" Target="http://equineteurope.org/Equal-Treatment-Directive-Equality-discussed-at-June-EPSCO-Council" TargetMode="External"/><Relationship Id="rId39" Type="http://schemas.openxmlformats.org/officeDocument/2006/relationships/hyperlink" Target="http://eige.europa.eu/news-and-events/news/all-essential-gender-terms-now-one-place" TargetMode="External"/><Relationship Id="rId21" Type="http://schemas.openxmlformats.org/officeDocument/2006/relationships/hyperlink" Target="http://cambre-associates.com/archive/157:brexit_future_steps_europe_eu_negotiations.html" TargetMode="External"/><Relationship Id="rId34" Type="http://schemas.openxmlformats.org/officeDocument/2006/relationships/hyperlink" Target="http://www.coe.int/t/dghl/monitoring/ecri/Country-by-country/Former_Yugoslav_Republic_Macedonia/MKD-CbC-V-2016-021-ENG.pdf" TargetMode="External"/><Relationship Id="rId42" Type="http://schemas.openxmlformats.org/officeDocument/2006/relationships/hyperlink" Target="http://www.equalitylaw.eu/downloads/3850-intersectional-discrimination-in-eu-gender-equality-and-non-discrimination-law-pdf-731-kb" TargetMode="External"/><Relationship Id="rId47" Type="http://schemas.openxmlformats.org/officeDocument/2006/relationships/hyperlink" Target="http://eur-lex.europa.eu/legal-content/EN/TXT/PDF/?uri=CELEX:32013H1224(01)&amp;from=en" TargetMode="External"/><Relationship Id="rId50" Type="http://schemas.openxmlformats.org/officeDocument/2006/relationships/hyperlink" Target="http://www.ilga-europe.org/sites/default/files/2016-06-22_french_lgr_joint_pr_for_website.pdf" TargetMode="External"/><Relationship Id="rId55" Type="http://schemas.openxmlformats.org/officeDocument/2006/relationships/hyperlink" Target="http://www.youthforum.org/publication/a-toolkit-on-quality-standards-for-youth-policy/" TargetMode="External"/><Relationship Id="rId63" Type="http://schemas.openxmlformats.org/officeDocument/2006/relationships/hyperlink" Target="http://hudoc.echr.coe.int/eng-press?i=003-5427545-679736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quineteurope.org/Council-of-the-EU-Conclusions-on-LGBTI-Equality" TargetMode="External"/><Relationship Id="rId29" Type="http://schemas.openxmlformats.org/officeDocument/2006/relationships/hyperlink" Target="http://fra.europa.eu/en/publication/2016/annual-activity-report-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youthforum.org/pressrelease/the-united-kingdoms-decision-to-leave-the-european-union-will-impact-young-peoples-future-the-most/" TargetMode="External"/><Relationship Id="rId32" Type="http://schemas.openxmlformats.org/officeDocument/2006/relationships/hyperlink" Target="http://www.coe.int/t/dghl/monitoring/ecri/Country-by-country/Italy/ITA-CbC-V-2016-019-ENG.pdf" TargetMode="External"/><Relationship Id="rId37" Type="http://schemas.openxmlformats.org/officeDocument/2006/relationships/hyperlink" Target="http://eige.europa.eu/news-and-events/events-calendar/event/6093" TargetMode="External"/><Relationship Id="rId40" Type="http://schemas.openxmlformats.org/officeDocument/2006/relationships/hyperlink" Target="http://fra.europa.eu/en/press-release/2016/women-refugees-high-risk-being-victims-gender-based-violence?_cldee=amVzc2ljYS5tYWNoYWNvdmFAZXF1aW5ldGV1cm9wZS5vcmc%3d&amp;urlid=8" TargetMode="External"/><Relationship Id="rId45" Type="http://schemas.openxmlformats.org/officeDocument/2006/relationships/image" Target="media/image4.png"/><Relationship Id="rId53" Type="http://schemas.openxmlformats.org/officeDocument/2006/relationships/hyperlink" Target="http://www.youthforum.org/pressrelease/un-human-rights-council-resolution-on-youth-and-human-rights-a-step-forward-for-youth-rights/" TargetMode="External"/><Relationship Id="rId58" Type="http://schemas.openxmlformats.org/officeDocument/2006/relationships/hyperlink" Target="http://frontex.europa.eu/assets/Publications/Risk_Analysis/WB_ARA_2016.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quineteurope.org/Council-of-the-EU-Conclusions-on-LGBTI-Equality" TargetMode="External"/><Relationship Id="rId23" Type="http://schemas.openxmlformats.org/officeDocument/2006/relationships/hyperlink" Target="http://www.ilga-europe.org/resources/news/latest-news/reaction-uk-referendum-result-ilga-europe-perspective" TargetMode="External"/><Relationship Id="rId28" Type="http://schemas.openxmlformats.org/officeDocument/2006/relationships/hyperlink" Target="http://www.equineteurope.org/HELP-in-the-28-free-online-course-on-Fight-against-Racism-Xenophobia-Homophobia" TargetMode="External"/><Relationship Id="rId36" Type="http://schemas.openxmlformats.org/officeDocument/2006/relationships/hyperlink" Target="http://eige.europa.eu/news-and-events/events-calendar/event/6700" TargetMode="External"/><Relationship Id="rId49" Type="http://schemas.openxmlformats.org/officeDocument/2006/relationships/hyperlink" Target="http://www.ilga-europe.org/resources/news/latest-news/un-independent-expert-sexual-orientation-and-gender-identity" TargetMode="External"/><Relationship Id="rId57" Type="http://schemas.openxmlformats.org/officeDocument/2006/relationships/hyperlink" Target="http://ec.europa.eu/dgs/home-affairs/what-we-do/policies/european-agenda-migration/proposal-implementation-package/docs/20160607/communication_action_plan_integration_third-country_nationals_en.pdf" TargetMode="External"/><Relationship Id="rId61" Type="http://schemas.openxmlformats.org/officeDocument/2006/relationships/hyperlink" Target="http://www.coe.int/en/web/sogi/-/judgment-on-taddeucci-and-mccall-v-italy" TargetMode="External"/><Relationship Id="rId10" Type="http://schemas.openxmlformats.org/officeDocument/2006/relationships/hyperlink" Target="http://www.equineteurope.org/Equality-bodies-united-Champions-in-fight-for-equality-need-stronger-standards" TargetMode="External"/><Relationship Id="rId19" Type="http://schemas.openxmlformats.org/officeDocument/2006/relationships/image" Target="media/image3.png"/><Relationship Id="rId31" Type="http://schemas.openxmlformats.org/officeDocument/2006/relationships/hyperlink" Target="http://www.coe.int/t/dghl/monitoring/ecri/Country-by-country/Azerbaijan/AZE-CbC-V-2016-017-ENG.pdf" TargetMode="External"/><Relationship Id="rId44" Type="http://schemas.openxmlformats.org/officeDocument/2006/relationships/hyperlink" Target="https://rm.coe.int/CoERMPublicCommonSearchServices/DisplayDCTMContent?documentId=0900001680682b0a" TargetMode="External"/><Relationship Id="rId52" Type="http://schemas.openxmlformats.org/officeDocument/2006/relationships/hyperlink" Target="http://www.ilga-europe.org/resources/news/latest-news/five-key-facts-eu-and-lgbt-equality" TargetMode="External"/><Relationship Id="rId60" Type="http://schemas.openxmlformats.org/officeDocument/2006/relationships/hyperlink" Target="http://hudoc.echr.coe.int/app/conversion/pdf?library=ECHR&amp;id=003-5420099-6785234&amp;filename=Judgment%20Halime%20Kili%E7%20v.%20Turkey%20-%20authorities%27%20failure%20to%20protect%20the%20life%20of%20a%20woman%20subjected%20to%20domestic%20violence.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fra.europa.eu/sites/default/files/fra_uploads/frf-2016-chair-s-statement_en.pdf" TargetMode="External"/><Relationship Id="rId22" Type="http://schemas.openxmlformats.org/officeDocument/2006/relationships/hyperlink" Target="http://europa.eu/rapid/press-release_SPEECH-16-2353_en.htm" TargetMode="External"/><Relationship Id="rId27" Type="http://schemas.openxmlformats.org/officeDocument/2006/relationships/hyperlink" Target="http://ec.europa.eu/justice/newsroom/fundamental-rights/opinion/160519_en.htm" TargetMode="External"/><Relationship Id="rId30" Type="http://schemas.openxmlformats.org/officeDocument/2006/relationships/hyperlink" Target="http://fra.europa.eu/en/publication/2016/handbook-european-law-relating-access-justice" TargetMode="External"/><Relationship Id="rId35" Type="http://schemas.openxmlformats.org/officeDocument/2006/relationships/hyperlink" Target="http://www.coe.int/t/dghl/monitoring/ecri/Country-by-country/Lithuania/LTU-CbC-V-2016-020-ENG.pdf" TargetMode="External"/><Relationship Id="rId43" Type="http://schemas.openxmlformats.org/officeDocument/2006/relationships/hyperlink" Target="http://eige.europa.eu/gender-mainstreaming" TargetMode="External"/><Relationship Id="rId48" Type="http://schemas.openxmlformats.org/officeDocument/2006/relationships/hyperlink" Target="http://www.equineteurope.org/Commission-calls-for-renewed-commitment-to-Roma-integration" TargetMode="External"/><Relationship Id="rId56" Type="http://schemas.openxmlformats.org/officeDocument/2006/relationships/hyperlink" Target="http://ec.europa.eu/dgs/home-affairs/what-we-do/policies/european-agenda-migration/background-information/docs/20160607/factsheet_action_plan_integration_third-country_nationals_en.pdf" TargetMode="External"/><Relationship Id="rId64" Type="http://schemas.openxmlformats.org/officeDocument/2006/relationships/hyperlink" Target="http://www.ilga-europe.org/resources/news/latest-news/european-court-strikes-against-hungarys-arbitrary-detention-lgbt-asylum" TargetMode="External"/><Relationship Id="rId8" Type="http://schemas.openxmlformats.org/officeDocument/2006/relationships/image" Target="media/image1.png"/><Relationship Id="rId51" Type="http://schemas.openxmlformats.org/officeDocument/2006/relationships/hyperlink" Target="https://rm.coe.int/CoERMPublicCommonSearchServices/DisplayDCTMContent?documentId=090000168066d620" TargetMode="External"/><Relationship Id="rId3" Type="http://schemas.openxmlformats.org/officeDocument/2006/relationships/styles" Target="styles.xml"/><Relationship Id="rId12" Type="http://schemas.openxmlformats.org/officeDocument/2006/relationships/hyperlink" Target="http://fundamentalrightsforum.eu/" TargetMode="External"/><Relationship Id="rId17" Type="http://schemas.openxmlformats.org/officeDocument/2006/relationships/hyperlink" Target="https://rm.coe.int/CoERMPublicCommonSearchServices/DisplayDCTMContent?documentId=0900001680646af8" TargetMode="External"/><Relationship Id="rId25" Type="http://schemas.openxmlformats.org/officeDocument/2006/relationships/hyperlink" Target="https://www.equalityhumanrights.com/en/our-work/blogs/eu-referendum-we-will-be-strong-independent-voice-conversation-people%E2%80%99s-rights" TargetMode="External"/><Relationship Id="rId33" Type="http://schemas.openxmlformats.org/officeDocument/2006/relationships/hyperlink" Target="http://www.coe.int/t/dghl/monitoring/ecri/Country-by-country/Cyprus/CYP-CbC-V-2016-018-ENG.pdf" TargetMode="External"/><Relationship Id="rId38" Type="http://schemas.openxmlformats.org/officeDocument/2006/relationships/hyperlink" Target="http://eige.europa.eu/news-and-events/events-calendar/event/6708" TargetMode="External"/><Relationship Id="rId46" Type="http://schemas.openxmlformats.org/officeDocument/2006/relationships/hyperlink" Target="http://ec.europa.eu/transparency/regexpert/index.cfm?do=groupDetail.groupDetail&amp;groupID=3425" TargetMode="External"/><Relationship Id="rId59" Type="http://schemas.openxmlformats.org/officeDocument/2006/relationships/hyperlink" Target="http://hudoc.echr.coe.int/app/conversion/pdf?library=ECHR&amp;id=003-5383202-6728313&amp;filename=Grand%20Chamber%20judgment%20Biao%20v.%20Denmark%20-%20discriminatory%20legislation%20on%20family%20reunion.pdf" TargetMode="External"/><Relationship Id="rId67" Type="http://schemas.openxmlformats.org/officeDocument/2006/relationships/theme" Target="theme/theme1.xml"/><Relationship Id="rId20" Type="http://schemas.openxmlformats.org/officeDocument/2006/relationships/hyperlink" Target="http://www.eu2016.sk/en/programme-and-priorities/priorities-of-the-slovak-presidency" TargetMode="External"/><Relationship Id="rId41" Type="http://schemas.openxmlformats.org/officeDocument/2006/relationships/hyperlink" Target="https://rm.coe.int/CoERMPublicCommonSearchServices/DisplayDCTMContent?documentId=0900001680630394" TargetMode="External"/><Relationship Id="rId54" Type="http://schemas.openxmlformats.org/officeDocument/2006/relationships/hyperlink" Target="http://www.age-platform.eu/images/stories/Publications/papers/Applying_the_Right_to_the_City_to_older_persons_AGE_Guide.pdf" TargetMode="External"/><Relationship Id="rId62" Type="http://schemas.openxmlformats.org/officeDocument/2006/relationships/hyperlink" Target="http://www.ilga-europe.org/resources/news/latest-news/ecthr-taddeucci-mccall-i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250B-2046-4F4E-BA37-BCA9E88E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8</Pages>
  <Words>3713</Words>
  <Characters>20423</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33</cp:revision>
  <cp:lastPrinted>2016-04-08T14:09:00Z</cp:lastPrinted>
  <dcterms:created xsi:type="dcterms:W3CDTF">2016-06-02T10:02:00Z</dcterms:created>
  <dcterms:modified xsi:type="dcterms:W3CDTF">2016-07-07T10:04:00Z</dcterms:modified>
</cp:coreProperties>
</file>