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0D27" w14:textId="357E6414" w:rsidR="00F66D27" w:rsidRPr="003C47D8" w:rsidRDefault="003C47D8" w:rsidP="00685E24">
      <w:pPr>
        <w:spacing w:line="240" w:lineRule="auto"/>
        <w:jc w:val="both"/>
        <w:rPr>
          <w:b/>
          <w:noProof/>
          <w:sz w:val="28"/>
          <w:lang w:val="en-GB" w:eastAsia="fr-BE"/>
        </w:rPr>
      </w:pPr>
      <w:r>
        <w:rPr>
          <w:b/>
          <w:noProof/>
          <w:sz w:val="28"/>
          <w:lang w:eastAsia="fr-BE"/>
        </w:rPr>
        <w:drawing>
          <wp:anchor distT="0" distB="0" distL="114300" distR="114300" simplePos="0" relativeHeight="251658240" behindDoc="0" locked="0" layoutInCell="1" allowOverlap="1" wp14:anchorId="1AF957CA" wp14:editId="747A8E42">
            <wp:simplePos x="0" y="0"/>
            <wp:positionH relativeFrom="page">
              <wp:align>left</wp:align>
            </wp:positionH>
            <wp:positionV relativeFrom="page">
              <wp:align>top</wp:align>
            </wp:positionV>
            <wp:extent cx="7543800" cy="2103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105" cy="21084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lang w:val="en-GB" w:eastAsia="fr-BE"/>
        </w:rPr>
        <w:br/>
      </w:r>
      <w:r w:rsidR="00F31126" w:rsidRPr="006075A4">
        <w:rPr>
          <w:b/>
          <w:lang w:val="en-GB"/>
        </w:rPr>
        <w:t xml:space="preserve">Dear Equinet Members, </w:t>
      </w:r>
      <w:r w:rsidR="00F31126" w:rsidRPr="006075A4">
        <w:rPr>
          <w:b/>
          <w:lang w:val="en-GB"/>
        </w:rPr>
        <w:tab/>
      </w:r>
      <w:r w:rsidR="00F31126" w:rsidRPr="006075A4">
        <w:rPr>
          <w:b/>
          <w:lang w:val="en-GB"/>
        </w:rPr>
        <w:br/>
      </w:r>
      <w:r w:rsidR="00F31126" w:rsidRPr="006075A4">
        <w:rPr>
          <w:lang w:val="en-GB"/>
        </w:rPr>
        <w:t xml:space="preserve">This Members’ Bulletin gathers </w:t>
      </w:r>
      <w:r w:rsidR="00F31126" w:rsidRPr="006075A4">
        <w:rPr>
          <w:b/>
          <w:lang w:val="en-GB"/>
        </w:rPr>
        <w:t>the latest European Union (EU) and international developments</w:t>
      </w:r>
      <w:r w:rsidR="00F31126" w:rsidRPr="006075A4">
        <w:rPr>
          <w:lang w:val="en-GB"/>
        </w:rPr>
        <w:t xml:space="preserve">. It aims to give you an </w:t>
      </w:r>
      <w:r w:rsidR="00F31126" w:rsidRPr="006075A4">
        <w:rPr>
          <w:b/>
          <w:lang w:val="en-GB"/>
        </w:rPr>
        <w:t>overview of relevant policy and legal developments</w:t>
      </w:r>
      <w:r w:rsidR="00F31126" w:rsidRPr="006075A4">
        <w:rPr>
          <w:lang w:val="en-GB"/>
        </w:rPr>
        <w:t xml:space="preserve">, as well as latest calls for interest, funding opportunities and upcoming events. We very much hope this members’ bulletin will be useful in your day-to-day work and we would be grateful if you could </w:t>
      </w:r>
      <w:r w:rsidR="00F31126" w:rsidRPr="006075A4">
        <w:rPr>
          <w:b/>
          <w:lang w:val="en-GB"/>
        </w:rPr>
        <w:t>disseminate it among your colleagues</w:t>
      </w:r>
      <w:r w:rsidR="00F31126" w:rsidRPr="006075A4">
        <w:rPr>
          <w:lang w:val="en-GB"/>
        </w:rPr>
        <w:t xml:space="preserve">. Your feedback is also greatly appreciated. Should you have any comments or further questions, </w:t>
      </w:r>
      <w:r w:rsidR="00F31126" w:rsidRPr="006075A4">
        <w:rPr>
          <w:b/>
          <w:lang w:val="en-GB"/>
        </w:rPr>
        <w:t>please do not hesitate to contact Jessica Machacova, Equinet Project Officer</w:t>
      </w:r>
      <w:r w:rsidR="00F31126" w:rsidRPr="006075A4">
        <w:rPr>
          <w:lang w:val="en-GB"/>
        </w:rPr>
        <w:t xml:space="preserve"> </w:t>
      </w:r>
      <w:r w:rsidR="006A00E6">
        <w:rPr>
          <w:lang w:val="en-GB"/>
        </w:rPr>
        <w:t>(</w:t>
      </w:r>
      <w:hyperlink r:id="rId9" w:history="1">
        <w:r w:rsidR="006A00E6" w:rsidRPr="0076147B">
          <w:rPr>
            <w:rStyle w:val="Hyperlink"/>
            <w:lang w:val="en-GB"/>
          </w:rPr>
          <w:t>Jessica.machacova@equineteurope.org</w:t>
        </w:r>
      </w:hyperlink>
      <w:r w:rsidR="006A00E6">
        <w:rPr>
          <w:lang w:val="en-GB"/>
        </w:rPr>
        <w:t xml:space="preserve">). </w:t>
      </w:r>
      <w:r w:rsidR="00F31126" w:rsidRPr="006075A4">
        <w:rPr>
          <w:lang w:val="en-GB"/>
        </w:rPr>
        <w:t xml:space="preserve"> </w:t>
      </w:r>
    </w:p>
    <w:p w14:paraId="04626731" w14:textId="77777777" w:rsidR="00CF7284" w:rsidRPr="006075A4" w:rsidRDefault="00CF7284" w:rsidP="00685E24">
      <w:pPr>
        <w:spacing w:line="240" w:lineRule="auto"/>
        <w:jc w:val="both"/>
        <w:rPr>
          <w:lang w:val="en-GB"/>
        </w:rPr>
      </w:pPr>
    </w:p>
    <w:p w14:paraId="4E1D63FE" w14:textId="77777777" w:rsidR="002C3BF0" w:rsidRPr="006075A4" w:rsidRDefault="002C3BF0" w:rsidP="00685E24">
      <w:pPr>
        <w:shd w:val="clear" w:color="auto" w:fill="808080" w:themeFill="background1" w:themeFillShade="80"/>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Pr="006075A4" w:rsidRDefault="002C3BF0" w:rsidP="00685E24">
      <w:pPr>
        <w:spacing w:line="240" w:lineRule="auto"/>
        <w:jc w:val="both"/>
        <w:rPr>
          <w:b/>
          <w:i/>
          <w:color w:val="FF0000"/>
          <w:lang w:val="en-GB"/>
        </w:rPr>
      </w:pPr>
      <w:r w:rsidRPr="006075A4">
        <w:rPr>
          <w:b/>
          <w:i/>
          <w:color w:val="FF0000"/>
          <w:lang w:val="en-GB"/>
        </w:rPr>
        <w:t>(Ctrl + Click to follow the link)</w:t>
      </w:r>
    </w:p>
    <w:bookmarkStart w:id="0" w:name="_Toc418770742"/>
    <w:bookmarkStart w:id="1" w:name="_Ref418783893"/>
    <w:bookmarkStart w:id="2" w:name="_Ref418783894"/>
    <w:bookmarkStart w:id="3" w:name="_Ref421267367"/>
    <w:p w14:paraId="3F84FA21" w14:textId="4ECBA190" w:rsidR="003C3D7A" w:rsidRPr="006A00E6" w:rsidRDefault="003C3D7A" w:rsidP="00685E24">
      <w:pPr>
        <w:spacing w:line="240" w:lineRule="auto"/>
        <w:rPr>
          <w:b/>
          <w:lang w:val="en-GB"/>
        </w:rPr>
      </w:pPr>
      <w:r w:rsidRPr="006A00E6">
        <w:rPr>
          <w:b/>
          <w:lang w:val="en-GB"/>
        </w:rPr>
        <w:fldChar w:fldCharType="begin"/>
      </w:r>
      <w:r w:rsidRPr="006A00E6">
        <w:rPr>
          <w:b/>
          <w:lang w:val="en-GB"/>
        </w:rPr>
        <w:instrText xml:space="preserve"> REF _Ref442453610 \h </w:instrText>
      </w:r>
      <w:r w:rsidRPr="006A00E6">
        <w:rPr>
          <w:b/>
          <w:lang w:val="en-GB"/>
        </w:rPr>
      </w:r>
      <w:r w:rsidR="006A00E6" w:rsidRPr="006A00E6">
        <w:rPr>
          <w:b/>
          <w:lang w:val="en-GB"/>
        </w:rPr>
        <w:instrText xml:space="preserve"> \* MERGEFORMAT </w:instrText>
      </w:r>
      <w:r w:rsidRPr="006A00E6">
        <w:rPr>
          <w:b/>
          <w:lang w:val="en-GB"/>
        </w:rPr>
        <w:fldChar w:fldCharType="separate"/>
      </w:r>
      <w:r w:rsidRPr="006A00E6">
        <w:rPr>
          <w:b/>
          <w:lang w:val="en-GB"/>
        </w:rPr>
        <w:t xml:space="preserve">Highlight: </w:t>
      </w:r>
      <w:r w:rsidRPr="006A00E6">
        <w:rPr>
          <w:b/>
          <w:color w:val="0070C0"/>
          <w:u w:val="single"/>
          <w:lang w:val="en-GB"/>
        </w:rPr>
        <w:t>Disability - Updates on the European Accessibility Act and Public Consultation on the mid-term review of the European Disability Strategy 2010-2020</w:t>
      </w:r>
      <w:r w:rsidRPr="006A00E6">
        <w:rPr>
          <w:b/>
          <w:lang w:val="en-GB"/>
        </w:rPr>
        <w:fldChar w:fldCharType="end"/>
      </w:r>
    </w:p>
    <w:p w14:paraId="23623754" w14:textId="514E35A1"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_Ref421267521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General information</w:t>
      </w:r>
      <w:r w:rsidRPr="006A00E6">
        <w:rPr>
          <w:b/>
          <w:color w:val="0070C0"/>
          <w:u w:val="single"/>
          <w:lang w:val="en-GB"/>
        </w:rPr>
        <w:fldChar w:fldCharType="end"/>
      </w:r>
    </w:p>
    <w:p w14:paraId="0BB0AAC1" w14:textId="77777777" w:rsidR="006A00E6" w:rsidRPr="006A00E6" w:rsidRDefault="003C3D7A" w:rsidP="006A00E6">
      <w:pPr>
        <w:pStyle w:val="ListParagraph"/>
        <w:numPr>
          <w:ilvl w:val="0"/>
          <w:numId w:val="43"/>
        </w:numPr>
        <w:spacing w:line="240" w:lineRule="auto"/>
        <w:rPr>
          <w:lang w:val="en-GB"/>
        </w:rPr>
      </w:pPr>
      <w:r w:rsidRPr="006A00E6">
        <w:rPr>
          <w:lang w:val="en-GB"/>
        </w:rPr>
        <w:fldChar w:fldCharType="begin"/>
      </w:r>
      <w:r w:rsidRPr="006A00E6">
        <w:rPr>
          <w:lang w:val="en-GB"/>
        </w:rPr>
        <w:instrText xml:space="preserve"> REF _Ref442453616 \h </w:instrText>
      </w:r>
      <w:r>
        <w:rPr>
          <w:lang w:val="en-GB"/>
        </w:rPr>
      </w:r>
      <w:r w:rsidRPr="006A00E6">
        <w:rPr>
          <w:lang w:val="en-GB"/>
        </w:rPr>
        <w:fldChar w:fldCharType="separate"/>
      </w:r>
      <w:r w:rsidRPr="006A00E6">
        <w:rPr>
          <w:lang w:val="en-GB"/>
        </w:rPr>
        <w:t>Policy Developments</w:t>
      </w:r>
      <w:r w:rsidRPr="006A00E6">
        <w:rPr>
          <w:lang w:val="en-GB"/>
        </w:rPr>
        <w:fldChar w:fldCharType="end"/>
      </w:r>
    </w:p>
    <w:p w14:paraId="18B4A84A" w14:textId="77777777" w:rsidR="006A00E6" w:rsidRPr="006A00E6" w:rsidRDefault="003C3D7A" w:rsidP="006A00E6">
      <w:pPr>
        <w:pStyle w:val="ListParagraph"/>
        <w:numPr>
          <w:ilvl w:val="0"/>
          <w:numId w:val="43"/>
        </w:numPr>
        <w:spacing w:line="240" w:lineRule="auto"/>
        <w:rPr>
          <w:lang w:val="en-GB"/>
        </w:rPr>
      </w:pPr>
      <w:r w:rsidRPr="006A00E6">
        <w:rPr>
          <w:lang w:val="en-GB"/>
        </w:rPr>
        <w:fldChar w:fldCharType="begin"/>
      </w:r>
      <w:r w:rsidRPr="006A00E6">
        <w:rPr>
          <w:lang w:val="en-GB"/>
        </w:rPr>
        <w:instrText xml:space="preserve"> REF _Ref442453617 \h </w:instrText>
      </w:r>
      <w:r>
        <w:rPr>
          <w:lang w:val="en-GB"/>
        </w:rPr>
      </w:r>
      <w:r w:rsidRPr="006A00E6">
        <w:rPr>
          <w:lang w:val="en-GB"/>
        </w:rPr>
        <w:fldChar w:fldCharType="separate"/>
      </w:r>
      <w:r w:rsidRPr="006A00E6">
        <w:rPr>
          <w:lang w:val="en-GB"/>
        </w:rPr>
        <w:t>Publications, funding opportunities and events</w:t>
      </w:r>
      <w:r w:rsidRPr="006A00E6">
        <w:rPr>
          <w:lang w:val="en-GB"/>
        </w:rPr>
        <w:fldChar w:fldCharType="end"/>
      </w:r>
    </w:p>
    <w:p w14:paraId="406C3269" w14:textId="46D35B0B"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_Ref421267526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Gender Equality</w:t>
      </w:r>
      <w:r w:rsidRPr="006A00E6">
        <w:rPr>
          <w:b/>
          <w:color w:val="0070C0"/>
          <w:u w:val="single"/>
          <w:lang w:val="en-GB"/>
        </w:rPr>
        <w:fldChar w:fldCharType="end"/>
      </w:r>
    </w:p>
    <w:p w14:paraId="778CECD6" w14:textId="77777777" w:rsidR="006A00E6" w:rsidRPr="006A00E6" w:rsidRDefault="003C3D7A" w:rsidP="006A00E6">
      <w:pPr>
        <w:pStyle w:val="ListParagraph"/>
        <w:numPr>
          <w:ilvl w:val="0"/>
          <w:numId w:val="44"/>
        </w:numPr>
        <w:spacing w:line="240" w:lineRule="auto"/>
        <w:rPr>
          <w:lang w:val="en-GB"/>
        </w:rPr>
      </w:pPr>
      <w:r w:rsidRPr="006A00E6">
        <w:rPr>
          <w:lang w:val="en-GB"/>
        </w:rPr>
        <w:fldChar w:fldCharType="begin"/>
      </w:r>
      <w:r w:rsidRPr="006A00E6">
        <w:rPr>
          <w:lang w:val="en-GB"/>
        </w:rPr>
        <w:instrText xml:space="preserve"> REF _Ref442453619 \h </w:instrText>
      </w:r>
      <w:r>
        <w:rPr>
          <w:lang w:val="en-GB"/>
        </w:rPr>
      </w:r>
      <w:r w:rsidRPr="006A00E6">
        <w:rPr>
          <w:lang w:val="en-GB"/>
        </w:rPr>
        <w:fldChar w:fldCharType="separate"/>
      </w:r>
      <w:r w:rsidRPr="006A00E6">
        <w:rPr>
          <w:lang w:val="en-GB"/>
        </w:rPr>
        <w:t>Policy Developments</w:t>
      </w:r>
      <w:r w:rsidRPr="006A00E6">
        <w:rPr>
          <w:lang w:val="en-GB"/>
        </w:rPr>
        <w:fldChar w:fldCharType="end"/>
      </w:r>
    </w:p>
    <w:p w14:paraId="244B6D71" w14:textId="77777777" w:rsidR="006A00E6" w:rsidRPr="006A00E6" w:rsidRDefault="003C3D7A" w:rsidP="006A00E6">
      <w:pPr>
        <w:pStyle w:val="ListParagraph"/>
        <w:numPr>
          <w:ilvl w:val="0"/>
          <w:numId w:val="44"/>
        </w:numPr>
        <w:spacing w:line="240" w:lineRule="auto"/>
        <w:rPr>
          <w:lang w:val="en-GB"/>
        </w:rPr>
      </w:pPr>
      <w:r w:rsidRPr="006A00E6">
        <w:rPr>
          <w:lang w:val="en-GB"/>
        </w:rPr>
        <w:fldChar w:fldCharType="begin"/>
      </w:r>
      <w:r w:rsidRPr="006A00E6">
        <w:rPr>
          <w:lang w:val="en-GB"/>
        </w:rPr>
        <w:instrText xml:space="preserve"> REF _Ref442453621 \h </w:instrText>
      </w:r>
      <w:r>
        <w:rPr>
          <w:lang w:val="en-GB"/>
        </w:rPr>
      </w:r>
      <w:r w:rsidRPr="006A00E6">
        <w:rPr>
          <w:lang w:val="en-GB"/>
        </w:rPr>
        <w:fldChar w:fldCharType="separate"/>
      </w:r>
      <w:r w:rsidRPr="006A00E6">
        <w:rPr>
          <w:lang w:val="en-GB"/>
        </w:rPr>
        <w:t>Publications, funding opportunities and events</w:t>
      </w:r>
      <w:r w:rsidRPr="006A00E6">
        <w:rPr>
          <w:lang w:val="en-GB"/>
        </w:rPr>
        <w:fldChar w:fldCharType="end"/>
      </w:r>
    </w:p>
    <w:p w14:paraId="355898E0" w14:textId="7F916FD6"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_Ref442453624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Race/ethnic origin</w:t>
      </w:r>
      <w:r w:rsidRPr="006A00E6">
        <w:rPr>
          <w:b/>
          <w:color w:val="0070C0"/>
          <w:u w:val="single"/>
          <w:lang w:val="en-GB"/>
        </w:rPr>
        <w:fldChar w:fldCharType="end"/>
      </w:r>
    </w:p>
    <w:p w14:paraId="12561E40" w14:textId="77777777" w:rsidR="006A00E6" w:rsidRPr="006A00E6" w:rsidRDefault="003C3D7A" w:rsidP="006A00E6">
      <w:pPr>
        <w:pStyle w:val="ListParagraph"/>
        <w:numPr>
          <w:ilvl w:val="0"/>
          <w:numId w:val="45"/>
        </w:numPr>
        <w:spacing w:line="240" w:lineRule="auto"/>
        <w:rPr>
          <w:lang w:val="en-GB"/>
        </w:rPr>
      </w:pPr>
      <w:r w:rsidRPr="006A00E6">
        <w:rPr>
          <w:lang w:val="en-GB"/>
        </w:rPr>
        <w:fldChar w:fldCharType="begin"/>
      </w:r>
      <w:r w:rsidRPr="006A00E6">
        <w:rPr>
          <w:lang w:val="en-GB"/>
        </w:rPr>
        <w:instrText xml:space="preserve"> REF _Ref442453625 \h </w:instrText>
      </w:r>
      <w:r>
        <w:rPr>
          <w:lang w:val="en-GB"/>
        </w:rPr>
      </w:r>
      <w:r w:rsidRPr="006A00E6">
        <w:rPr>
          <w:lang w:val="en-GB"/>
        </w:rPr>
        <w:fldChar w:fldCharType="separate"/>
      </w:r>
      <w:r w:rsidRPr="006A00E6">
        <w:rPr>
          <w:lang w:val="en-GB"/>
        </w:rPr>
        <w:t>Policy Developments</w:t>
      </w:r>
      <w:r w:rsidRPr="006A00E6">
        <w:rPr>
          <w:lang w:val="en-GB"/>
        </w:rPr>
        <w:fldChar w:fldCharType="end"/>
      </w:r>
    </w:p>
    <w:p w14:paraId="1D09C0DB" w14:textId="77777777" w:rsidR="006A00E6" w:rsidRPr="006A00E6" w:rsidRDefault="003C3D7A" w:rsidP="006A00E6">
      <w:pPr>
        <w:pStyle w:val="ListParagraph"/>
        <w:numPr>
          <w:ilvl w:val="0"/>
          <w:numId w:val="45"/>
        </w:numPr>
        <w:spacing w:line="240" w:lineRule="auto"/>
        <w:rPr>
          <w:lang w:val="en-GB"/>
        </w:rPr>
      </w:pPr>
      <w:r w:rsidRPr="006A00E6">
        <w:rPr>
          <w:lang w:val="en-GB"/>
        </w:rPr>
        <w:fldChar w:fldCharType="begin"/>
      </w:r>
      <w:r w:rsidRPr="006A00E6">
        <w:rPr>
          <w:lang w:val="en-GB"/>
        </w:rPr>
        <w:instrText xml:space="preserve"> REF _Ref442453627 \h </w:instrText>
      </w:r>
      <w:r>
        <w:rPr>
          <w:lang w:val="en-GB"/>
        </w:rPr>
      </w:r>
      <w:r w:rsidRPr="006A00E6">
        <w:rPr>
          <w:lang w:val="en-GB"/>
        </w:rPr>
        <w:fldChar w:fldCharType="separate"/>
      </w:r>
      <w:r w:rsidRPr="006A00E6">
        <w:rPr>
          <w:lang w:val="en-GB"/>
        </w:rPr>
        <w:t>Publications, funding opportunities and events</w:t>
      </w:r>
      <w:r w:rsidRPr="006A00E6">
        <w:rPr>
          <w:lang w:val="en-GB"/>
        </w:rPr>
        <w:fldChar w:fldCharType="end"/>
      </w:r>
    </w:p>
    <w:p w14:paraId="55D01DCD" w14:textId="296E68D9"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_Ref442453628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Sexual Orientation and Gender Identity</w:t>
      </w:r>
      <w:r w:rsidRPr="006A00E6">
        <w:rPr>
          <w:b/>
          <w:color w:val="0070C0"/>
          <w:u w:val="single"/>
          <w:lang w:val="en-GB"/>
        </w:rPr>
        <w:fldChar w:fldCharType="end"/>
      </w:r>
    </w:p>
    <w:p w14:paraId="1E0913F7" w14:textId="77777777" w:rsidR="006A00E6" w:rsidRPr="006A00E6" w:rsidRDefault="003C3D7A" w:rsidP="006A00E6">
      <w:pPr>
        <w:pStyle w:val="ListParagraph"/>
        <w:numPr>
          <w:ilvl w:val="0"/>
          <w:numId w:val="46"/>
        </w:numPr>
        <w:spacing w:line="240" w:lineRule="auto"/>
        <w:rPr>
          <w:lang w:val="en-GB"/>
        </w:rPr>
      </w:pPr>
      <w:r w:rsidRPr="006A00E6">
        <w:rPr>
          <w:lang w:val="en-GB"/>
        </w:rPr>
        <w:fldChar w:fldCharType="begin"/>
      </w:r>
      <w:r w:rsidRPr="006A00E6">
        <w:rPr>
          <w:lang w:val="en-GB"/>
        </w:rPr>
        <w:instrText xml:space="preserve"> REF _Ref442453630 \h </w:instrText>
      </w:r>
      <w:r>
        <w:rPr>
          <w:lang w:val="en-GB"/>
        </w:rPr>
      </w:r>
      <w:r w:rsidRPr="006A00E6">
        <w:rPr>
          <w:lang w:val="en-GB"/>
        </w:rPr>
        <w:fldChar w:fldCharType="separate"/>
      </w:r>
      <w:r w:rsidRPr="006A00E6">
        <w:rPr>
          <w:lang w:val="en-GB"/>
        </w:rPr>
        <w:t>Publications, funding opportunities and events</w:t>
      </w:r>
      <w:r w:rsidRPr="006A00E6">
        <w:rPr>
          <w:lang w:val="en-GB"/>
        </w:rPr>
        <w:fldChar w:fldCharType="end"/>
      </w:r>
    </w:p>
    <w:p w14:paraId="542175A8" w14:textId="247E98D6" w:rsidR="006A00E6" w:rsidRPr="006A00E6" w:rsidRDefault="003C3D7A" w:rsidP="006A00E6">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_Ref442453631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Religion and Belief</w:t>
      </w:r>
      <w:r w:rsidRPr="006A00E6">
        <w:rPr>
          <w:b/>
          <w:color w:val="0070C0"/>
          <w:u w:val="single"/>
          <w:lang w:val="en-GB"/>
        </w:rPr>
        <w:fldChar w:fldCharType="end"/>
      </w:r>
    </w:p>
    <w:p w14:paraId="3170B9A7" w14:textId="77777777" w:rsidR="006A00E6" w:rsidRPr="006A00E6" w:rsidRDefault="003C3D7A" w:rsidP="006A00E6">
      <w:pPr>
        <w:pStyle w:val="ListParagraph"/>
        <w:numPr>
          <w:ilvl w:val="0"/>
          <w:numId w:val="46"/>
        </w:numPr>
        <w:spacing w:line="240" w:lineRule="auto"/>
        <w:rPr>
          <w:lang w:val="en-GB"/>
        </w:rPr>
      </w:pPr>
      <w:r w:rsidRPr="006A00E6">
        <w:rPr>
          <w:lang w:val="en-GB"/>
        </w:rPr>
        <w:fldChar w:fldCharType="begin"/>
      </w:r>
      <w:r w:rsidRPr="006A00E6">
        <w:rPr>
          <w:lang w:val="en-GB"/>
        </w:rPr>
        <w:instrText xml:space="preserve"> REF _Ref442453632 \h </w:instrText>
      </w:r>
      <w:r>
        <w:rPr>
          <w:lang w:val="en-GB"/>
        </w:rPr>
      </w:r>
      <w:r w:rsidRPr="006A00E6">
        <w:rPr>
          <w:lang w:val="en-GB"/>
        </w:rPr>
        <w:fldChar w:fldCharType="separate"/>
      </w:r>
      <w:r w:rsidRPr="006A00E6">
        <w:rPr>
          <w:lang w:val="en-GB"/>
        </w:rPr>
        <w:t>Policy Developments</w:t>
      </w:r>
      <w:r w:rsidRPr="006A00E6">
        <w:rPr>
          <w:lang w:val="en-GB"/>
        </w:rPr>
        <w:fldChar w:fldCharType="end"/>
      </w:r>
    </w:p>
    <w:p w14:paraId="71561544" w14:textId="4E4D2F51"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_Ref442453633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Other</w:t>
      </w:r>
      <w:r w:rsidRPr="006A00E6">
        <w:rPr>
          <w:b/>
          <w:color w:val="0070C0"/>
          <w:u w:val="single"/>
          <w:lang w:val="en-GB"/>
        </w:rPr>
        <w:fldChar w:fldCharType="end"/>
      </w:r>
    </w:p>
    <w:p w14:paraId="161342CA" w14:textId="77777777" w:rsidR="006A00E6" w:rsidRPr="006A00E6" w:rsidRDefault="003C3D7A" w:rsidP="006A00E6">
      <w:pPr>
        <w:pStyle w:val="ListParagraph"/>
        <w:numPr>
          <w:ilvl w:val="0"/>
          <w:numId w:val="46"/>
        </w:numPr>
        <w:spacing w:line="240" w:lineRule="auto"/>
        <w:rPr>
          <w:lang w:val="en-GB"/>
        </w:rPr>
      </w:pPr>
      <w:r w:rsidRPr="006A00E6">
        <w:rPr>
          <w:lang w:val="en-GB"/>
        </w:rPr>
        <w:fldChar w:fldCharType="begin"/>
      </w:r>
      <w:r w:rsidRPr="006A00E6">
        <w:rPr>
          <w:lang w:val="en-GB"/>
        </w:rPr>
        <w:instrText xml:space="preserve"> REF _Ref442453634 \h </w:instrText>
      </w:r>
      <w:r>
        <w:rPr>
          <w:lang w:val="en-GB"/>
        </w:rPr>
      </w:r>
      <w:r w:rsidRPr="006A00E6">
        <w:rPr>
          <w:lang w:val="en-GB"/>
        </w:rPr>
        <w:fldChar w:fldCharType="separate"/>
      </w:r>
      <w:r w:rsidRPr="006A00E6">
        <w:rPr>
          <w:lang w:val="en-GB"/>
        </w:rPr>
        <w:t>Policy Developments</w:t>
      </w:r>
      <w:r w:rsidRPr="006A00E6">
        <w:rPr>
          <w:lang w:val="en-GB"/>
        </w:rPr>
        <w:fldChar w:fldCharType="end"/>
      </w:r>
    </w:p>
    <w:p w14:paraId="294CA73D" w14:textId="6C2C2FD4" w:rsidR="006A00E6" w:rsidRPr="006A00E6" w:rsidRDefault="003C3D7A" w:rsidP="00685E24">
      <w:pPr>
        <w:spacing w:line="240" w:lineRule="auto"/>
        <w:rPr>
          <w:b/>
          <w:color w:val="0070C0"/>
          <w:u w:val="single"/>
          <w:lang w:val="en-GB"/>
        </w:rPr>
      </w:pPr>
      <w:r w:rsidRPr="006A00E6">
        <w:rPr>
          <w:b/>
          <w:color w:val="0070C0"/>
          <w:u w:val="single"/>
          <w:lang w:val="en-GB"/>
        </w:rPr>
        <w:fldChar w:fldCharType="begin"/>
      </w:r>
      <w:r w:rsidRPr="006A00E6">
        <w:rPr>
          <w:b/>
          <w:color w:val="0070C0"/>
          <w:u w:val="single"/>
          <w:lang w:val="en-GB"/>
        </w:rPr>
        <w:instrText xml:space="preserve"> REF _Ref442453635 \h </w:instrText>
      </w:r>
      <w:r w:rsidRPr="006A00E6">
        <w:rPr>
          <w:b/>
          <w:color w:val="0070C0"/>
          <w:u w:val="single"/>
          <w:lang w:val="en-GB"/>
        </w:rPr>
      </w:r>
      <w:r w:rsidR="006A00E6" w:rsidRPr="006A00E6">
        <w:rPr>
          <w:b/>
          <w:color w:val="0070C0"/>
          <w:u w:val="single"/>
          <w:lang w:val="en-GB"/>
        </w:rPr>
        <w:instrText xml:space="preserve"> \* MERGEFORMAT </w:instrText>
      </w:r>
      <w:r w:rsidRPr="006A00E6">
        <w:rPr>
          <w:b/>
          <w:color w:val="0070C0"/>
          <w:u w:val="single"/>
          <w:lang w:val="en-GB"/>
        </w:rPr>
        <w:fldChar w:fldCharType="separate"/>
      </w:r>
      <w:r w:rsidRPr="006A00E6">
        <w:rPr>
          <w:b/>
          <w:color w:val="0070C0"/>
          <w:u w:val="single"/>
          <w:lang w:val="en-GB"/>
        </w:rPr>
        <w:t>Recent case-law</w:t>
      </w:r>
      <w:r w:rsidRPr="006A00E6">
        <w:rPr>
          <w:b/>
          <w:color w:val="0070C0"/>
          <w:u w:val="single"/>
          <w:lang w:val="en-GB"/>
        </w:rPr>
        <w:fldChar w:fldCharType="end"/>
      </w:r>
    </w:p>
    <w:p w14:paraId="08315CD8" w14:textId="77777777" w:rsidR="006A00E6" w:rsidRPr="006A00E6" w:rsidRDefault="003C3D7A" w:rsidP="006A00E6">
      <w:pPr>
        <w:pStyle w:val="ListParagraph"/>
        <w:numPr>
          <w:ilvl w:val="0"/>
          <w:numId w:val="46"/>
        </w:numPr>
        <w:spacing w:line="240" w:lineRule="auto"/>
        <w:rPr>
          <w:rFonts w:ascii="Tahoma" w:eastAsiaTheme="majorEastAsia" w:hAnsi="Tahoma" w:cstheme="majorBidi"/>
          <w:b/>
          <w:color w:val="2E74B5" w:themeColor="accent1" w:themeShade="BF"/>
          <w:sz w:val="32"/>
          <w:szCs w:val="32"/>
          <w:lang w:val="en-GB"/>
        </w:rPr>
      </w:pPr>
      <w:r w:rsidRPr="006A00E6">
        <w:rPr>
          <w:lang w:val="en-GB"/>
        </w:rPr>
        <w:fldChar w:fldCharType="begin"/>
      </w:r>
      <w:r w:rsidRPr="006A00E6">
        <w:rPr>
          <w:lang w:val="en-GB"/>
        </w:rPr>
        <w:instrText xml:space="preserve"> REF _Ref421267642 \h </w:instrText>
      </w:r>
      <w:r>
        <w:rPr>
          <w:lang w:val="en-GB"/>
        </w:rPr>
      </w:r>
      <w:r w:rsidRPr="006A00E6">
        <w:rPr>
          <w:lang w:val="en-GB"/>
        </w:rPr>
        <w:fldChar w:fldCharType="separate"/>
      </w:r>
      <w:r w:rsidRPr="006A00E6">
        <w:rPr>
          <w:lang w:val="en-GB"/>
        </w:rPr>
        <w:t>European Court of Justice (ECJ)</w:t>
      </w:r>
      <w:r w:rsidRPr="006A00E6">
        <w:rPr>
          <w:lang w:val="en-GB"/>
        </w:rPr>
        <w:fldChar w:fldCharType="end"/>
      </w:r>
    </w:p>
    <w:p w14:paraId="7CABA703" w14:textId="68C38B6E" w:rsidR="00F93FE2" w:rsidRPr="006A00E6" w:rsidRDefault="003C3D7A" w:rsidP="006A00E6">
      <w:pPr>
        <w:pStyle w:val="ListParagraph"/>
        <w:numPr>
          <w:ilvl w:val="0"/>
          <w:numId w:val="46"/>
        </w:numPr>
        <w:spacing w:line="240" w:lineRule="auto"/>
        <w:rPr>
          <w:rFonts w:ascii="Tahoma" w:eastAsiaTheme="majorEastAsia" w:hAnsi="Tahoma" w:cstheme="majorBidi"/>
          <w:b/>
          <w:color w:val="2E74B5" w:themeColor="accent1" w:themeShade="BF"/>
          <w:sz w:val="32"/>
          <w:szCs w:val="32"/>
          <w:lang w:val="en-GB"/>
        </w:rPr>
      </w:pPr>
      <w:r w:rsidRPr="006A00E6">
        <w:rPr>
          <w:lang w:val="en-GB"/>
        </w:rPr>
        <w:fldChar w:fldCharType="begin"/>
      </w:r>
      <w:r w:rsidRPr="006A00E6">
        <w:rPr>
          <w:lang w:val="en-GB"/>
        </w:rPr>
        <w:instrText xml:space="preserve"> REF _Ref421267644 \h </w:instrText>
      </w:r>
      <w:r>
        <w:rPr>
          <w:lang w:val="en-GB"/>
        </w:rPr>
      </w:r>
      <w:r w:rsidRPr="006A00E6">
        <w:rPr>
          <w:lang w:val="en-GB"/>
        </w:rPr>
        <w:fldChar w:fldCharType="separate"/>
      </w:r>
      <w:r w:rsidRPr="006A00E6">
        <w:rPr>
          <w:lang w:val="en-GB"/>
        </w:rPr>
        <w:t>European Court of Human Rights (ECHR)</w:t>
      </w:r>
      <w:r w:rsidRPr="006A00E6">
        <w:rPr>
          <w:lang w:val="en-GB"/>
        </w:rPr>
        <w:fldChar w:fldCharType="end"/>
      </w:r>
      <w:bookmarkStart w:id="4" w:name="_GoBack"/>
      <w:bookmarkEnd w:id="4"/>
      <w:r w:rsidR="00F93FE2" w:rsidRPr="006A00E6">
        <w:rPr>
          <w:lang w:val="en-GB"/>
        </w:rPr>
        <w:br w:type="page"/>
      </w:r>
    </w:p>
    <w:p w14:paraId="040B29A2" w14:textId="6623121D" w:rsidR="001140DC" w:rsidRDefault="00922F1E" w:rsidP="00685E24">
      <w:pPr>
        <w:pStyle w:val="Heading1"/>
        <w:pBdr>
          <w:top w:val="dotted" w:sz="4" w:space="1" w:color="auto"/>
          <w:bottom w:val="dotted" w:sz="4" w:space="1" w:color="auto"/>
        </w:pBdr>
        <w:spacing w:line="240" w:lineRule="auto"/>
        <w:rPr>
          <w:lang w:val="en-GB"/>
        </w:rPr>
      </w:pPr>
      <w:bookmarkStart w:id="5" w:name="_Ref442453610"/>
      <w:r w:rsidRPr="006075A4">
        <w:rPr>
          <w:lang w:val="en-GB"/>
        </w:rPr>
        <w:lastRenderedPageBreak/>
        <w:t>Highlight</w:t>
      </w:r>
      <w:bookmarkEnd w:id="0"/>
      <w:bookmarkEnd w:id="1"/>
      <w:bookmarkEnd w:id="2"/>
      <w:bookmarkEnd w:id="3"/>
      <w:r w:rsidR="00952150">
        <w:rPr>
          <w:lang w:val="en-GB"/>
        </w:rPr>
        <w:t>: Disability</w:t>
      </w:r>
      <w:r w:rsidR="00952150" w:rsidRPr="00952150">
        <w:rPr>
          <w:lang w:val="en-GB"/>
        </w:rPr>
        <w:t xml:space="preserve"> </w:t>
      </w:r>
      <w:r w:rsidR="00952150">
        <w:rPr>
          <w:lang w:val="en-GB"/>
        </w:rPr>
        <w:t xml:space="preserve">- Updates on the European Accessibility Act and Public Consultation </w:t>
      </w:r>
      <w:r w:rsidR="00952150" w:rsidRPr="00952150">
        <w:rPr>
          <w:lang w:val="en-GB"/>
        </w:rPr>
        <w:t>on the mid-term review of the Europea</w:t>
      </w:r>
      <w:r w:rsidR="00952150">
        <w:rPr>
          <w:lang w:val="en-GB"/>
        </w:rPr>
        <w:t>n Disability Strategy 2010-2020</w:t>
      </w:r>
      <w:bookmarkEnd w:id="5"/>
    </w:p>
    <w:p w14:paraId="43616600" w14:textId="77777777" w:rsidR="00F93FE2" w:rsidRPr="00F93FE2" w:rsidRDefault="00F93FE2" w:rsidP="00685E24">
      <w:pPr>
        <w:spacing w:line="240" w:lineRule="auto"/>
        <w:rPr>
          <w:lang w:val="en-GB"/>
        </w:rPr>
      </w:pPr>
    </w:p>
    <w:p w14:paraId="3B134481" w14:textId="734FEB29" w:rsidR="00952150" w:rsidRDefault="00952150" w:rsidP="00685E24">
      <w:pPr>
        <w:pStyle w:val="Heading2"/>
        <w:spacing w:line="240" w:lineRule="auto"/>
        <w:jc w:val="both"/>
        <w:rPr>
          <w:lang w:val="en-GB"/>
        </w:rPr>
      </w:pPr>
      <w:bookmarkStart w:id="6" w:name="_Ref442453612"/>
      <w:r>
        <w:rPr>
          <w:lang w:val="en-GB"/>
        </w:rPr>
        <w:t>Updates on the European Accessibility Act</w:t>
      </w:r>
      <w:bookmarkEnd w:id="6"/>
      <w:r>
        <w:rPr>
          <w:lang w:val="en-GB"/>
        </w:rPr>
        <w:t xml:space="preserve"> </w:t>
      </w:r>
    </w:p>
    <w:p w14:paraId="6510D487" w14:textId="53DA9981" w:rsidR="002869BD" w:rsidRDefault="00952150" w:rsidP="00685E24">
      <w:pPr>
        <w:spacing w:line="240" w:lineRule="auto"/>
        <w:jc w:val="both"/>
        <w:rPr>
          <w:lang w:val="en-GB"/>
        </w:rPr>
      </w:pPr>
      <w:r>
        <w:rPr>
          <w:lang w:val="en-GB"/>
        </w:rPr>
        <w:br/>
      </w:r>
      <w:r w:rsidR="002869BD" w:rsidRPr="002869BD">
        <w:rPr>
          <w:lang w:val="en-GB"/>
        </w:rPr>
        <w:t xml:space="preserve">In December 2015, the European Commission released </w:t>
      </w:r>
      <w:hyperlink r:id="rId10" w:history="1">
        <w:r w:rsidR="002869BD" w:rsidRPr="002869BD">
          <w:rPr>
            <w:rStyle w:val="Hyperlink"/>
            <w:b/>
            <w:lang w:val="en-GB"/>
          </w:rPr>
          <w:t>a proposal of European Accessibility Act</w:t>
        </w:r>
      </w:hyperlink>
      <w:r w:rsidR="002869BD" w:rsidRPr="002869BD">
        <w:rPr>
          <w:lang w:val="en-GB"/>
        </w:rPr>
        <w:t xml:space="preserve"> (</w:t>
      </w:r>
      <w:hyperlink r:id="rId11" w:history="1">
        <w:r w:rsidR="002869BD" w:rsidRPr="002869BD">
          <w:rPr>
            <w:rStyle w:val="Hyperlink"/>
            <w:lang w:val="en-GB"/>
          </w:rPr>
          <w:t>Proposal for a Directive of the European Parliament and the Council on the approximation of the laws, regulations and administrative provisions of the Member States as regards the accessibility requirements for products and services</w:t>
        </w:r>
      </w:hyperlink>
      <w:r w:rsidR="002869BD" w:rsidRPr="002869BD">
        <w:rPr>
          <w:lang w:val="en-GB"/>
        </w:rPr>
        <w:t>). The proposal will define common accessibility requirements for</w:t>
      </w:r>
      <w:r w:rsidR="002869BD" w:rsidRPr="00EA2173">
        <w:rPr>
          <w:lang w:val="en-GB"/>
        </w:rPr>
        <w:t xml:space="preserve"> certain products and services. </w:t>
      </w:r>
      <w:r w:rsidR="00EA2173" w:rsidRPr="00EA2173">
        <w:rPr>
          <w:lang w:val="en-GB"/>
        </w:rPr>
        <w:t>It has a particular relevance in the context of the proposal for a Council Directive on implementing the principle of equal treatment between persons irrespective of religion or belief, disability, age or sexual orientation</w:t>
      </w:r>
      <w:r w:rsidR="00EA2173">
        <w:rPr>
          <w:lang w:val="en-GB"/>
        </w:rPr>
        <w:t xml:space="preserve"> (the so-called Horizontal Directive) as some Member States claim that the scope of these two Directives might be overlapping.</w:t>
      </w:r>
    </w:p>
    <w:p w14:paraId="043FBDB6" w14:textId="77777777" w:rsidR="00EA2173" w:rsidRPr="002869BD" w:rsidRDefault="00EA2173" w:rsidP="00685E24">
      <w:pPr>
        <w:spacing w:line="240" w:lineRule="auto"/>
        <w:jc w:val="both"/>
        <w:rPr>
          <w:lang w:val="en-GB"/>
        </w:rPr>
      </w:pPr>
    </w:p>
    <w:p w14:paraId="110FC6F3" w14:textId="07C05B1C" w:rsidR="00952150" w:rsidRDefault="002869BD" w:rsidP="00685E24">
      <w:pPr>
        <w:spacing w:line="240" w:lineRule="auto"/>
        <w:jc w:val="both"/>
        <w:rPr>
          <w:lang w:val="en-GB"/>
        </w:rPr>
      </w:pPr>
      <w:r w:rsidRPr="002869BD">
        <w:rPr>
          <w:lang w:val="en-GB"/>
        </w:rPr>
        <w:t xml:space="preserve">The proposal targets </w:t>
      </w:r>
      <w:r w:rsidRPr="002869BD">
        <w:rPr>
          <w:b/>
          <w:lang w:val="en-GB"/>
        </w:rPr>
        <w:t>ATMs and banking services, PCs, telephones and TV equipment, telephony and audio-visual services, transport, e-books and e-commerce</w:t>
      </w:r>
      <w:r w:rsidRPr="002869BD">
        <w:rPr>
          <w:lang w:val="en-GB"/>
        </w:rPr>
        <w:t>.</w:t>
      </w:r>
    </w:p>
    <w:p w14:paraId="44BA0198" w14:textId="70FEAD6B" w:rsidR="002869BD" w:rsidRDefault="002869BD" w:rsidP="00685E24">
      <w:pPr>
        <w:spacing w:line="240" w:lineRule="auto"/>
        <w:jc w:val="both"/>
        <w:rPr>
          <w:lang w:val="en-GB"/>
        </w:rPr>
      </w:pPr>
      <w:r>
        <w:rPr>
          <w:lang w:val="en-GB"/>
        </w:rPr>
        <w:t xml:space="preserve">Two pan-European organisations advocating for the rights of persons with disabilities released their opinions about the proposal: </w:t>
      </w:r>
    </w:p>
    <w:p w14:paraId="49522FC0" w14:textId="280A9312" w:rsidR="002869BD" w:rsidRDefault="005F2A98" w:rsidP="00685E24">
      <w:pPr>
        <w:pStyle w:val="ListParagraph"/>
        <w:numPr>
          <w:ilvl w:val="0"/>
          <w:numId w:val="32"/>
        </w:numPr>
        <w:spacing w:line="240" w:lineRule="auto"/>
        <w:jc w:val="both"/>
        <w:rPr>
          <w:lang w:val="en-GB"/>
        </w:rPr>
      </w:pPr>
      <w:hyperlink r:id="rId12" w:history="1">
        <w:r w:rsidR="002869BD" w:rsidRPr="002869BD">
          <w:rPr>
            <w:rStyle w:val="Hyperlink"/>
            <w:lang w:val="en-GB"/>
          </w:rPr>
          <w:t>Inclusion Europe</w:t>
        </w:r>
      </w:hyperlink>
      <w:r w:rsidR="002869BD">
        <w:rPr>
          <w:lang w:val="en-GB"/>
        </w:rPr>
        <w:t xml:space="preserve"> released a policy paper analysing the proposal and providing recommendations for improvements. The paper is available </w:t>
      </w:r>
      <w:hyperlink r:id="rId13" w:history="1">
        <w:r w:rsidR="002869BD" w:rsidRPr="002869BD">
          <w:rPr>
            <w:rStyle w:val="Hyperlink"/>
            <w:lang w:val="en-GB"/>
          </w:rPr>
          <w:t>here</w:t>
        </w:r>
      </w:hyperlink>
      <w:r w:rsidR="002869BD">
        <w:rPr>
          <w:lang w:val="en-GB"/>
        </w:rPr>
        <w:t xml:space="preserve">. </w:t>
      </w:r>
    </w:p>
    <w:p w14:paraId="25C5F6CE" w14:textId="3609F49E" w:rsidR="002869BD" w:rsidRDefault="002869BD" w:rsidP="00685E24">
      <w:pPr>
        <w:pStyle w:val="ListParagraph"/>
        <w:numPr>
          <w:ilvl w:val="0"/>
          <w:numId w:val="32"/>
        </w:numPr>
        <w:spacing w:line="240" w:lineRule="auto"/>
        <w:jc w:val="both"/>
        <w:rPr>
          <w:lang w:val="en-GB"/>
        </w:rPr>
      </w:pPr>
      <w:r>
        <w:rPr>
          <w:lang w:val="en-GB"/>
        </w:rPr>
        <w:t xml:space="preserve">The </w:t>
      </w:r>
      <w:hyperlink r:id="rId14" w:history="1">
        <w:r w:rsidRPr="002869BD">
          <w:rPr>
            <w:rStyle w:val="Hyperlink"/>
            <w:lang w:val="en-GB"/>
          </w:rPr>
          <w:t>European Disability Forum (EDF)</w:t>
        </w:r>
      </w:hyperlink>
      <w:r>
        <w:rPr>
          <w:lang w:val="en-GB"/>
        </w:rPr>
        <w:t xml:space="preserve"> presented an initial response to the proposal, recommending to widen the scope of the Directive. The EDF’s position and analysis can be read </w:t>
      </w:r>
      <w:hyperlink r:id="rId15" w:history="1">
        <w:r w:rsidRPr="002869BD">
          <w:rPr>
            <w:rStyle w:val="Hyperlink"/>
            <w:lang w:val="en-GB"/>
          </w:rPr>
          <w:t>here</w:t>
        </w:r>
      </w:hyperlink>
      <w:r>
        <w:rPr>
          <w:lang w:val="en-GB"/>
        </w:rPr>
        <w:t xml:space="preserve">. </w:t>
      </w:r>
    </w:p>
    <w:p w14:paraId="19BE2753" w14:textId="77777777" w:rsidR="002B3154" w:rsidRDefault="002B3154" w:rsidP="00685E24">
      <w:pPr>
        <w:pStyle w:val="ListParagraph"/>
        <w:spacing w:line="240" w:lineRule="auto"/>
        <w:jc w:val="both"/>
        <w:rPr>
          <w:lang w:val="en-GB"/>
        </w:rPr>
      </w:pPr>
    </w:p>
    <w:p w14:paraId="338EA3F6" w14:textId="77777777" w:rsidR="002B3154" w:rsidRPr="002B3154" w:rsidRDefault="002869BD" w:rsidP="00685E24">
      <w:pPr>
        <w:pStyle w:val="Heading2"/>
        <w:spacing w:line="240" w:lineRule="auto"/>
        <w:jc w:val="both"/>
        <w:rPr>
          <w:lang w:val="en-US"/>
        </w:rPr>
      </w:pPr>
      <w:bookmarkStart w:id="7" w:name="_Ref442453613"/>
      <w:r>
        <w:rPr>
          <w:lang w:val="en-GB"/>
        </w:rPr>
        <w:t xml:space="preserve">Reminder: </w:t>
      </w:r>
      <w:r w:rsidR="002B3154" w:rsidRPr="002B3154">
        <w:rPr>
          <w:lang w:val="en-US"/>
        </w:rPr>
        <w:t xml:space="preserve">European Commission - </w:t>
      </w:r>
      <w:r w:rsidR="002B3154" w:rsidRPr="002B3154">
        <w:rPr>
          <w:shd w:val="clear" w:color="auto" w:fill="FFFFFF"/>
          <w:lang w:val="en-US"/>
        </w:rPr>
        <w:t>Public consultation on the mid-term review of the European Disability Strategy 2010-2020 (Deadline: 18</w:t>
      </w:r>
      <w:r w:rsidR="002B3154" w:rsidRPr="002B3154">
        <w:rPr>
          <w:shd w:val="clear" w:color="auto" w:fill="FFFFFF"/>
          <w:vertAlign w:val="superscript"/>
          <w:lang w:val="en-US"/>
        </w:rPr>
        <w:t>th</w:t>
      </w:r>
      <w:r w:rsidR="002B3154" w:rsidRPr="002B3154">
        <w:rPr>
          <w:shd w:val="clear" w:color="auto" w:fill="FFFFFF"/>
          <w:lang w:val="en-US"/>
        </w:rPr>
        <w:t xml:space="preserve"> March 2016)</w:t>
      </w:r>
      <w:bookmarkEnd w:id="7"/>
    </w:p>
    <w:p w14:paraId="0234EC43" w14:textId="77777777" w:rsidR="002B3154" w:rsidRPr="002B3154" w:rsidRDefault="002B3154" w:rsidP="00685E24">
      <w:pPr>
        <w:spacing w:line="240" w:lineRule="auto"/>
        <w:jc w:val="both"/>
        <w:rPr>
          <w:lang w:val="en-GB"/>
        </w:rPr>
      </w:pPr>
      <w:r w:rsidRPr="002B3154">
        <w:rPr>
          <w:lang w:val="en-US"/>
        </w:rPr>
        <w:br/>
      </w:r>
      <w:r w:rsidRPr="002B3154">
        <w:rPr>
          <w:lang w:val="en-GB"/>
        </w:rPr>
        <w:t xml:space="preserve">The </w:t>
      </w:r>
      <w:hyperlink r:id="rId16" w:history="1">
        <w:r w:rsidRPr="002B3154">
          <w:rPr>
            <w:color w:val="0070C0"/>
            <w:u w:val="single"/>
            <w:lang w:val="en-GB"/>
          </w:rPr>
          <w:t>European Disability Strategy (2010-2020)</w:t>
        </w:r>
      </w:hyperlink>
      <w:r w:rsidRPr="002B3154">
        <w:rPr>
          <w:lang w:val="en-GB"/>
        </w:rPr>
        <w:t xml:space="preserve"> lays out a strategy to empower people with disabilities so that they can fully enjoy their rights and participate in society and the economy on an equal basis with others.</w:t>
      </w:r>
    </w:p>
    <w:p w14:paraId="43587C4A" w14:textId="77777777" w:rsidR="002B3154" w:rsidRPr="002B3154" w:rsidRDefault="002B3154" w:rsidP="00685E24">
      <w:pPr>
        <w:spacing w:line="240" w:lineRule="auto"/>
        <w:jc w:val="both"/>
        <w:rPr>
          <w:lang w:val="en-GB"/>
        </w:rPr>
      </w:pPr>
      <w:r w:rsidRPr="002B3154">
        <w:rPr>
          <w:lang w:val="en-GB"/>
        </w:rPr>
        <w:t xml:space="preserve">It identifies eight main areas of actions at EU level: </w:t>
      </w:r>
    </w:p>
    <w:p w14:paraId="34A4F455" w14:textId="77777777" w:rsidR="002B3154" w:rsidRPr="002B3154" w:rsidRDefault="002B3154" w:rsidP="00685E24">
      <w:pPr>
        <w:numPr>
          <w:ilvl w:val="0"/>
          <w:numId w:val="33"/>
        </w:numPr>
        <w:spacing w:line="240" w:lineRule="auto"/>
        <w:contextualSpacing/>
        <w:jc w:val="both"/>
        <w:rPr>
          <w:lang w:val="en-US"/>
        </w:rPr>
      </w:pPr>
      <w:r w:rsidRPr="002B3154">
        <w:rPr>
          <w:lang w:val="en-US"/>
        </w:rPr>
        <w:t>accessibility</w:t>
      </w:r>
    </w:p>
    <w:p w14:paraId="373E3C5E" w14:textId="77777777" w:rsidR="002B3154" w:rsidRPr="002B3154" w:rsidRDefault="002B3154" w:rsidP="00685E24">
      <w:pPr>
        <w:numPr>
          <w:ilvl w:val="0"/>
          <w:numId w:val="33"/>
        </w:numPr>
        <w:spacing w:line="240" w:lineRule="auto"/>
        <w:contextualSpacing/>
        <w:jc w:val="both"/>
        <w:rPr>
          <w:lang w:val="en-US"/>
        </w:rPr>
      </w:pPr>
      <w:r w:rsidRPr="002B3154">
        <w:rPr>
          <w:lang w:val="en-US"/>
        </w:rPr>
        <w:t>participation</w:t>
      </w:r>
    </w:p>
    <w:p w14:paraId="699EB3AB" w14:textId="77777777" w:rsidR="002B3154" w:rsidRPr="002B3154" w:rsidRDefault="002B3154" w:rsidP="00685E24">
      <w:pPr>
        <w:numPr>
          <w:ilvl w:val="0"/>
          <w:numId w:val="33"/>
        </w:numPr>
        <w:spacing w:line="240" w:lineRule="auto"/>
        <w:contextualSpacing/>
        <w:jc w:val="both"/>
        <w:rPr>
          <w:lang w:val="en-US"/>
        </w:rPr>
      </w:pPr>
      <w:r w:rsidRPr="002B3154">
        <w:rPr>
          <w:lang w:val="en-US"/>
        </w:rPr>
        <w:t>equality</w:t>
      </w:r>
    </w:p>
    <w:p w14:paraId="085F98F1" w14:textId="77777777" w:rsidR="002B3154" w:rsidRPr="002B3154" w:rsidRDefault="002B3154" w:rsidP="00685E24">
      <w:pPr>
        <w:numPr>
          <w:ilvl w:val="0"/>
          <w:numId w:val="33"/>
        </w:numPr>
        <w:spacing w:line="240" w:lineRule="auto"/>
        <w:contextualSpacing/>
        <w:jc w:val="both"/>
        <w:rPr>
          <w:lang w:val="en-US"/>
        </w:rPr>
      </w:pPr>
      <w:r w:rsidRPr="002B3154">
        <w:rPr>
          <w:lang w:val="en-US"/>
        </w:rPr>
        <w:t>employment</w:t>
      </w:r>
    </w:p>
    <w:p w14:paraId="567B05A7" w14:textId="77777777" w:rsidR="002B3154" w:rsidRPr="002B3154" w:rsidRDefault="002B3154" w:rsidP="00685E24">
      <w:pPr>
        <w:numPr>
          <w:ilvl w:val="0"/>
          <w:numId w:val="33"/>
        </w:numPr>
        <w:spacing w:line="240" w:lineRule="auto"/>
        <w:contextualSpacing/>
        <w:jc w:val="both"/>
        <w:rPr>
          <w:lang w:val="en-US"/>
        </w:rPr>
      </w:pPr>
      <w:r w:rsidRPr="002B3154">
        <w:rPr>
          <w:lang w:val="en-US"/>
        </w:rPr>
        <w:t>education and training</w:t>
      </w:r>
    </w:p>
    <w:p w14:paraId="4894C909" w14:textId="77777777" w:rsidR="002B3154" w:rsidRPr="002B3154" w:rsidRDefault="002B3154" w:rsidP="00685E24">
      <w:pPr>
        <w:numPr>
          <w:ilvl w:val="0"/>
          <w:numId w:val="33"/>
        </w:numPr>
        <w:spacing w:line="240" w:lineRule="auto"/>
        <w:contextualSpacing/>
        <w:jc w:val="both"/>
        <w:rPr>
          <w:lang w:val="en-US"/>
        </w:rPr>
      </w:pPr>
      <w:r w:rsidRPr="002B3154">
        <w:rPr>
          <w:lang w:val="en-US"/>
        </w:rPr>
        <w:t>social protection</w:t>
      </w:r>
    </w:p>
    <w:p w14:paraId="0EF1314B" w14:textId="77777777" w:rsidR="002B3154" w:rsidRPr="002B3154" w:rsidRDefault="002B3154" w:rsidP="00685E24">
      <w:pPr>
        <w:numPr>
          <w:ilvl w:val="0"/>
          <w:numId w:val="33"/>
        </w:numPr>
        <w:spacing w:line="240" w:lineRule="auto"/>
        <w:contextualSpacing/>
        <w:jc w:val="both"/>
        <w:rPr>
          <w:lang w:val="en-US"/>
        </w:rPr>
      </w:pPr>
      <w:r w:rsidRPr="002B3154">
        <w:rPr>
          <w:lang w:val="en-US"/>
        </w:rPr>
        <w:t>health</w:t>
      </w:r>
    </w:p>
    <w:p w14:paraId="55FCC79D" w14:textId="77777777" w:rsidR="002B3154" w:rsidRDefault="002B3154" w:rsidP="00685E24">
      <w:pPr>
        <w:numPr>
          <w:ilvl w:val="0"/>
          <w:numId w:val="33"/>
        </w:numPr>
        <w:spacing w:line="240" w:lineRule="auto"/>
        <w:contextualSpacing/>
        <w:jc w:val="both"/>
        <w:rPr>
          <w:lang w:val="en-US"/>
        </w:rPr>
      </w:pPr>
      <w:r w:rsidRPr="002B3154">
        <w:rPr>
          <w:lang w:val="en-US"/>
        </w:rPr>
        <w:t>external action</w:t>
      </w:r>
    </w:p>
    <w:p w14:paraId="25FB4A71" w14:textId="77777777" w:rsidR="002B3154" w:rsidRPr="002B3154" w:rsidRDefault="002B3154" w:rsidP="00685E24">
      <w:pPr>
        <w:spacing w:line="240" w:lineRule="auto"/>
        <w:ind w:left="720"/>
        <w:contextualSpacing/>
        <w:jc w:val="both"/>
        <w:rPr>
          <w:lang w:val="en-US"/>
        </w:rPr>
      </w:pPr>
    </w:p>
    <w:p w14:paraId="5D82A2CE" w14:textId="77777777" w:rsidR="002B3154" w:rsidRPr="002B3154" w:rsidRDefault="002B3154" w:rsidP="00685E24">
      <w:pPr>
        <w:spacing w:line="240" w:lineRule="auto"/>
        <w:jc w:val="both"/>
        <w:rPr>
          <w:lang w:val="en-GB"/>
        </w:rPr>
      </w:pPr>
      <w:r w:rsidRPr="002B3154">
        <w:rPr>
          <w:lang w:val="en-GB"/>
        </w:rPr>
        <w:t xml:space="preserve">The purpose of the consultation is to gather views on the challenges faced by all persons with disabilities in the European Union and on the impact so far of the European Disability Strategy 2010-2020. </w:t>
      </w:r>
    </w:p>
    <w:p w14:paraId="77ACB1B1" w14:textId="77777777" w:rsidR="002B3154" w:rsidRPr="002B3154" w:rsidRDefault="002B3154" w:rsidP="00685E24">
      <w:pPr>
        <w:spacing w:line="240" w:lineRule="auto"/>
        <w:jc w:val="both"/>
        <w:rPr>
          <w:lang w:val="en-GB"/>
        </w:rPr>
      </w:pPr>
      <w:r w:rsidRPr="002B3154">
        <w:rPr>
          <w:lang w:val="en-GB"/>
        </w:rPr>
        <w:t xml:space="preserve">Opened for contribution to all citizens, organisations and public authorities, this consultation closes on </w:t>
      </w:r>
      <w:r w:rsidRPr="002B3154">
        <w:rPr>
          <w:b/>
          <w:lang w:val="en-GB"/>
        </w:rPr>
        <w:t>18 March 2016</w:t>
      </w:r>
      <w:r w:rsidRPr="002B3154">
        <w:rPr>
          <w:lang w:val="en-GB"/>
        </w:rPr>
        <w:t xml:space="preserve">. </w:t>
      </w:r>
      <w:r w:rsidRPr="002B3154">
        <w:rPr>
          <w:b/>
          <w:lang w:val="en-GB"/>
        </w:rPr>
        <w:t xml:space="preserve">The questionnaire is available </w:t>
      </w:r>
      <w:hyperlink r:id="rId17" w:history="1">
        <w:r w:rsidRPr="002B3154">
          <w:rPr>
            <w:b/>
            <w:color w:val="0563C1" w:themeColor="hyperlink"/>
            <w:u w:val="single"/>
            <w:lang w:val="en-GB"/>
          </w:rPr>
          <w:t>here</w:t>
        </w:r>
      </w:hyperlink>
      <w:r w:rsidRPr="002B3154">
        <w:rPr>
          <w:b/>
          <w:lang w:val="en-GB"/>
        </w:rPr>
        <w:t xml:space="preserve"> in the 24 EU languages.</w:t>
      </w:r>
      <w:r w:rsidRPr="002B3154">
        <w:rPr>
          <w:lang w:val="en-GB"/>
        </w:rPr>
        <w:t xml:space="preserve"> </w:t>
      </w:r>
    </w:p>
    <w:p w14:paraId="3729D2FB" w14:textId="77777777" w:rsidR="002B3154" w:rsidRPr="002B3154" w:rsidRDefault="002B3154" w:rsidP="00685E24">
      <w:pPr>
        <w:spacing w:line="240" w:lineRule="auto"/>
        <w:jc w:val="both"/>
        <w:rPr>
          <w:lang w:val="en-GB"/>
        </w:rPr>
      </w:pPr>
      <w:r w:rsidRPr="002B3154">
        <w:rPr>
          <w:lang w:val="en-GB"/>
        </w:rPr>
        <w:lastRenderedPageBreak/>
        <w:t xml:space="preserve">We strongly encourage you to contribute to the consultation in order to make sure that </w:t>
      </w:r>
      <w:r w:rsidRPr="002B3154">
        <w:rPr>
          <w:b/>
          <w:lang w:val="en-GB"/>
        </w:rPr>
        <w:t>equality bodies are taken into account</w:t>
      </w:r>
      <w:r w:rsidRPr="002B3154">
        <w:rPr>
          <w:lang w:val="en-GB"/>
        </w:rPr>
        <w:t xml:space="preserve"> in the mid-term review of the Strategy and any future actions which could be planned by the European Commission.</w:t>
      </w:r>
    </w:p>
    <w:p w14:paraId="5A8FAE70" w14:textId="5F77F3B3" w:rsidR="002B3154" w:rsidRPr="002B3154" w:rsidRDefault="002B3154" w:rsidP="00685E24">
      <w:pPr>
        <w:spacing w:line="240" w:lineRule="auto"/>
        <w:jc w:val="both"/>
        <w:rPr>
          <w:lang w:val="en-GB"/>
        </w:rPr>
      </w:pPr>
      <w:r w:rsidRPr="002B3154">
        <w:rPr>
          <w:b/>
          <w:lang w:val="en-GB"/>
        </w:rPr>
        <w:t>Please let us know if you are planning to send a contribution.</w:t>
      </w:r>
      <w:r w:rsidRPr="002B3154">
        <w:rPr>
          <w:lang w:val="en-GB"/>
        </w:rPr>
        <w:t xml:space="preserve"> We would be also very happy to receive your draft contribution or, if written in your national language, a summary of the key messages you conveyed to the European Commission. In any case, the Equinet Secretariat remains at your disposal in case you need</w:t>
      </w:r>
      <w:r>
        <w:rPr>
          <w:lang w:val="en-GB"/>
        </w:rPr>
        <w:t xml:space="preserve"> </w:t>
      </w:r>
      <w:r w:rsidRPr="002B3154">
        <w:rPr>
          <w:lang w:val="en-GB"/>
        </w:rPr>
        <w:t>assistance and more information. Please contact Jessica Machacova, Equinet Project Officer (</w:t>
      </w:r>
      <w:hyperlink r:id="rId18" w:history="1">
        <w:r w:rsidRPr="002B3154">
          <w:rPr>
            <w:color w:val="0563C1" w:themeColor="hyperlink"/>
            <w:u w:val="single"/>
            <w:lang w:val="en-GB"/>
          </w:rPr>
          <w:t>Jessica.machacova@equineteurope.org</w:t>
        </w:r>
      </w:hyperlink>
      <w:r w:rsidRPr="002B3154">
        <w:rPr>
          <w:lang w:val="en-GB"/>
        </w:rPr>
        <w:t xml:space="preserve"> / 0032 212 31 80).</w:t>
      </w:r>
    </w:p>
    <w:p w14:paraId="3826F7AE" w14:textId="100B8BB5" w:rsidR="00A73FA9" w:rsidRDefault="00EC465D" w:rsidP="00685E24">
      <w:pPr>
        <w:shd w:val="clear" w:color="auto" w:fill="D9D9D9" w:themeFill="background1" w:themeFillShade="D9"/>
        <w:spacing w:line="240" w:lineRule="auto"/>
        <w:rPr>
          <w:lang w:val="en-GB"/>
        </w:rPr>
      </w:pPr>
      <w:r>
        <w:rPr>
          <w:b/>
          <w:lang w:val="en-GB"/>
        </w:rPr>
        <w:t>FOR FURTHER INFORMATION</w:t>
      </w:r>
      <w:r>
        <w:rPr>
          <w:lang w:val="en-GB"/>
        </w:rPr>
        <w:br/>
      </w:r>
      <w:r w:rsidR="002869BD">
        <w:rPr>
          <w:lang w:val="en-GB"/>
        </w:rPr>
        <w:t xml:space="preserve">Read </w:t>
      </w:r>
      <w:r>
        <w:rPr>
          <w:lang w:val="en-GB"/>
        </w:rPr>
        <w:t xml:space="preserve">the </w:t>
      </w:r>
      <w:r w:rsidR="002869BD" w:rsidRPr="00600BC4">
        <w:rPr>
          <w:b/>
          <w:lang w:val="en-GB"/>
        </w:rPr>
        <w:t>Equinet Perspective</w:t>
      </w:r>
      <w:r w:rsidR="002869BD" w:rsidRPr="00600BC4">
        <w:rPr>
          <w:lang w:val="en-GB"/>
        </w:rPr>
        <w:t xml:space="preserve"> </w:t>
      </w:r>
      <w:hyperlink r:id="rId19" w:history="1">
        <w:r w:rsidR="002869BD" w:rsidRPr="00600BC4">
          <w:rPr>
            <w:rStyle w:val="Hyperlink"/>
            <w:lang w:val="en-GB"/>
          </w:rPr>
          <w:t>"Realising Rights: Equality Bodies and People with Disabilities. Supporting the review of the European Union Disability Strategy 2010-2020"</w:t>
        </w:r>
      </w:hyperlink>
      <w:r w:rsidR="002869BD">
        <w:rPr>
          <w:lang w:val="en-GB"/>
        </w:rPr>
        <w:t>.</w:t>
      </w:r>
    </w:p>
    <w:p w14:paraId="30A7318F" w14:textId="77777777" w:rsidR="002B3154" w:rsidRDefault="002B3154" w:rsidP="00685E24">
      <w:pPr>
        <w:pBdr>
          <w:bottom w:val="dotted" w:sz="36" w:space="1" w:color="auto"/>
        </w:pBdr>
        <w:spacing w:line="240" w:lineRule="auto"/>
        <w:rPr>
          <w:lang w:val="en-GB"/>
        </w:rPr>
      </w:pPr>
    </w:p>
    <w:p w14:paraId="4A2C27BF" w14:textId="77777777" w:rsidR="00685E24" w:rsidRPr="006075A4" w:rsidRDefault="00685E24" w:rsidP="00685E24">
      <w:pPr>
        <w:spacing w:line="240" w:lineRule="auto"/>
        <w:rPr>
          <w:lang w:val="en-GB"/>
        </w:rPr>
      </w:pPr>
    </w:p>
    <w:p w14:paraId="1FD19623" w14:textId="3CF251B4" w:rsidR="0034362B" w:rsidRDefault="00C842B1" w:rsidP="00685E24">
      <w:pPr>
        <w:pStyle w:val="Heading1"/>
        <w:pBdr>
          <w:top w:val="dotted" w:sz="4" w:space="1" w:color="auto"/>
          <w:bottom w:val="dotted" w:sz="4" w:space="1" w:color="auto"/>
        </w:pBdr>
        <w:spacing w:line="240" w:lineRule="auto"/>
        <w:rPr>
          <w:lang w:val="en-GB"/>
        </w:rPr>
      </w:pPr>
      <w:bookmarkStart w:id="8" w:name="_Ref421267521"/>
      <w:bookmarkStart w:id="9" w:name="_Toc418770747"/>
      <w:bookmarkStart w:id="10" w:name="_Ref418784309"/>
      <w:r w:rsidRPr="006075A4">
        <w:rPr>
          <w:lang w:val="en-GB"/>
        </w:rPr>
        <w:t>General information</w:t>
      </w:r>
      <w:bookmarkEnd w:id="8"/>
    </w:p>
    <w:p w14:paraId="37353DFC" w14:textId="77777777" w:rsidR="00EC465D" w:rsidRDefault="00EC465D" w:rsidP="00685E24">
      <w:pPr>
        <w:spacing w:line="240" w:lineRule="auto"/>
        <w:rPr>
          <w:lang w:val="en-GB"/>
        </w:rPr>
      </w:pPr>
    </w:p>
    <w:p w14:paraId="065808BA" w14:textId="5DCB4572" w:rsidR="00EC465D" w:rsidRDefault="00EC465D" w:rsidP="00685E24">
      <w:pPr>
        <w:pStyle w:val="Heading2"/>
        <w:spacing w:line="240" w:lineRule="auto"/>
        <w:rPr>
          <w:lang w:val="en-GB"/>
        </w:rPr>
      </w:pPr>
      <w:bookmarkStart w:id="11" w:name="_Ref442453616"/>
      <w:r>
        <w:rPr>
          <w:lang w:val="en-GB"/>
        </w:rPr>
        <w:t>Policy Developments</w:t>
      </w:r>
      <w:bookmarkEnd w:id="11"/>
    </w:p>
    <w:p w14:paraId="781B585C" w14:textId="300D070A" w:rsidR="00EC465D" w:rsidRDefault="00EC465D" w:rsidP="00685E24">
      <w:pPr>
        <w:spacing w:line="240" w:lineRule="auto"/>
        <w:rPr>
          <w:lang w:val="en-GB"/>
        </w:rPr>
      </w:pPr>
    </w:p>
    <w:p w14:paraId="7ED3DE2D" w14:textId="64717C64" w:rsidR="00EC465D" w:rsidRPr="00A00D92" w:rsidRDefault="00EC465D" w:rsidP="00685E24">
      <w:pPr>
        <w:spacing w:line="240" w:lineRule="auto"/>
        <w:rPr>
          <w:b/>
          <w:color w:val="002060"/>
          <w:sz w:val="24"/>
          <w:lang w:val="en-GB"/>
        </w:rPr>
      </w:pPr>
      <w:r w:rsidRPr="00A00D92">
        <w:rPr>
          <w:b/>
          <w:color w:val="002060"/>
          <w:sz w:val="24"/>
          <w:lang w:val="en-GB"/>
        </w:rPr>
        <w:t>International Holocaust Remembrance Day – European Commission’s statement</w:t>
      </w:r>
    </w:p>
    <w:p w14:paraId="6EF2674A" w14:textId="2C43F356" w:rsidR="00EC465D" w:rsidRDefault="00EC465D" w:rsidP="00685E24">
      <w:pPr>
        <w:spacing w:line="240" w:lineRule="auto"/>
        <w:jc w:val="both"/>
        <w:rPr>
          <w:lang w:val="en-GB"/>
        </w:rPr>
      </w:pPr>
      <w:r w:rsidRPr="00EC465D">
        <w:rPr>
          <w:lang w:val="en-GB"/>
        </w:rPr>
        <w:t>27</w:t>
      </w:r>
      <w:r w:rsidRPr="00EC465D">
        <w:rPr>
          <w:vertAlign w:val="superscript"/>
          <w:lang w:val="en-GB"/>
        </w:rPr>
        <w:t>th</w:t>
      </w:r>
      <w:r w:rsidRPr="00EC465D">
        <w:rPr>
          <w:lang w:val="en-GB"/>
        </w:rPr>
        <w:t xml:space="preserve"> January marks International Holocaust Remembrance Day. On that occasion, </w:t>
      </w:r>
      <w:r>
        <w:rPr>
          <w:lang w:val="en-GB"/>
        </w:rPr>
        <w:t xml:space="preserve">Jean-Claude Juncker, President of the European Commission, recalled </w:t>
      </w:r>
      <w:r w:rsidRPr="00EC465D">
        <w:rPr>
          <w:b/>
          <w:lang w:val="en-GB"/>
        </w:rPr>
        <w:t xml:space="preserve">that only 13 out of 28 Member States implemented the </w:t>
      </w:r>
      <w:hyperlink r:id="rId20" w:history="1">
        <w:r w:rsidRPr="00EC465D">
          <w:rPr>
            <w:rStyle w:val="Hyperlink"/>
            <w:b/>
            <w:lang w:val="en-GB"/>
          </w:rPr>
          <w:t>Council Framework Decision on combating racism and xenophobia by means of criminal justice</w:t>
        </w:r>
      </w:hyperlink>
      <w:r>
        <w:rPr>
          <w:lang w:val="en-GB"/>
        </w:rPr>
        <w:t>.</w:t>
      </w:r>
    </w:p>
    <w:p w14:paraId="45975DF3" w14:textId="1558E980" w:rsidR="00C32872" w:rsidRDefault="00C32872" w:rsidP="00685E24">
      <w:pPr>
        <w:shd w:val="clear" w:color="auto" w:fill="D9D9D9" w:themeFill="background1" w:themeFillShade="D9"/>
        <w:spacing w:line="240" w:lineRule="auto"/>
        <w:rPr>
          <w:b/>
          <w:lang w:val="en-GB"/>
        </w:rPr>
      </w:pPr>
      <w:r>
        <w:rPr>
          <w:b/>
          <w:lang w:val="en-GB"/>
        </w:rPr>
        <w:t>FOR FURTHER INFORMATION</w:t>
      </w:r>
      <w:r>
        <w:rPr>
          <w:b/>
          <w:lang w:val="en-GB"/>
        </w:rPr>
        <w:br/>
      </w:r>
      <w:r w:rsidR="00EC465D" w:rsidRPr="00EC465D">
        <w:rPr>
          <w:b/>
          <w:lang w:val="en-GB"/>
        </w:rPr>
        <w:t xml:space="preserve">Read the statement here: </w:t>
      </w:r>
      <w:hyperlink r:id="rId21" w:history="1">
        <w:r w:rsidR="00EC465D" w:rsidRPr="00EC465D">
          <w:rPr>
            <w:rStyle w:val="Hyperlink"/>
            <w:lang w:val="en-GB"/>
          </w:rPr>
          <w:t>http://ec.europa.eu/justice/newsroom/fundamental-rights/news/160127_en.htm</w:t>
        </w:r>
      </w:hyperlink>
      <w:r w:rsidR="00EC465D" w:rsidRPr="00EC465D">
        <w:rPr>
          <w:b/>
          <w:lang w:val="en-GB"/>
        </w:rPr>
        <w:t xml:space="preserve"> </w:t>
      </w:r>
    </w:p>
    <w:p w14:paraId="775F8B65" w14:textId="77777777" w:rsidR="005559D8" w:rsidRDefault="005559D8" w:rsidP="005559D8">
      <w:pPr>
        <w:rPr>
          <w:lang w:val="en-GB"/>
        </w:rPr>
      </w:pPr>
    </w:p>
    <w:p w14:paraId="5BB06224" w14:textId="4CB62313" w:rsidR="005559D8" w:rsidRPr="00A00D92" w:rsidRDefault="005559D8" w:rsidP="005559D8">
      <w:pPr>
        <w:rPr>
          <w:b/>
          <w:color w:val="1F3864" w:themeColor="accent5" w:themeShade="80"/>
          <w:sz w:val="24"/>
          <w:lang w:val="en-GB"/>
        </w:rPr>
      </w:pPr>
      <w:r w:rsidRPr="00A00D92">
        <w:rPr>
          <w:b/>
          <w:color w:val="1F3864" w:themeColor="accent5" w:themeShade="80"/>
          <w:sz w:val="24"/>
          <w:lang w:val="en-GB"/>
        </w:rPr>
        <w:t>Reminder</w:t>
      </w:r>
      <w:r w:rsidR="00A00D92" w:rsidRPr="00A00D92">
        <w:rPr>
          <w:b/>
          <w:color w:val="1F3864" w:themeColor="accent5" w:themeShade="80"/>
          <w:sz w:val="24"/>
          <w:lang w:val="en-GB"/>
        </w:rPr>
        <w:t xml:space="preserve">: EU Fundamental Rights Agency (FRA) - </w:t>
      </w:r>
      <w:r w:rsidR="00A00D92" w:rsidRPr="00A00D92">
        <w:rPr>
          <w:b/>
          <w:color w:val="1F3864" w:themeColor="accent5" w:themeShade="80"/>
          <w:sz w:val="24"/>
          <w:lang w:val="en-GB"/>
        </w:rPr>
        <w:t>Good practices of reporting and recording hate crimes</w:t>
      </w:r>
    </w:p>
    <w:p w14:paraId="13AFE80B" w14:textId="18B1DF5D" w:rsidR="005559D8" w:rsidRDefault="005559D8" w:rsidP="00A00D92">
      <w:pPr>
        <w:jc w:val="both"/>
        <w:rPr>
          <w:lang w:val="en-GB"/>
        </w:rPr>
      </w:pPr>
      <w:r w:rsidRPr="005559D8">
        <w:rPr>
          <w:lang w:val="en-GB"/>
        </w:rPr>
        <w:t xml:space="preserve">Good practices of reporting and recording hate crimes will be gathered in a compendium and presented to the Working Party on Improving Reporting and Recording of Hate Crime in the EU on 28-29 April in Amsterdam.  Please send your examples by </w:t>
      </w:r>
      <w:r w:rsidRPr="00A00D92">
        <w:rPr>
          <w:b/>
          <w:lang w:val="en-GB"/>
        </w:rPr>
        <w:t>16 February 20</w:t>
      </w:r>
      <w:r w:rsidRPr="00A00D92">
        <w:rPr>
          <w:b/>
          <w:lang w:val="en-GB"/>
        </w:rPr>
        <w:t>16</w:t>
      </w:r>
      <w:r>
        <w:rPr>
          <w:lang w:val="en-GB"/>
        </w:rPr>
        <w:t xml:space="preserve"> to: </w:t>
      </w:r>
      <w:hyperlink r:id="rId22" w:history="1">
        <w:r w:rsidRPr="0076147B">
          <w:rPr>
            <w:rStyle w:val="Hyperlink"/>
            <w:lang w:val="en-GB"/>
          </w:rPr>
          <w:t>hatecrime@fra.europa.eu</w:t>
        </w:r>
      </w:hyperlink>
    </w:p>
    <w:p w14:paraId="2209BC28" w14:textId="248F8EBD" w:rsidR="005559D8" w:rsidRDefault="005559D8" w:rsidP="00A00D92">
      <w:pPr>
        <w:pStyle w:val="ListParagraph"/>
        <w:numPr>
          <w:ilvl w:val="0"/>
          <w:numId w:val="41"/>
        </w:numPr>
        <w:jc w:val="both"/>
        <w:rPr>
          <w:lang w:val="en-GB"/>
        </w:rPr>
      </w:pPr>
      <w:r w:rsidRPr="005559D8">
        <w:rPr>
          <w:lang w:val="en-GB"/>
        </w:rPr>
        <w:t xml:space="preserve">Reporting online template: </w:t>
      </w:r>
      <w:hyperlink r:id="rId23" w:history="1">
        <w:r w:rsidRPr="0076147B">
          <w:rPr>
            <w:rStyle w:val="Hyperlink"/>
            <w:lang w:val="en-GB"/>
          </w:rPr>
          <w:t>http://fra.europa.eu/surveys/index.php/738118/lang-en</w:t>
        </w:r>
      </w:hyperlink>
      <w:r>
        <w:rPr>
          <w:lang w:val="en-GB"/>
        </w:rPr>
        <w:t xml:space="preserve"> </w:t>
      </w:r>
      <w:r w:rsidRPr="005559D8">
        <w:rPr>
          <w:lang w:val="en-GB"/>
        </w:rPr>
        <w:t xml:space="preserve"> </w:t>
      </w:r>
      <w:r>
        <w:rPr>
          <w:lang w:val="en-GB"/>
        </w:rPr>
        <w:t xml:space="preserve"> </w:t>
      </w:r>
    </w:p>
    <w:p w14:paraId="19F9E13C" w14:textId="7D70B6D3" w:rsidR="005559D8" w:rsidRDefault="005559D8" w:rsidP="00A00D92">
      <w:pPr>
        <w:pStyle w:val="ListParagraph"/>
        <w:numPr>
          <w:ilvl w:val="0"/>
          <w:numId w:val="41"/>
        </w:numPr>
        <w:jc w:val="both"/>
        <w:rPr>
          <w:lang w:val="en-GB"/>
        </w:rPr>
      </w:pPr>
      <w:r w:rsidRPr="005559D8">
        <w:rPr>
          <w:lang w:val="en-GB"/>
        </w:rPr>
        <w:t xml:space="preserve">Recording online template: </w:t>
      </w:r>
      <w:hyperlink r:id="rId24" w:history="1">
        <w:r w:rsidRPr="0076147B">
          <w:rPr>
            <w:rStyle w:val="Hyperlink"/>
            <w:lang w:val="en-GB"/>
          </w:rPr>
          <w:t>http://fra.europa.eu/surveys/index.php/816988/lang-en</w:t>
        </w:r>
      </w:hyperlink>
      <w:r>
        <w:rPr>
          <w:lang w:val="en-GB"/>
        </w:rPr>
        <w:t xml:space="preserve"> </w:t>
      </w:r>
    </w:p>
    <w:p w14:paraId="6822A972" w14:textId="77777777" w:rsidR="005559D8" w:rsidRPr="005559D8" w:rsidRDefault="005559D8" w:rsidP="005559D8">
      <w:pPr>
        <w:pStyle w:val="ListParagraph"/>
        <w:ind w:left="1065"/>
        <w:rPr>
          <w:lang w:val="en-GB"/>
        </w:rPr>
      </w:pPr>
    </w:p>
    <w:p w14:paraId="30C2D5C0" w14:textId="43538D46" w:rsidR="00C32872" w:rsidRDefault="00C32872" w:rsidP="00685E24">
      <w:pPr>
        <w:pStyle w:val="Heading2"/>
        <w:spacing w:line="240" w:lineRule="auto"/>
        <w:rPr>
          <w:lang w:val="en-GB"/>
        </w:rPr>
      </w:pPr>
      <w:bookmarkStart w:id="12" w:name="_Ref442453617"/>
      <w:r w:rsidRPr="003C47D8">
        <w:rPr>
          <w:lang w:val="en-GB"/>
        </w:rPr>
        <w:t>Publications, funding opportunities and events</w:t>
      </w:r>
      <w:bookmarkEnd w:id="12"/>
    </w:p>
    <w:p w14:paraId="6463E9AE" w14:textId="77777777" w:rsidR="00C32872" w:rsidRDefault="00C32872" w:rsidP="00685E24">
      <w:pPr>
        <w:spacing w:line="240" w:lineRule="auto"/>
        <w:rPr>
          <w:b/>
          <w:lang w:val="en-GB"/>
        </w:rPr>
      </w:pPr>
    </w:p>
    <w:p w14:paraId="5AFC1FB2" w14:textId="3A8966B0" w:rsidR="00C32872" w:rsidRDefault="00C07FAC" w:rsidP="00A00D92">
      <w:pPr>
        <w:spacing w:line="240" w:lineRule="auto"/>
        <w:jc w:val="both"/>
        <w:rPr>
          <w:lang w:val="en-GB"/>
        </w:rPr>
      </w:pPr>
      <w:r w:rsidRPr="00C07FAC">
        <w:rPr>
          <w:b/>
          <w:color w:val="FFFFFF" w:themeColor="background1"/>
          <w:shd w:val="clear" w:color="auto" w:fill="7030A0"/>
          <w:lang w:val="en-GB"/>
        </w:rPr>
        <w:t>PUBLICATION</w:t>
      </w:r>
      <w:r w:rsidR="00C32872">
        <w:rPr>
          <w:b/>
          <w:lang w:val="en-GB"/>
        </w:rPr>
        <w:t xml:space="preserve"> - European Commission - </w:t>
      </w:r>
      <w:hyperlink r:id="rId25" w:history="1">
        <w:r w:rsidR="00C32872" w:rsidRPr="00E031D4">
          <w:rPr>
            <w:rStyle w:val="Hyperlink"/>
            <w:lang w:val="en-GB"/>
          </w:rPr>
          <w:t>Employment and social developments in 2015</w:t>
        </w:r>
      </w:hyperlink>
      <w:r w:rsidR="00A00D92">
        <w:rPr>
          <w:rStyle w:val="Hyperlink"/>
          <w:lang w:val="en-GB"/>
        </w:rPr>
        <w:tab/>
      </w:r>
      <w:r w:rsidR="00A00D92">
        <w:rPr>
          <w:lang w:val="en-GB"/>
        </w:rPr>
        <w:br/>
      </w:r>
      <w:r w:rsidR="00E031D4">
        <w:rPr>
          <w:lang w:val="en-GB"/>
        </w:rPr>
        <w:t xml:space="preserve">The report shows that the Europe 2020 objectives are far from being achieved. Indeed, </w:t>
      </w:r>
      <w:r w:rsidR="00E031D4" w:rsidRPr="00E031D4">
        <w:rPr>
          <w:lang w:val="en-GB"/>
        </w:rPr>
        <w:t>in 2014, a quarter of the EU population – about 122 million people – were at risk of poverty or social exclusion</w:t>
      </w:r>
      <w:r w:rsidR="00E031D4">
        <w:rPr>
          <w:lang w:val="en-GB"/>
        </w:rPr>
        <w:t xml:space="preserve">. </w:t>
      </w:r>
    </w:p>
    <w:p w14:paraId="0A3A3F3B" w14:textId="55E347C6" w:rsidR="00542158" w:rsidRDefault="00C842B1" w:rsidP="00685E24">
      <w:pPr>
        <w:pStyle w:val="Heading1"/>
        <w:pBdr>
          <w:top w:val="dotted" w:sz="4" w:space="1" w:color="auto"/>
          <w:bottom w:val="dotted" w:sz="4" w:space="1" w:color="auto"/>
        </w:pBdr>
        <w:spacing w:line="240" w:lineRule="auto"/>
        <w:rPr>
          <w:lang w:val="en-GB"/>
        </w:rPr>
      </w:pPr>
      <w:bookmarkStart w:id="13" w:name="_Ref421267526"/>
      <w:r w:rsidRPr="006075A4">
        <w:rPr>
          <w:lang w:val="en-GB"/>
        </w:rPr>
        <w:t>Gender Equality</w:t>
      </w:r>
      <w:bookmarkEnd w:id="13"/>
    </w:p>
    <w:p w14:paraId="4BA529BE" w14:textId="77777777" w:rsidR="00A359B5" w:rsidRDefault="00A359B5" w:rsidP="00685E24">
      <w:pPr>
        <w:spacing w:line="240" w:lineRule="auto"/>
        <w:rPr>
          <w:lang w:val="en-GB"/>
        </w:rPr>
      </w:pPr>
    </w:p>
    <w:p w14:paraId="1AE03963" w14:textId="699A1B6C" w:rsidR="002B3154" w:rsidRDefault="002B3154" w:rsidP="00685E24">
      <w:pPr>
        <w:pStyle w:val="Heading2"/>
        <w:spacing w:line="240" w:lineRule="auto"/>
        <w:rPr>
          <w:lang w:val="en-GB"/>
        </w:rPr>
      </w:pPr>
      <w:bookmarkStart w:id="14" w:name="_Ref442453619"/>
      <w:r>
        <w:rPr>
          <w:lang w:val="en-GB"/>
        </w:rPr>
        <w:t>Policy Developments</w:t>
      </w:r>
      <w:bookmarkEnd w:id="14"/>
    </w:p>
    <w:p w14:paraId="7AA29B77" w14:textId="77777777" w:rsidR="002B3154" w:rsidRDefault="002B3154" w:rsidP="00685E24">
      <w:pPr>
        <w:spacing w:line="240" w:lineRule="auto"/>
        <w:rPr>
          <w:lang w:val="en-GB"/>
        </w:rPr>
      </w:pPr>
    </w:p>
    <w:p w14:paraId="4B330CC1" w14:textId="20D1C990" w:rsidR="002B3154" w:rsidRPr="002B3154" w:rsidRDefault="002B3154" w:rsidP="00685E24">
      <w:pPr>
        <w:spacing w:line="240" w:lineRule="auto"/>
        <w:jc w:val="both"/>
        <w:rPr>
          <w:b/>
          <w:color w:val="002060"/>
          <w:sz w:val="24"/>
          <w:lang w:val="en-GB"/>
        </w:rPr>
      </w:pPr>
      <w:r w:rsidRPr="002B3154">
        <w:rPr>
          <w:b/>
          <w:color w:val="002060"/>
          <w:sz w:val="24"/>
          <w:lang w:val="en-GB"/>
        </w:rPr>
        <w:t>EUROPEAN COMMISSION - Last days to contribute to the public consultation on Work Life Balance (Deadline: 17</w:t>
      </w:r>
      <w:r w:rsidRPr="002B3154">
        <w:rPr>
          <w:b/>
          <w:color w:val="002060"/>
          <w:sz w:val="24"/>
          <w:vertAlign w:val="superscript"/>
          <w:lang w:val="en-GB"/>
        </w:rPr>
        <w:t>th</w:t>
      </w:r>
      <w:r w:rsidRPr="002B3154">
        <w:rPr>
          <w:b/>
          <w:color w:val="002060"/>
          <w:sz w:val="24"/>
          <w:lang w:val="en-GB"/>
        </w:rPr>
        <w:t xml:space="preserve"> February 2016)</w:t>
      </w:r>
    </w:p>
    <w:p w14:paraId="5A2F5D42" w14:textId="2B2E593A" w:rsidR="002B3154" w:rsidRDefault="00A00D92" w:rsidP="00685E24">
      <w:pPr>
        <w:spacing w:line="240" w:lineRule="auto"/>
        <w:jc w:val="both"/>
        <w:rPr>
          <w:lang w:val="en-GB"/>
        </w:rPr>
      </w:pPr>
      <w:r>
        <w:rPr>
          <w:noProof/>
          <w:lang w:eastAsia="fr-BE"/>
        </w:rPr>
        <w:drawing>
          <wp:anchor distT="0" distB="0" distL="114300" distR="114300" simplePos="0" relativeHeight="251676672" behindDoc="0" locked="0" layoutInCell="1" allowOverlap="1" wp14:anchorId="47168054" wp14:editId="164A9EC6">
            <wp:simplePos x="0" y="0"/>
            <wp:positionH relativeFrom="margin">
              <wp:posOffset>4036060</wp:posOffset>
            </wp:positionH>
            <wp:positionV relativeFrom="margin">
              <wp:posOffset>1533525</wp:posOffset>
            </wp:positionV>
            <wp:extent cx="2139950" cy="1207135"/>
            <wp:effectExtent l="19050" t="19050" r="12700" b="120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0" cy="1207135"/>
                    </a:xfrm>
                    <a:prstGeom prst="rect">
                      <a:avLst/>
                    </a:prstGeom>
                    <a:noFill/>
                    <a:ln>
                      <a:solidFill>
                        <a:schemeClr val="tx1"/>
                      </a:solidFill>
                    </a:ln>
                  </pic:spPr>
                </pic:pic>
              </a:graphicData>
            </a:graphic>
          </wp:anchor>
        </w:drawing>
      </w:r>
      <w:r w:rsidR="002B3154">
        <w:rPr>
          <w:lang w:val="en-GB"/>
        </w:rPr>
        <w:t xml:space="preserve">In November 2015, the European Commission launched </w:t>
      </w:r>
      <w:r w:rsidR="002B3154" w:rsidRPr="001E3E3E">
        <w:rPr>
          <w:b/>
          <w:lang w:val="en-GB"/>
        </w:rPr>
        <w:t xml:space="preserve">a </w:t>
      </w:r>
      <w:hyperlink r:id="rId27" w:history="1">
        <w:r w:rsidR="002B3154" w:rsidRPr="00F171FE">
          <w:rPr>
            <w:rStyle w:val="Hyperlink"/>
            <w:b/>
            <w:lang w:val="en-GB"/>
          </w:rPr>
          <w:t>public consultation on possible action addressing the challenges of work-life balance faced by working parents and caregivers</w:t>
        </w:r>
      </w:hyperlink>
      <w:r w:rsidR="002B3154">
        <w:rPr>
          <w:lang w:val="en-GB"/>
        </w:rPr>
        <w:t xml:space="preserve">. The consultation is available </w:t>
      </w:r>
      <w:r w:rsidR="002B3154">
        <w:rPr>
          <w:lang w:val="en-GB"/>
        </w:rPr>
        <w:lastRenderedPageBreak/>
        <w:t xml:space="preserve">in the 23 European languages. Contributions from all citizens, public authorities and organisations are welcome until </w:t>
      </w:r>
      <w:r w:rsidR="002B3154" w:rsidRPr="001E3E3E">
        <w:rPr>
          <w:b/>
          <w:lang w:val="en-GB"/>
        </w:rPr>
        <w:t>17 February 2015</w:t>
      </w:r>
      <w:r w:rsidR="002B3154">
        <w:rPr>
          <w:lang w:val="en-GB"/>
        </w:rPr>
        <w:t>.</w:t>
      </w:r>
    </w:p>
    <w:p w14:paraId="66198B02" w14:textId="52225B5C" w:rsidR="002B3154" w:rsidRDefault="002B3154" w:rsidP="00685E24">
      <w:pPr>
        <w:spacing w:line="240" w:lineRule="auto"/>
        <w:jc w:val="both"/>
        <w:rPr>
          <w:lang w:val="en-GB"/>
        </w:rPr>
      </w:pPr>
      <w:r w:rsidRPr="001E3E3E">
        <w:rPr>
          <w:lang w:val="en-GB"/>
        </w:rPr>
        <w:t xml:space="preserve">The consultation is linked to the </w:t>
      </w:r>
      <w:hyperlink r:id="rId28" w:history="1">
        <w:r w:rsidRPr="001E3E3E">
          <w:rPr>
            <w:rStyle w:val="Hyperlink"/>
            <w:lang w:val="en-GB"/>
          </w:rPr>
          <w:t>European Commission Roadmap on Work Life Balance</w:t>
        </w:r>
      </w:hyperlink>
      <w:r>
        <w:rPr>
          <w:lang w:val="en-GB"/>
        </w:rPr>
        <w:t xml:space="preserve">, which has been issued following the withdrawn of the proposal of EU Maternity Leave Directive in February 2015 (more information is available on Equinet’s website). </w:t>
      </w:r>
    </w:p>
    <w:p w14:paraId="7CF6CA5A" w14:textId="77777777" w:rsidR="002B3154" w:rsidRDefault="002B3154" w:rsidP="00685E24">
      <w:pPr>
        <w:spacing w:line="240" w:lineRule="auto"/>
        <w:jc w:val="both"/>
        <w:rPr>
          <w:lang w:val="en-GB"/>
        </w:rPr>
      </w:pPr>
      <w:r w:rsidRPr="001E3E3E">
        <w:rPr>
          <w:lang w:val="en-GB"/>
        </w:rPr>
        <w:t xml:space="preserve">We strongly encourage you to contribute to the consultation in order to make sure that </w:t>
      </w:r>
      <w:r w:rsidRPr="001E3E3E">
        <w:rPr>
          <w:b/>
          <w:lang w:val="en-GB"/>
        </w:rPr>
        <w:t>equality bodies are taken into account</w:t>
      </w:r>
      <w:r w:rsidRPr="001E3E3E">
        <w:rPr>
          <w:lang w:val="en-GB"/>
        </w:rPr>
        <w:t xml:space="preserve"> in any future actions which could be planned by the European Commission.</w:t>
      </w:r>
    </w:p>
    <w:p w14:paraId="22BDDDDA" w14:textId="27F00BB6" w:rsidR="002B3154" w:rsidRDefault="002B3154" w:rsidP="00685E24">
      <w:pPr>
        <w:spacing w:line="240" w:lineRule="auto"/>
        <w:jc w:val="both"/>
        <w:rPr>
          <w:lang w:val="en-GB"/>
        </w:rPr>
      </w:pPr>
      <w:r w:rsidRPr="00CF0EF7">
        <w:rPr>
          <w:b/>
          <w:lang w:val="en-GB"/>
        </w:rPr>
        <w:t>Please let us know if you are planning to send a contribution.</w:t>
      </w:r>
      <w:r w:rsidRPr="00CF0EF7">
        <w:rPr>
          <w:lang w:val="en-GB"/>
        </w:rPr>
        <w:t xml:space="preserve"> We would be also very happy to receive your draft contribution or, if written in your national language, a summary of the key messages you conveyed to the European Commission. In any case, the Equinet Secretariat remains at your disposal in case you need </w:t>
      </w:r>
      <w:r>
        <w:rPr>
          <w:lang w:val="en-GB"/>
        </w:rPr>
        <w:t>assistance and more information. Please contact Jessica Machacova, Equinet Project Officer (</w:t>
      </w:r>
      <w:hyperlink r:id="rId29" w:history="1">
        <w:r w:rsidRPr="00293610">
          <w:rPr>
            <w:rStyle w:val="Hyperlink"/>
            <w:lang w:val="en-GB"/>
          </w:rPr>
          <w:t>Jessica.machacova@equineteurope.org</w:t>
        </w:r>
      </w:hyperlink>
      <w:r>
        <w:rPr>
          <w:lang w:val="en-GB"/>
        </w:rPr>
        <w:t xml:space="preserve"> / 0032 212 31 80). </w:t>
      </w:r>
    </w:p>
    <w:p w14:paraId="68F4B11C" w14:textId="5235D452" w:rsidR="002B3154" w:rsidRDefault="002B3154" w:rsidP="00685E24">
      <w:pPr>
        <w:shd w:val="clear" w:color="auto" w:fill="D9D9D9" w:themeFill="background1" w:themeFillShade="D9"/>
        <w:spacing w:line="240" w:lineRule="auto"/>
        <w:jc w:val="both"/>
        <w:rPr>
          <w:rStyle w:val="Hyperlink"/>
          <w:lang w:val="en-GB"/>
        </w:rPr>
      </w:pPr>
      <w:r w:rsidRPr="002B3154">
        <w:rPr>
          <w:b/>
          <w:lang w:val="en-GB"/>
        </w:rPr>
        <w:t xml:space="preserve">FOR FURTHER INFORMATION </w:t>
      </w:r>
      <w:r w:rsidRPr="002B3154">
        <w:rPr>
          <w:b/>
          <w:lang w:val="en-GB"/>
        </w:rPr>
        <w:tab/>
      </w:r>
      <w:r>
        <w:rPr>
          <w:lang w:val="en-GB"/>
        </w:rPr>
        <w:br/>
        <w:t xml:space="preserve">Read </w:t>
      </w:r>
      <w:r w:rsidR="0023326D">
        <w:rPr>
          <w:lang w:val="en-GB"/>
        </w:rPr>
        <w:t xml:space="preserve">the </w:t>
      </w:r>
      <w:r w:rsidRPr="00CF0EF7">
        <w:rPr>
          <w:b/>
          <w:lang w:val="en-GB"/>
        </w:rPr>
        <w:t>Equinet</w:t>
      </w:r>
      <w:r>
        <w:rPr>
          <w:lang w:val="en-GB"/>
        </w:rPr>
        <w:t xml:space="preserve"> </w:t>
      </w:r>
      <w:r w:rsidRPr="00CF0EF7">
        <w:rPr>
          <w:b/>
          <w:lang w:val="en-GB"/>
        </w:rPr>
        <w:t>Perspective</w:t>
      </w:r>
      <w:r>
        <w:rPr>
          <w:lang w:val="en-GB"/>
        </w:rPr>
        <w:t xml:space="preserve"> </w:t>
      </w:r>
      <w:hyperlink r:id="rId30" w:history="1">
        <w:r w:rsidRPr="00CF0EF7">
          <w:rPr>
            <w:rStyle w:val="Hyperlink"/>
            <w:lang w:val="en-GB"/>
          </w:rPr>
          <w:t>“Equality bodies promoting a better work life balance for all”</w:t>
        </w:r>
      </w:hyperlink>
    </w:p>
    <w:p w14:paraId="7550585F" w14:textId="77777777" w:rsidR="002B3154" w:rsidRDefault="002B3154" w:rsidP="00685E24">
      <w:pPr>
        <w:spacing w:line="240" w:lineRule="auto"/>
        <w:jc w:val="both"/>
        <w:rPr>
          <w:b/>
          <w:lang w:val="en-GB"/>
        </w:rPr>
      </w:pPr>
    </w:p>
    <w:p w14:paraId="7F66149A" w14:textId="2442E235" w:rsidR="002B3154" w:rsidRPr="002B3154" w:rsidRDefault="002B3154" w:rsidP="00685E24">
      <w:pPr>
        <w:spacing w:line="240" w:lineRule="auto"/>
        <w:jc w:val="both"/>
        <w:rPr>
          <w:b/>
          <w:color w:val="002060"/>
          <w:sz w:val="24"/>
          <w:lang w:val="en-GB"/>
        </w:rPr>
      </w:pPr>
      <w:r w:rsidRPr="002B3154">
        <w:rPr>
          <w:b/>
          <w:color w:val="002060"/>
          <w:sz w:val="24"/>
          <w:lang w:val="en-GB"/>
        </w:rPr>
        <w:t>EUROPEAN PARLIAMENT - Members of the European Parliament call on the European Commission to table a new gender equality strategy</w:t>
      </w:r>
    </w:p>
    <w:p w14:paraId="6E31669C" w14:textId="01DD74D3" w:rsidR="002B3154" w:rsidRPr="002B3154" w:rsidRDefault="002B3154" w:rsidP="00685E24">
      <w:pPr>
        <w:spacing w:line="240" w:lineRule="auto"/>
        <w:jc w:val="both"/>
        <w:rPr>
          <w:lang w:val="en-GB"/>
        </w:rPr>
      </w:pPr>
      <w:r w:rsidRPr="002B3154">
        <w:rPr>
          <w:lang w:val="en-GB"/>
        </w:rPr>
        <w:t>On Wednesday 3</w:t>
      </w:r>
      <w:r w:rsidRPr="002B3154">
        <w:rPr>
          <w:vertAlign w:val="superscript"/>
          <w:lang w:val="en-GB"/>
        </w:rPr>
        <w:t>rd</w:t>
      </w:r>
      <w:r w:rsidRPr="002B3154">
        <w:rPr>
          <w:lang w:val="en-GB"/>
        </w:rPr>
        <w:t xml:space="preserve"> February 2016, the European Parliament adopted </w:t>
      </w:r>
      <w:hyperlink r:id="rId31" w:history="1">
        <w:r w:rsidRPr="0023326D">
          <w:rPr>
            <w:rStyle w:val="Hyperlink"/>
            <w:lang w:val="en-GB"/>
          </w:rPr>
          <w:t>a resolution calling on the European Commission to adopt a new gender equality strategy</w:t>
        </w:r>
      </w:hyperlink>
      <w:r w:rsidRPr="002B3154">
        <w:rPr>
          <w:lang w:val="en-GB"/>
        </w:rPr>
        <w:t xml:space="preserve">. </w:t>
      </w:r>
    </w:p>
    <w:p w14:paraId="209C8023" w14:textId="5CE01F40" w:rsidR="002B3154" w:rsidRDefault="002B3154" w:rsidP="00685E24">
      <w:pPr>
        <w:spacing w:line="240" w:lineRule="auto"/>
        <w:jc w:val="both"/>
        <w:rPr>
          <w:lang w:val="en-GB"/>
        </w:rPr>
      </w:pPr>
      <w:r w:rsidRPr="002B3154">
        <w:rPr>
          <w:lang w:val="en-GB"/>
        </w:rPr>
        <w:t xml:space="preserve">According to </w:t>
      </w:r>
      <w:r w:rsidR="0023326D">
        <w:rPr>
          <w:lang w:val="en-GB"/>
        </w:rPr>
        <w:t>Iraxte Garcia Perez (S&amp;D, Spain), Chair of the FEMM Committee, “</w:t>
      </w:r>
      <w:hyperlink r:id="rId32" w:history="1">
        <w:r w:rsidR="0023326D" w:rsidRPr="0023326D">
          <w:rPr>
            <w:rStyle w:val="Hyperlink"/>
            <w:lang w:val="en-GB"/>
          </w:rPr>
          <w:t>A working document</w:t>
        </w:r>
      </w:hyperlink>
      <w:r w:rsidR="0023326D" w:rsidRPr="0023326D">
        <w:rPr>
          <w:lang w:val="en-GB"/>
        </w:rPr>
        <w:t>, which does not need to be approved by the College of Commissioners, does not deliver on the political commitments. It provides neither a dedicated budget nor concrete benchmarks and so it is not possible to evaluate the progress achieved on the objectives”</w:t>
      </w:r>
    </w:p>
    <w:p w14:paraId="26BF3351" w14:textId="2048F061" w:rsidR="002B3154" w:rsidRDefault="0023326D" w:rsidP="00685E24">
      <w:pPr>
        <w:spacing w:line="240" w:lineRule="auto"/>
        <w:jc w:val="both"/>
        <w:rPr>
          <w:lang w:val="en-GB"/>
        </w:rPr>
      </w:pPr>
      <w:r w:rsidRPr="0023326D">
        <w:rPr>
          <w:b/>
          <w:lang w:val="en-GB"/>
        </w:rPr>
        <w:t>Background information:</w:t>
      </w:r>
      <w:r>
        <w:rPr>
          <w:lang w:val="en-GB"/>
        </w:rPr>
        <w:t xml:space="preserve"> In December 2015, the European Commission adopted a </w:t>
      </w:r>
      <w:hyperlink r:id="rId33" w:history="1">
        <w:r w:rsidRPr="0023326D">
          <w:rPr>
            <w:rStyle w:val="Hyperlink"/>
            <w:lang w:val="en-GB"/>
          </w:rPr>
          <w:t>“strategic engagement for gender equality 2016-2019”</w:t>
        </w:r>
      </w:hyperlink>
      <w:r>
        <w:rPr>
          <w:lang w:val="en-GB"/>
        </w:rPr>
        <w:t xml:space="preserve"> as a follow up to the</w:t>
      </w:r>
      <w:r w:rsidR="005559D8" w:rsidRPr="005559D8">
        <w:rPr>
          <w:lang w:val="en-US"/>
        </w:rPr>
        <w:t xml:space="preserve"> </w:t>
      </w:r>
      <w:hyperlink r:id="rId34" w:history="1">
        <w:r w:rsidR="005559D8" w:rsidRPr="005559D8">
          <w:rPr>
            <w:rStyle w:val="Hyperlink"/>
            <w:lang w:val="en-US"/>
          </w:rPr>
          <w:t>EU Gender Equality Strategy 2010-2015</w:t>
        </w:r>
      </w:hyperlink>
      <w:r>
        <w:rPr>
          <w:lang w:val="en-GB"/>
        </w:rPr>
        <w:t xml:space="preserve">. Whereas the EU Strategy 2010-2015 was a communication of the European Commission, the new document </w:t>
      </w:r>
      <w:r w:rsidR="005559D8">
        <w:rPr>
          <w:lang w:val="en-GB"/>
        </w:rPr>
        <w:t xml:space="preserve">remains at the level of a staff working document. </w:t>
      </w:r>
      <w:r>
        <w:rPr>
          <w:lang w:val="en-GB"/>
        </w:rPr>
        <w:t xml:space="preserve"> </w:t>
      </w:r>
    </w:p>
    <w:p w14:paraId="5995B7F8" w14:textId="41D01BEF" w:rsidR="0023326D" w:rsidRDefault="0023326D" w:rsidP="00685E24">
      <w:pPr>
        <w:shd w:val="clear" w:color="auto" w:fill="D9D9D9" w:themeFill="background1" w:themeFillShade="D9"/>
        <w:spacing w:line="240" w:lineRule="auto"/>
        <w:jc w:val="both"/>
        <w:rPr>
          <w:lang w:val="en-GB"/>
        </w:rPr>
      </w:pPr>
      <w:r w:rsidRPr="0023326D">
        <w:rPr>
          <w:b/>
          <w:lang w:val="en-GB"/>
        </w:rPr>
        <w:t>FOR FURTHER INFORMATION</w:t>
      </w:r>
      <w:r w:rsidRPr="0023326D">
        <w:rPr>
          <w:b/>
          <w:lang w:val="en-GB"/>
        </w:rPr>
        <w:tab/>
      </w:r>
      <w:r>
        <w:rPr>
          <w:lang w:val="en-GB"/>
        </w:rPr>
        <w:br/>
        <w:t xml:space="preserve">Read the </w:t>
      </w:r>
      <w:r w:rsidRPr="0023326D">
        <w:rPr>
          <w:b/>
          <w:lang w:val="en-GB"/>
        </w:rPr>
        <w:t>Equinet Perspective</w:t>
      </w:r>
      <w:r>
        <w:rPr>
          <w:lang w:val="en-GB"/>
        </w:rPr>
        <w:t xml:space="preserve"> </w:t>
      </w:r>
      <w:hyperlink r:id="rId35" w:history="1">
        <w:r w:rsidRPr="0023326D">
          <w:rPr>
            <w:rStyle w:val="Hyperlink"/>
            <w:lang w:val="en-GB"/>
          </w:rPr>
          <w:t>“An Equinet Perspective: The Persistence of Discrimination, Harassment and Inequality for Women”</w:t>
        </w:r>
      </w:hyperlink>
    </w:p>
    <w:p w14:paraId="783A2859" w14:textId="77777777" w:rsidR="0023326D" w:rsidRDefault="0023326D" w:rsidP="00685E24">
      <w:pPr>
        <w:spacing w:line="240" w:lineRule="auto"/>
        <w:rPr>
          <w:lang w:val="en-GB"/>
        </w:rPr>
      </w:pPr>
    </w:p>
    <w:p w14:paraId="162F5683" w14:textId="77777777" w:rsidR="0023326D" w:rsidRDefault="0023326D" w:rsidP="00685E24">
      <w:pPr>
        <w:pStyle w:val="Heading2"/>
        <w:spacing w:line="240" w:lineRule="auto"/>
        <w:rPr>
          <w:lang w:val="en-GB"/>
        </w:rPr>
      </w:pPr>
      <w:bookmarkStart w:id="15" w:name="_Ref442453621"/>
      <w:r w:rsidRPr="003C47D8">
        <w:rPr>
          <w:lang w:val="en-GB"/>
        </w:rPr>
        <w:t>Publications, funding opportunities and events</w:t>
      </w:r>
      <w:bookmarkEnd w:id="15"/>
    </w:p>
    <w:p w14:paraId="2AAEFD12" w14:textId="77777777" w:rsidR="0023326D" w:rsidRDefault="0023326D" w:rsidP="00685E24">
      <w:pPr>
        <w:spacing w:line="240" w:lineRule="auto"/>
        <w:rPr>
          <w:lang w:val="en-GB"/>
        </w:rPr>
      </w:pPr>
    </w:p>
    <w:p w14:paraId="49CCE815" w14:textId="1877336E" w:rsidR="0023326D" w:rsidRDefault="00C07FAC" w:rsidP="00685E24">
      <w:pPr>
        <w:spacing w:line="240" w:lineRule="auto"/>
        <w:rPr>
          <w:lang w:val="en-GB"/>
        </w:rPr>
      </w:pPr>
      <w:r w:rsidRPr="00C07FAC">
        <w:rPr>
          <w:b/>
          <w:color w:val="FFFFFF" w:themeColor="background1"/>
          <w:shd w:val="clear" w:color="auto" w:fill="7030A0"/>
          <w:lang w:val="en-GB"/>
        </w:rPr>
        <w:t>PUBLICATION</w:t>
      </w:r>
      <w:r w:rsidR="0023326D">
        <w:rPr>
          <w:lang w:val="en-GB"/>
        </w:rPr>
        <w:t xml:space="preserve"> – </w:t>
      </w:r>
      <w:r w:rsidR="0023326D" w:rsidRPr="0023326D">
        <w:rPr>
          <w:b/>
          <w:lang w:val="en-GB"/>
        </w:rPr>
        <w:t>European Institute for Gender Equality (EIGE)</w:t>
      </w:r>
      <w:r w:rsidR="0023326D">
        <w:rPr>
          <w:lang w:val="en-GB"/>
        </w:rPr>
        <w:t xml:space="preserve"> – </w:t>
      </w:r>
      <w:hyperlink r:id="rId36" w:history="1">
        <w:r w:rsidR="0023326D" w:rsidRPr="0023326D">
          <w:rPr>
            <w:rStyle w:val="Hyperlink"/>
            <w:lang w:val="en-GB"/>
          </w:rPr>
          <w:t>Gender Equality Index in Serbia</w:t>
        </w:r>
      </w:hyperlink>
    </w:p>
    <w:p w14:paraId="265B237B" w14:textId="1B90AA9A" w:rsidR="002B3154" w:rsidRDefault="00C07FAC" w:rsidP="00A00D92">
      <w:pPr>
        <w:spacing w:line="240" w:lineRule="auto"/>
        <w:jc w:val="both"/>
        <w:rPr>
          <w:lang w:val="en-GB"/>
        </w:rPr>
      </w:pPr>
      <w:r w:rsidRPr="00C07FAC">
        <w:rPr>
          <w:b/>
          <w:color w:val="FFFFFF" w:themeColor="background1"/>
          <w:shd w:val="clear" w:color="auto" w:fill="7030A0"/>
          <w:lang w:val="en-GB"/>
        </w:rPr>
        <w:t>PUBLICATION</w:t>
      </w:r>
      <w:r w:rsidR="0023326D" w:rsidRPr="0023326D">
        <w:rPr>
          <w:b/>
          <w:lang w:val="en-GB"/>
        </w:rPr>
        <w:t xml:space="preserve"> </w:t>
      </w:r>
      <w:r w:rsidR="0023326D">
        <w:rPr>
          <w:lang w:val="en-GB"/>
        </w:rPr>
        <w:t xml:space="preserve">– </w:t>
      </w:r>
      <w:r w:rsidR="0023326D" w:rsidRPr="0023326D">
        <w:rPr>
          <w:b/>
          <w:lang w:val="en-GB"/>
        </w:rPr>
        <w:t>Council of Europe</w:t>
      </w:r>
      <w:r w:rsidR="0023326D">
        <w:rPr>
          <w:lang w:val="en-GB"/>
        </w:rPr>
        <w:t xml:space="preserve"> - </w:t>
      </w:r>
      <w:hyperlink r:id="rId37" w:history="1">
        <w:r w:rsidR="00A00D92" w:rsidRPr="00A00D92">
          <w:rPr>
            <w:rStyle w:val="Hyperlink"/>
            <w:lang w:val="en-GB"/>
          </w:rPr>
          <w:t>Implementation of the Council of Europe Gender Equality Strategy 2014-2017 - Annual Report 2015</w:t>
        </w:r>
      </w:hyperlink>
      <w:bookmarkStart w:id="16" w:name="_Toc418770748"/>
      <w:bookmarkStart w:id="17" w:name="_Ref418784315"/>
      <w:bookmarkStart w:id="18" w:name="_Ref418784316"/>
      <w:bookmarkEnd w:id="9"/>
      <w:bookmarkEnd w:id="10"/>
    </w:p>
    <w:p w14:paraId="304CB74A" w14:textId="77777777" w:rsidR="00943392" w:rsidRDefault="00943392" w:rsidP="00685E24">
      <w:pPr>
        <w:spacing w:line="240" w:lineRule="auto"/>
        <w:rPr>
          <w:lang w:val="en-GB"/>
        </w:rPr>
      </w:pPr>
    </w:p>
    <w:p w14:paraId="4279531E" w14:textId="68435BEB" w:rsidR="00C842B1" w:rsidRPr="006075A4" w:rsidRDefault="00F93FE2" w:rsidP="00685E24">
      <w:pPr>
        <w:pStyle w:val="Heading1"/>
        <w:pBdr>
          <w:top w:val="dotted" w:sz="4" w:space="1" w:color="auto"/>
          <w:bottom w:val="dotted" w:sz="4" w:space="0" w:color="auto"/>
        </w:pBdr>
        <w:spacing w:line="240" w:lineRule="auto"/>
        <w:rPr>
          <w:lang w:val="en-GB"/>
        </w:rPr>
      </w:pPr>
      <w:bookmarkStart w:id="19" w:name="_Ref442453624"/>
      <w:r>
        <w:rPr>
          <w:lang w:val="en-GB"/>
        </w:rPr>
        <w:t>Race/ethnic origin</w:t>
      </w:r>
      <w:bookmarkEnd w:id="19"/>
    </w:p>
    <w:p w14:paraId="7B2A2D9E" w14:textId="77777777" w:rsidR="0023326D" w:rsidRDefault="0023326D" w:rsidP="00685E24">
      <w:pPr>
        <w:spacing w:line="240" w:lineRule="auto"/>
        <w:rPr>
          <w:lang w:val="en-GB"/>
        </w:rPr>
      </w:pPr>
      <w:bookmarkStart w:id="20" w:name="_Ref421267530"/>
    </w:p>
    <w:p w14:paraId="7D053330" w14:textId="45244E07" w:rsidR="003C47D8" w:rsidRDefault="003C47D8" w:rsidP="00685E24">
      <w:pPr>
        <w:pStyle w:val="Heading2"/>
        <w:spacing w:line="240" w:lineRule="auto"/>
        <w:rPr>
          <w:lang w:val="en-GB"/>
        </w:rPr>
      </w:pPr>
      <w:bookmarkStart w:id="21" w:name="_Ref442453625"/>
      <w:r>
        <w:rPr>
          <w:lang w:val="en-GB"/>
        </w:rPr>
        <w:t>Policy Developments</w:t>
      </w:r>
      <w:bookmarkEnd w:id="21"/>
    </w:p>
    <w:p w14:paraId="4C909D0F" w14:textId="159D4361" w:rsidR="00943392" w:rsidRDefault="00943392" w:rsidP="00685E24">
      <w:pPr>
        <w:spacing w:line="240" w:lineRule="auto"/>
        <w:rPr>
          <w:lang w:val="en-GB"/>
        </w:rPr>
      </w:pPr>
    </w:p>
    <w:p w14:paraId="62E62356" w14:textId="4D2EA732" w:rsidR="00943392" w:rsidRPr="00685E24" w:rsidRDefault="00A00D92" w:rsidP="00685E24">
      <w:pPr>
        <w:spacing w:line="240" w:lineRule="auto"/>
        <w:rPr>
          <w:b/>
          <w:color w:val="002060"/>
          <w:sz w:val="24"/>
          <w:lang w:val="en-GB"/>
        </w:rPr>
      </w:pPr>
      <w:r>
        <w:rPr>
          <w:noProof/>
          <w:lang w:eastAsia="fr-BE"/>
        </w:rPr>
        <w:drawing>
          <wp:anchor distT="0" distB="0" distL="114300" distR="114300" simplePos="0" relativeHeight="251656192" behindDoc="0" locked="0" layoutInCell="1" allowOverlap="1" wp14:anchorId="002481C6" wp14:editId="0DC36F4F">
            <wp:simplePos x="0" y="0"/>
            <wp:positionH relativeFrom="margin">
              <wp:posOffset>3788410</wp:posOffset>
            </wp:positionH>
            <wp:positionV relativeFrom="margin">
              <wp:posOffset>2726055</wp:posOffset>
            </wp:positionV>
            <wp:extent cx="2375535" cy="954405"/>
            <wp:effectExtent l="19050" t="19050" r="24765"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5535" cy="954405"/>
                    </a:xfrm>
                    <a:prstGeom prst="rect">
                      <a:avLst/>
                    </a:prstGeom>
                    <a:noFill/>
                    <a:ln>
                      <a:solidFill>
                        <a:schemeClr val="tx1"/>
                      </a:solidFill>
                    </a:ln>
                  </pic:spPr>
                </pic:pic>
              </a:graphicData>
            </a:graphic>
          </wp:anchor>
        </w:drawing>
      </w:r>
      <w:r w:rsidR="00943392" w:rsidRPr="00685E24">
        <w:rPr>
          <w:b/>
          <w:color w:val="002060"/>
          <w:sz w:val="24"/>
          <w:lang w:val="en-GB"/>
        </w:rPr>
        <w:t xml:space="preserve">EUROPEAN PARLIAMENT – Launch of the EP Anti-Racism and Diversity Intergroup (ARDI) </w:t>
      </w:r>
    </w:p>
    <w:p w14:paraId="3212243E" w14:textId="1A8ADFE6" w:rsidR="003C47D8" w:rsidRDefault="00943392" w:rsidP="00685E24">
      <w:pPr>
        <w:spacing w:line="240" w:lineRule="auto"/>
        <w:jc w:val="both"/>
        <w:rPr>
          <w:lang w:val="en-GB"/>
        </w:rPr>
      </w:pPr>
      <w:r>
        <w:rPr>
          <w:lang w:val="en-GB"/>
        </w:rPr>
        <w:t>On 26</w:t>
      </w:r>
      <w:r w:rsidRPr="00943392">
        <w:rPr>
          <w:vertAlign w:val="superscript"/>
          <w:lang w:val="en-GB"/>
        </w:rPr>
        <w:t>th</w:t>
      </w:r>
      <w:r>
        <w:rPr>
          <w:lang w:val="en-GB"/>
        </w:rPr>
        <w:t xml:space="preserve"> January 2016, the </w:t>
      </w:r>
      <w:hyperlink r:id="rId39" w:history="1">
        <w:r w:rsidRPr="00943392">
          <w:rPr>
            <w:rStyle w:val="Hyperlink"/>
            <w:lang w:val="en-GB"/>
          </w:rPr>
          <w:t>European Parliament Anti-Racism and Diversity Intergroup (ARDI)</w:t>
        </w:r>
      </w:hyperlink>
      <w:r>
        <w:rPr>
          <w:lang w:val="en-GB"/>
        </w:rPr>
        <w:t xml:space="preserve"> was officially launched in Brussels. It aims to “</w:t>
      </w:r>
      <w:r w:rsidRPr="00943392">
        <w:rPr>
          <w:lang w:val="en-GB"/>
        </w:rPr>
        <w:t>to promote racial equality, counter racism, and educate about non-discrimination in the work of the European Parliamen</w:t>
      </w:r>
      <w:r>
        <w:rPr>
          <w:lang w:val="en-GB"/>
        </w:rPr>
        <w:t xml:space="preserve">t”. The work of ARDI is led by </w:t>
      </w:r>
      <w:hyperlink r:id="rId40" w:history="1">
        <w:r w:rsidRPr="00943392">
          <w:rPr>
            <w:rStyle w:val="Hyperlink"/>
            <w:lang w:val="en-GB"/>
          </w:rPr>
          <w:t>a bureau made up of MEPs from several political groups</w:t>
        </w:r>
      </w:hyperlink>
      <w:r>
        <w:rPr>
          <w:lang w:val="en-GB"/>
        </w:rPr>
        <w:t xml:space="preserve"> and supported by a coordinator. </w:t>
      </w:r>
    </w:p>
    <w:p w14:paraId="334C6773" w14:textId="77777777" w:rsidR="00943392" w:rsidRDefault="00943392" w:rsidP="00685E24">
      <w:pPr>
        <w:spacing w:line="240" w:lineRule="auto"/>
        <w:rPr>
          <w:lang w:val="en-GB"/>
        </w:rPr>
      </w:pPr>
    </w:p>
    <w:p w14:paraId="63C12491" w14:textId="7135A1BA" w:rsidR="003C47D8" w:rsidRPr="00685E24" w:rsidRDefault="00943392" w:rsidP="00685E24">
      <w:pPr>
        <w:spacing w:line="240" w:lineRule="auto"/>
        <w:rPr>
          <w:b/>
          <w:color w:val="002060"/>
          <w:sz w:val="24"/>
          <w:lang w:val="en-GB"/>
        </w:rPr>
      </w:pPr>
      <w:r w:rsidRPr="00685E24">
        <w:rPr>
          <w:b/>
          <w:color w:val="002060"/>
          <w:sz w:val="24"/>
          <w:lang w:val="en-GB"/>
        </w:rPr>
        <w:t>UNITED – European Action Week a</w:t>
      </w:r>
      <w:r w:rsidR="003C47D8" w:rsidRPr="00685E24">
        <w:rPr>
          <w:b/>
          <w:color w:val="002060"/>
          <w:sz w:val="24"/>
          <w:lang w:val="en-GB"/>
        </w:rPr>
        <w:t>gainst Racism, 12-21 March 2016</w:t>
      </w:r>
    </w:p>
    <w:p w14:paraId="4FC0E11F" w14:textId="35894C49" w:rsidR="00AB5E96" w:rsidRDefault="00C07FAC" w:rsidP="00685E24">
      <w:pPr>
        <w:spacing w:line="240" w:lineRule="auto"/>
        <w:jc w:val="both"/>
        <w:rPr>
          <w:lang w:val="en-GB"/>
        </w:rPr>
      </w:pPr>
      <w:r>
        <w:rPr>
          <w:lang w:val="en-GB"/>
        </w:rPr>
        <w:t xml:space="preserve">Every year, </w:t>
      </w:r>
      <w:hyperlink r:id="rId41" w:history="1">
        <w:r w:rsidRPr="00C07FAC">
          <w:rPr>
            <w:rStyle w:val="Hyperlink"/>
            <w:lang w:val="en-GB"/>
          </w:rPr>
          <w:t>UNITED for intercultural action (European Network against nationalism, racism, fascism, in support of migrants and refugees)</w:t>
        </w:r>
      </w:hyperlink>
      <w:r>
        <w:rPr>
          <w:lang w:val="en-GB"/>
        </w:rPr>
        <w:t xml:space="preserve"> run the </w:t>
      </w:r>
      <w:hyperlink r:id="rId42" w:history="1">
        <w:r w:rsidRPr="00C07FAC">
          <w:rPr>
            <w:rStyle w:val="Hyperlink"/>
            <w:lang w:val="en-GB"/>
          </w:rPr>
          <w:t>European Action Week against Racism</w:t>
        </w:r>
      </w:hyperlink>
      <w:r>
        <w:rPr>
          <w:lang w:val="en-GB"/>
        </w:rPr>
        <w:t xml:space="preserve">. This year, </w:t>
      </w:r>
      <w:r w:rsidRPr="00C07FAC">
        <w:rPr>
          <w:b/>
          <w:lang w:val="en-GB"/>
        </w:rPr>
        <w:t>the campaign will start on 12</w:t>
      </w:r>
      <w:r w:rsidRPr="00C07FAC">
        <w:rPr>
          <w:b/>
          <w:vertAlign w:val="superscript"/>
          <w:lang w:val="en-GB"/>
        </w:rPr>
        <w:t>th</w:t>
      </w:r>
      <w:r w:rsidRPr="00C07FAC">
        <w:rPr>
          <w:b/>
          <w:lang w:val="en-GB"/>
        </w:rPr>
        <w:t xml:space="preserve"> March and finish on 21</w:t>
      </w:r>
      <w:r w:rsidRPr="00C07FAC">
        <w:rPr>
          <w:b/>
          <w:vertAlign w:val="superscript"/>
          <w:lang w:val="en-GB"/>
        </w:rPr>
        <w:t>st</w:t>
      </w:r>
      <w:r w:rsidRPr="00C07FAC">
        <w:rPr>
          <w:b/>
          <w:lang w:val="en-GB"/>
        </w:rPr>
        <w:t xml:space="preserve"> March</w:t>
      </w:r>
      <w:r>
        <w:rPr>
          <w:lang w:val="en-GB"/>
        </w:rPr>
        <w:t xml:space="preserve">. You can find more information and order free campaign materials </w:t>
      </w:r>
      <w:hyperlink r:id="rId43" w:history="1">
        <w:r w:rsidRPr="00C07FAC">
          <w:rPr>
            <w:rStyle w:val="Hyperlink"/>
            <w:lang w:val="en-GB"/>
          </w:rPr>
          <w:t>here</w:t>
        </w:r>
      </w:hyperlink>
      <w:r>
        <w:rPr>
          <w:lang w:val="en-GB"/>
        </w:rPr>
        <w:t xml:space="preserve">. </w:t>
      </w:r>
    </w:p>
    <w:p w14:paraId="12EF18C6" w14:textId="22A163FC" w:rsidR="00AB5E96" w:rsidRDefault="00AB5E96" w:rsidP="00685E24">
      <w:pPr>
        <w:spacing w:line="240" w:lineRule="auto"/>
        <w:jc w:val="both"/>
        <w:rPr>
          <w:lang w:val="en-GB"/>
        </w:rPr>
      </w:pPr>
      <w:r w:rsidRPr="005559D8">
        <w:rPr>
          <w:b/>
          <w:lang w:val="en-US"/>
        </w:rPr>
        <w:t>Equinet wishes to highlight your work on the fight against racism during the Action Week.</w:t>
      </w:r>
      <w:r>
        <w:rPr>
          <w:lang w:val="en-US"/>
        </w:rPr>
        <w:t xml:space="preserve"> If you have examples of activities (publications, campaigns or other) that you would like highlighted on our social media channels during that week, please send an email to Sarah Cooke O’Dowd (</w:t>
      </w:r>
      <w:hyperlink r:id="rId44" w:history="1">
        <w:r w:rsidRPr="00893EB3">
          <w:rPr>
            <w:rStyle w:val="Hyperlink"/>
            <w:lang w:val="en-US"/>
          </w:rPr>
          <w:t>sarah.cookeodowd@equineteurope.org</w:t>
        </w:r>
      </w:hyperlink>
      <w:r>
        <w:rPr>
          <w:lang w:val="en-US"/>
        </w:rPr>
        <w:t xml:space="preserve">) with a brief overview in English as well as the relevant links to the activity. </w:t>
      </w:r>
      <w:r w:rsidRPr="005559D8">
        <w:rPr>
          <w:b/>
          <w:lang w:val="en-US"/>
        </w:rPr>
        <w:t>Deadline: 4 March 2016</w:t>
      </w:r>
    </w:p>
    <w:p w14:paraId="1800E3E3" w14:textId="77777777" w:rsidR="00C07FAC" w:rsidRDefault="00C07FAC" w:rsidP="00685E24">
      <w:pPr>
        <w:spacing w:line="240" w:lineRule="auto"/>
        <w:rPr>
          <w:lang w:val="en-GB"/>
        </w:rPr>
      </w:pPr>
    </w:p>
    <w:p w14:paraId="378ECA86" w14:textId="18FA77E1" w:rsidR="007F2490" w:rsidRDefault="007F2490" w:rsidP="00685E24">
      <w:pPr>
        <w:pStyle w:val="Heading2"/>
        <w:spacing w:line="240" w:lineRule="auto"/>
        <w:rPr>
          <w:lang w:val="en-GB"/>
        </w:rPr>
      </w:pPr>
      <w:bookmarkStart w:id="22" w:name="_Ref442453627"/>
      <w:r w:rsidRPr="003C47D8">
        <w:rPr>
          <w:lang w:val="en-GB"/>
        </w:rPr>
        <w:t>Publications, funding opportunities and events</w:t>
      </w:r>
      <w:bookmarkEnd w:id="22"/>
    </w:p>
    <w:p w14:paraId="75333C93" w14:textId="77777777" w:rsidR="00C07FAC" w:rsidRDefault="00C07FAC" w:rsidP="00685E24">
      <w:pPr>
        <w:spacing w:line="240" w:lineRule="auto"/>
        <w:rPr>
          <w:lang w:val="en-GB"/>
        </w:rPr>
      </w:pPr>
    </w:p>
    <w:p w14:paraId="1F447FB3" w14:textId="7341DC32" w:rsidR="00C07FAC" w:rsidRDefault="00C07FAC" w:rsidP="00A00D92">
      <w:pPr>
        <w:spacing w:line="240" w:lineRule="auto"/>
        <w:jc w:val="both"/>
        <w:rPr>
          <w:lang w:val="en-GB"/>
        </w:rPr>
      </w:pPr>
      <w:r w:rsidRPr="00C07FAC">
        <w:rPr>
          <w:b/>
          <w:color w:val="FFFFFF" w:themeColor="background1"/>
          <w:shd w:val="clear" w:color="auto" w:fill="00B050"/>
          <w:lang w:val="en-GB"/>
        </w:rPr>
        <w:t>FUNDING OPPORTUNITY</w:t>
      </w:r>
      <w:r w:rsidRPr="00C07FAC">
        <w:rPr>
          <w:color w:val="FFFFFF" w:themeColor="background1"/>
          <w:lang w:val="en-GB"/>
        </w:rPr>
        <w:t xml:space="preserve"> </w:t>
      </w:r>
      <w:r>
        <w:rPr>
          <w:lang w:val="en-GB"/>
        </w:rPr>
        <w:t xml:space="preserve">– </w:t>
      </w:r>
      <w:r w:rsidRPr="00C07FAC">
        <w:rPr>
          <w:b/>
          <w:lang w:val="en-GB"/>
        </w:rPr>
        <w:t>European Commission</w:t>
      </w:r>
      <w:r>
        <w:rPr>
          <w:lang w:val="en-GB"/>
        </w:rPr>
        <w:t xml:space="preserve"> - </w:t>
      </w:r>
      <w:hyperlink r:id="rId45" w:history="1">
        <w:r w:rsidRPr="00C07FAC">
          <w:rPr>
            <w:rStyle w:val="Hyperlink"/>
            <w:lang w:val="en-GB"/>
          </w:rPr>
          <w:t>Action grants to support national and transnational projects on non-discrimination and Roma integration</w:t>
        </w:r>
      </w:hyperlink>
      <w:r>
        <w:rPr>
          <w:lang w:val="en-GB"/>
        </w:rPr>
        <w:t xml:space="preserve"> (Deadline: 12</w:t>
      </w:r>
      <w:r w:rsidRPr="00C07FAC">
        <w:rPr>
          <w:vertAlign w:val="superscript"/>
          <w:lang w:val="en-GB"/>
        </w:rPr>
        <w:t>th</w:t>
      </w:r>
      <w:r>
        <w:rPr>
          <w:lang w:val="en-GB"/>
        </w:rPr>
        <w:t xml:space="preserve"> April 2016)</w:t>
      </w:r>
    </w:p>
    <w:p w14:paraId="112C3873" w14:textId="07393BF7" w:rsidR="00685E24" w:rsidRDefault="00685E24" w:rsidP="00A00D92">
      <w:pPr>
        <w:spacing w:line="240" w:lineRule="auto"/>
        <w:jc w:val="both"/>
        <w:rPr>
          <w:lang w:val="en-GB"/>
        </w:rPr>
      </w:pPr>
      <w:r w:rsidRPr="00685E24">
        <w:rPr>
          <w:b/>
          <w:color w:val="FFFFFF" w:themeColor="background1"/>
          <w:shd w:val="clear" w:color="auto" w:fill="7030A0"/>
          <w:lang w:val="en-GB"/>
        </w:rPr>
        <w:t>PUBLICATION</w:t>
      </w:r>
      <w:r>
        <w:rPr>
          <w:lang w:val="en-GB"/>
        </w:rPr>
        <w:t xml:space="preserve"> – </w:t>
      </w:r>
      <w:r w:rsidRPr="00685E24">
        <w:rPr>
          <w:b/>
          <w:lang w:val="en-GB"/>
        </w:rPr>
        <w:t>ERIO (European Roma Information Office)</w:t>
      </w:r>
      <w:r>
        <w:rPr>
          <w:lang w:val="en-GB"/>
        </w:rPr>
        <w:t xml:space="preserve"> – </w:t>
      </w:r>
      <w:hyperlink r:id="rId46" w:history="1">
        <w:r w:rsidRPr="00685E24">
          <w:rPr>
            <w:rStyle w:val="Hyperlink"/>
            <w:lang w:val="en-GB"/>
          </w:rPr>
          <w:t>Human rights abuses and discrimination against Roma (2015)</w:t>
        </w:r>
      </w:hyperlink>
    </w:p>
    <w:p w14:paraId="562D53BA" w14:textId="27136AEB" w:rsidR="00B10AD4" w:rsidRPr="00A00D92" w:rsidRDefault="00B10AD4" w:rsidP="00A00D92">
      <w:pPr>
        <w:spacing w:line="240" w:lineRule="auto"/>
        <w:jc w:val="both"/>
        <w:rPr>
          <w:lang w:val="en-GB"/>
        </w:rPr>
      </w:pPr>
      <w:r w:rsidRPr="00685E24">
        <w:rPr>
          <w:b/>
          <w:color w:val="FFFFFF" w:themeColor="background1"/>
          <w:shd w:val="clear" w:color="auto" w:fill="7030A0"/>
          <w:lang w:val="en-GB"/>
        </w:rPr>
        <w:t>PUBLICATION</w:t>
      </w:r>
      <w:r>
        <w:rPr>
          <w:lang w:val="en-GB"/>
        </w:rPr>
        <w:t xml:space="preserve"> – </w:t>
      </w:r>
      <w:r w:rsidRPr="005559D8">
        <w:rPr>
          <w:b/>
          <w:lang w:val="en-GB"/>
        </w:rPr>
        <w:t>Council of Europe</w:t>
      </w:r>
      <w:r>
        <w:rPr>
          <w:lang w:val="en-GB"/>
        </w:rPr>
        <w:t xml:space="preserve"> – </w:t>
      </w:r>
      <w:hyperlink r:id="rId47" w:history="1">
        <w:r w:rsidRPr="00A00D92">
          <w:rPr>
            <w:rStyle w:val="Hyperlink"/>
            <w:lang w:val="en-GB"/>
          </w:rPr>
          <w:t>Cy</w:t>
        </w:r>
        <w:r w:rsidRPr="00A00D92">
          <w:rPr>
            <w:rStyle w:val="Hyperlink"/>
            <w:lang w:val="en-GB"/>
          </w:rPr>
          <w:t>berhate:  An issue of continued concern for the Council of Europe’s Anti-Racism Commission</w:t>
        </w:r>
      </w:hyperlink>
    </w:p>
    <w:p w14:paraId="49A7CDAF" w14:textId="77777777" w:rsidR="00C07FAC" w:rsidRPr="00C07FAC" w:rsidRDefault="00C07FAC" w:rsidP="00685E24">
      <w:pPr>
        <w:spacing w:line="240" w:lineRule="auto"/>
        <w:rPr>
          <w:lang w:val="en-GB"/>
        </w:rPr>
      </w:pPr>
    </w:p>
    <w:p w14:paraId="4376734D" w14:textId="24AFB19C" w:rsidR="00624AFF" w:rsidRPr="006075A4" w:rsidRDefault="00D05673" w:rsidP="00685E24">
      <w:pPr>
        <w:pStyle w:val="Heading1"/>
        <w:pBdr>
          <w:top w:val="dotted" w:sz="4" w:space="1" w:color="auto"/>
          <w:bottom w:val="dotted" w:sz="4" w:space="1" w:color="auto"/>
        </w:pBdr>
        <w:spacing w:line="240" w:lineRule="auto"/>
        <w:rPr>
          <w:rFonts w:ascii="Calibri" w:eastAsia="Calibri" w:hAnsi="Calibri" w:cs="Times New Roman"/>
          <w:color w:val="auto"/>
          <w:sz w:val="22"/>
          <w:szCs w:val="22"/>
          <w:lang w:val="en-GB"/>
        </w:rPr>
      </w:pPr>
      <w:bookmarkStart w:id="23" w:name="_Ref442453628"/>
      <w:r w:rsidRPr="006075A4">
        <w:rPr>
          <w:lang w:val="en-GB"/>
        </w:rPr>
        <w:t>Sexual Orientation and Gender Identity</w:t>
      </w:r>
      <w:bookmarkEnd w:id="16"/>
      <w:bookmarkEnd w:id="17"/>
      <w:bookmarkEnd w:id="18"/>
      <w:bookmarkEnd w:id="20"/>
      <w:bookmarkEnd w:id="23"/>
    </w:p>
    <w:p w14:paraId="033D6293" w14:textId="77777777" w:rsidR="00C07FAC" w:rsidRDefault="00C07FAC" w:rsidP="00685E24">
      <w:pPr>
        <w:spacing w:line="240" w:lineRule="auto"/>
        <w:jc w:val="both"/>
        <w:rPr>
          <w:lang w:val="en-GB"/>
        </w:rPr>
      </w:pPr>
    </w:p>
    <w:p w14:paraId="2AE66D83" w14:textId="77777777" w:rsidR="00C07FAC" w:rsidRDefault="00C07FAC" w:rsidP="00685E24">
      <w:pPr>
        <w:pStyle w:val="Heading2"/>
        <w:spacing w:line="240" w:lineRule="auto"/>
        <w:rPr>
          <w:lang w:val="en-GB"/>
        </w:rPr>
      </w:pPr>
      <w:bookmarkStart w:id="24" w:name="_Ref442453630"/>
      <w:r w:rsidRPr="003C47D8">
        <w:rPr>
          <w:lang w:val="en-GB"/>
        </w:rPr>
        <w:t>Publications, funding opportunities and events</w:t>
      </w:r>
      <w:bookmarkEnd w:id="24"/>
    </w:p>
    <w:p w14:paraId="57E66C89" w14:textId="77777777" w:rsidR="00C07FAC" w:rsidRDefault="00C07FAC" w:rsidP="00A00D92">
      <w:pPr>
        <w:spacing w:line="240" w:lineRule="auto"/>
        <w:jc w:val="both"/>
        <w:rPr>
          <w:lang w:val="en-GB"/>
        </w:rPr>
      </w:pPr>
    </w:p>
    <w:p w14:paraId="3DDEAF4B" w14:textId="11B469FF" w:rsidR="00C07FAC" w:rsidRDefault="00C07FAC" w:rsidP="00A00D92">
      <w:pPr>
        <w:spacing w:line="240" w:lineRule="auto"/>
        <w:jc w:val="both"/>
        <w:rPr>
          <w:lang w:val="en-GB"/>
        </w:rPr>
      </w:pPr>
      <w:r w:rsidRPr="00C07FAC">
        <w:rPr>
          <w:b/>
          <w:shd w:val="clear" w:color="auto" w:fill="00B0F0"/>
          <w:lang w:val="en-GB"/>
        </w:rPr>
        <w:t>CALL FOR CONTRIBUTIONS</w:t>
      </w:r>
      <w:r>
        <w:rPr>
          <w:lang w:val="en-GB"/>
        </w:rPr>
        <w:t xml:space="preserve"> – </w:t>
      </w:r>
      <w:r w:rsidRPr="00C07FAC">
        <w:rPr>
          <w:b/>
          <w:lang w:val="en-GB"/>
        </w:rPr>
        <w:t>ILGA-Europe</w:t>
      </w:r>
      <w:r>
        <w:rPr>
          <w:lang w:val="en-GB"/>
        </w:rPr>
        <w:t xml:space="preserve"> - </w:t>
      </w:r>
      <w:hyperlink r:id="rId48" w:history="1">
        <w:r w:rsidRPr="00C07FAC">
          <w:rPr>
            <w:rStyle w:val="Hyperlink"/>
            <w:lang w:val="en-GB"/>
          </w:rPr>
          <w:t>Attitudes, opinions, beliefs about LGBTI equality in Europe</w:t>
        </w:r>
      </w:hyperlink>
    </w:p>
    <w:p w14:paraId="46CAD9DE" w14:textId="3A086341" w:rsidR="00C07FAC" w:rsidRPr="00C07FAC" w:rsidRDefault="00C07FAC" w:rsidP="00A00D92">
      <w:pPr>
        <w:spacing w:line="240" w:lineRule="auto"/>
        <w:jc w:val="both"/>
        <w:rPr>
          <w:lang w:val="en-GB"/>
        </w:rPr>
      </w:pPr>
      <w:r w:rsidRPr="00C07FAC">
        <w:rPr>
          <w:lang w:val="en-GB"/>
        </w:rPr>
        <w:t>In September this year, ILGA-Europe and PIRC (</w:t>
      </w:r>
      <w:hyperlink r:id="rId49" w:history="1">
        <w:r w:rsidRPr="007176ED">
          <w:rPr>
            <w:rStyle w:val="Hyperlink"/>
            <w:lang w:val="en-GB"/>
          </w:rPr>
          <w:t>Public Interest Research Centre</w:t>
        </w:r>
      </w:hyperlink>
      <w:r w:rsidRPr="00C07FAC">
        <w:rPr>
          <w:lang w:val="en-GB"/>
        </w:rPr>
        <w:t xml:space="preserve">) started </w:t>
      </w:r>
      <w:r>
        <w:rPr>
          <w:lang w:val="en-GB"/>
        </w:rPr>
        <w:t>the project</w:t>
      </w:r>
      <w:r w:rsidRPr="00C07FAC">
        <w:rPr>
          <w:lang w:val="en-GB"/>
        </w:rPr>
        <w:t xml:space="preserve"> </w:t>
      </w:r>
      <w:r>
        <w:rPr>
          <w:lang w:val="en-GB"/>
        </w:rPr>
        <w:t>“</w:t>
      </w:r>
      <w:r w:rsidRPr="00C07FAC">
        <w:rPr>
          <w:lang w:val="en-GB"/>
        </w:rPr>
        <w:t>Reframing LGBTI Equality in Europe</w:t>
      </w:r>
      <w:r>
        <w:rPr>
          <w:lang w:val="en-GB"/>
        </w:rPr>
        <w:t>”</w:t>
      </w:r>
      <w:r w:rsidRPr="00C07FAC">
        <w:rPr>
          <w:lang w:val="en-GB"/>
        </w:rPr>
        <w:t>.</w:t>
      </w:r>
      <w:r>
        <w:rPr>
          <w:lang w:val="en-GB"/>
        </w:rPr>
        <w:t xml:space="preserve"> I</w:t>
      </w:r>
      <w:r w:rsidR="007176ED">
        <w:rPr>
          <w:lang w:val="en-GB"/>
        </w:rPr>
        <w:t xml:space="preserve">LGA-Europe is urgently looking for </w:t>
      </w:r>
      <w:r w:rsidR="007176ED" w:rsidRPr="007176ED">
        <w:rPr>
          <w:b/>
          <w:lang w:val="en-GB"/>
        </w:rPr>
        <w:t>any relevant literature on attitudes towards and beliefs about LGBTI equality, or how LGBTI equality is framed, in a European context</w:t>
      </w:r>
      <w:r w:rsidR="007176ED">
        <w:rPr>
          <w:lang w:val="en-GB"/>
        </w:rPr>
        <w:t xml:space="preserve">. Find more information and send your contributions </w:t>
      </w:r>
      <w:hyperlink r:id="rId50" w:history="1">
        <w:r w:rsidR="007176ED" w:rsidRPr="007176ED">
          <w:rPr>
            <w:rStyle w:val="Hyperlink"/>
            <w:lang w:val="en-GB"/>
          </w:rPr>
          <w:t>here</w:t>
        </w:r>
      </w:hyperlink>
      <w:r w:rsidR="007176ED">
        <w:rPr>
          <w:lang w:val="en-GB"/>
        </w:rPr>
        <w:t xml:space="preserve">. </w:t>
      </w:r>
    </w:p>
    <w:p w14:paraId="71DC48EC" w14:textId="74AACF7A" w:rsidR="00C07FAC" w:rsidRPr="00C07FAC" w:rsidRDefault="00C07FAC" w:rsidP="00A00D92">
      <w:pPr>
        <w:pStyle w:val="NoSpacing"/>
        <w:jc w:val="both"/>
        <w:rPr>
          <w:shd w:val="clear" w:color="auto" w:fill="7030A0"/>
          <w:lang w:val="en-GB"/>
        </w:rPr>
      </w:pPr>
    </w:p>
    <w:p w14:paraId="3C9460A2" w14:textId="3302DEFB" w:rsidR="00A975CF" w:rsidRPr="006075A4" w:rsidRDefault="00C07FAC" w:rsidP="00A00D92">
      <w:pPr>
        <w:spacing w:line="240" w:lineRule="auto"/>
        <w:jc w:val="both"/>
        <w:rPr>
          <w:lang w:val="en-GB"/>
        </w:rPr>
      </w:pPr>
      <w:r w:rsidRPr="00C07FAC">
        <w:rPr>
          <w:b/>
          <w:color w:val="FFFFFF" w:themeColor="background1"/>
          <w:shd w:val="clear" w:color="auto" w:fill="7030A0"/>
          <w:lang w:val="en-GB"/>
        </w:rPr>
        <w:t>PUBLICATION</w:t>
      </w:r>
      <w:r>
        <w:rPr>
          <w:lang w:val="en-GB"/>
        </w:rPr>
        <w:t xml:space="preserve"> – </w:t>
      </w:r>
      <w:r w:rsidRPr="00C07FAC">
        <w:rPr>
          <w:b/>
          <w:lang w:val="en-GB"/>
        </w:rPr>
        <w:t>Council of Europe</w:t>
      </w:r>
      <w:r>
        <w:rPr>
          <w:lang w:val="en-GB"/>
        </w:rPr>
        <w:t xml:space="preserve"> – </w:t>
      </w:r>
      <w:hyperlink r:id="rId51" w:history="1">
        <w:r w:rsidRPr="00C07FAC">
          <w:rPr>
            <w:rStyle w:val="Hyperlink"/>
            <w:lang w:val="en-GB"/>
          </w:rPr>
          <w:t>Protecting Human Rights of Transgender Persons: a short guide to legal gender recognition</w:t>
        </w:r>
      </w:hyperlink>
      <w:r>
        <w:rPr>
          <w:lang w:val="en-GB"/>
        </w:rPr>
        <w:t xml:space="preserve"> </w:t>
      </w:r>
    </w:p>
    <w:p w14:paraId="33EB7810" w14:textId="335414FA" w:rsidR="004A7771" w:rsidRDefault="004A7771" w:rsidP="00685E24">
      <w:pPr>
        <w:pStyle w:val="Heading1"/>
        <w:pBdr>
          <w:top w:val="dotted" w:sz="4" w:space="1" w:color="auto"/>
          <w:bottom w:val="dotted" w:sz="4" w:space="1" w:color="auto"/>
        </w:pBdr>
        <w:spacing w:line="240" w:lineRule="auto"/>
        <w:rPr>
          <w:lang w:val="en-GB"/>
        </w:rPr>
      </w:pPr>
      <w:bookmarkStart w:id="25" w:name="_Toc418770749"/>
      <w:bookmarkStart w:id="26" w:name="_Ref418784327"/>
      <w:bookmarkStart w:id="27" w:name="_Ref421267533"/>
      <w:bookmarkStart w:id="28" w:name="_Ref442453631"/>
      <w:r w:rsidRPr="006075A4">
        <w:rPr>
          <w:lang w:val="en-GB"/>
        </w:rPr>
        <w:t>Religion and Belief</w:t>
      </w:r>
      <w:bookmarkEnd w:id="25"/>
      <w:bookmarkEnd w:id="26"/>
      <w:bookmarkEnd w:id="27"/>
      <w:bookmarkEnd w:id="28"/>
    </w:p>
    <w:p w14:paraId="3BB58646" w14:textId="77777777" w:rsidR="007176ED" w:rsidRDefault="007176ED" w:rsidP="00685E24">
      <w:pPr>
        <w:spacing w:line="240" w:lineRule="auto"/>
        <w:rPr>
          <w:lang w:val="en-GB"/>
        </w:rPr>
      </w:pPr>
    </w:p>
    <w:p w14:paraId="4E2A1F1D" w14:textId="4A6E75BC" w:rsidR="003C47D8" w:rsidRDefault="003C47D8" w:rsidP="00685E24">
      <w:pPr>
        <w:pStyle w:val="Heading2"/>
        <w:spacing w:line="240" w:lineRule="auto"/>
        <w:rPr>
          <w:lang w:val="en-GB"/>
        </w:rPr>
      </w:pPr>
      <w:bookmarkStart w:id="29" w:name="_Ref442453632"/>
      <w:r>
        <w:rPr>
          <w:lang w:val="en-GB"/>
        </w:rPr>
        <w:t>Policy Developments</w:t>
      </w:r>
      <w:bookmarkEnd w:id="29"/>
    </w:p>
    <w:p w14:paraId="418A32BA" w14:textId="77777777" w:rsidR="007176ED" w:rsidRDefault="007176ED" w:rsidP="00685E24">
      <w:pPr>
        <w:spacing w:line="240" w:lineRule="auto"/>
        <w:rPr>
          <w:lang w:val="en-GB"/>
        </w:rPr>
      </w:pPr>
    </w:p>
    <w:p w14:paraId="6DC8CF07" w14:textId="37881EFF" w:rsidR="007176ED" w:rsidRPr="00685E24" w:rsidRDefault="007176ED" w:rsidP="00A00D92">
      <w:pPr>
        <w:spacing w:line="240" w:lineRule="auto"/>
        <w:jc w:val="both"/>
        <w:rPr>
          <w:b/>
          <w:color w:val="1F3864" w:themeColor="accent5" w:themeShade="80"/>
          <w:sz w:val="24"/>
          <w:lang w:val="en-GB"/>
        </w:rPr>
      </w:pPr>
      <w:r w:rsidRPr="00685E24">
        <w:rPr>
          <w:b/>
          <w:color w:val="1F3864" w:themeColor="accent5" w:themeShade="80"/>
          <w:sz w:val="24"/>
          <w:lang w:val="en-GB"/>
        </w:rPr>
        <w:t>EUROPEAN COMMISSION – Launch of the webpage about “Combatting Antisemitism”</w:t>
      </w:r>
    </w:p>
    <w:p w14:paraId="288825A9" w14:textId="5EDB5238" w:rsidR="00D03DD9" w:rsidRDefault="00D03DD9" w:rsidP="00A00D92">
      <w:pPr>
        <w:spacing w:line="240" w:lineRule="auto"/>
        <w:jc w:val="both"/>
        <w:rPr>
          <w:lang w:val="en-GB"/>
        </w:rPr>
      </w:pPr>
      <w:r>
        <w:rPr>
          <w:lang w:val="en-GB"/>
        </w:rPr>
        <w:t>As a follow up to the Annual Colloquium on Fundamental Rights, which was held in Brussels on 1</w:t>
      </w:r>
      <w:r w:rsidRPr="00D03DD9">
        <w:rPr>
          <w:vertAlign w:val="superscript"/>
          <w:lang w:val="en-GB"/>
        </w:rPr>
        <w:t>st</w:t>
      </w:r>
      <w:r>
        <w:rPr>
          <w:lang w:val="en-GB"/>
        </w:rPr>
        <w:t xml:space="preserve"> and 2</w:t>
      </w:r>
      <w:r w:rsidRPr="00D03DD9">
        <w:rPr>
          <w:vertAlign w:val="superscript"/>
          <w:lang w:val="en-GB"/>
        </w:rPr>
        <w:t>nd</w:t>
      </w:r>
      <w:r>
        <w:rPr>
          <w:lang w:val="en-GB"/>
        </w:rPr>
        <w:t xml:space="preserve"> October 2015, the European Commission launched a </w:t>
      </w:r>
      <w:hyperlink r:id="rId52" w:history="1">
        <w:r w:rsidRPr="00D03DD9">
          <w:rPr>
            <w:rStyle w:val="Hyperlink"/>
            <w:lang w:val="en-GB"/>
          </w:rPr>
          <w:t>new webpage dedicated to combating antisemitism.</w:t>
        </w:r>
      </w:hyperlink>
      <w:r>
        <w:rPr>
          <w:lang w:val="en-GB"/>
        </w:rPr>
        <w:t xml:space="preserve"> The webpage gathers relevant policy documents and data. </w:t>
      </w:r>
    </w:p>
    <w:p w14:paraId="2D865E37" w14:textId="77777777" w:rsidR="00D03DD9" w:rsidRDefault="00D03DD9" w:rsidP="00685E24">
      <w:pPr>
        <w:spacing w:line="240" w:lineRule="auto"/>
        <w:rPr>
          <w:lang w:val="en-GB"/>
        </w:rPr>
      </w:pPr>
    </w:p>
    <w:p w14:paraId="65F75A64" w14:textId="05C9FE76" w:rsidR="0067153F" w:rsidRDefault="0023326D" w:rsidP="00685E24">
      <w:pPr>
        <w:pStyle w:val="Heading1"/>
        <w:pBdr>
          <w:top w:val="dotted" w:sz="4" w:space="1" w:color="auto"/>
          <w:bottom w:val="dotted" w:sz="4" w:space="1" w:color="auto"/>
        </w:pBdr>
        <w:spacing w:line="240" w:lineRule="auto"/>
        <w:rPr>
          <w:lang w:val="en-GB"/>
        </w:rPr>
      </w:pPr>
      <w:bookmarkStart w:id="30" w:name="_Ref442453633"/>
      <w:r>
        <w:rPr>
          <w:lang w:val="en-GB"/>
        </w:rPr>
        <w:t>Other</w:t>
      </w:r>
      <w:bookmarkEnd w:id="30"/>
    </w:p>
    <w:p w14:paraId="61CDBC80" w14:textId="77777777" w:rsidR="00D03DD9" w:rsidRDefault="00D03DD9" w:rsidP="00685E24">
      <w:pPr>
        <w:spacing w:line="240" w:lineRule="auto"/>
        <w:rPr>
          <w:lang w:val="en-GB"/>
        </w:rPr>
      </w:pPr>
    </w:p>
    <w:p w14:paraId="5A7BFE6B" w14:textId="77777777" w:rsidR="00D03DD9" w:rsidRDefault="00D03DD9" w:rsidP="00685E24">
      <w:pPr>
        <w:pStyle w:val="Heading2"/>
        <w:spacing w:line="240" w:lineRule="auto"/>
        <w:rPr>
          <w:lang w:val="en-GB"/>
        </w:rPr>
      </w:pPr>
      <w:bookmarkStart w:id="31" w:name="_Ref442453634"/>
      <w:r>
        <w:rPr>
          <w:lang w:val="en-GB"/>
        </w:rPr>
        <w:t>Policy Developments</w:t>
      </w:r>
      <w:bookmarkEnd w:id="31"/>
    </w:p>
    <w:p w14:paraId="2CC57815" w14:textId="77777777" w:rsidR="00D03DD9" w:rsidRDefault="00D03DD9" w:rsidP="00685E24">
      <w:pPr>
        <w:spacing w:line="240" w:lineRule="auto"/>
        <w:rPr>
          <w:lang w:val="en-GB"/>
        </w:rPr>
      </w:pPr>
    </w:p>
    <w:p w14:paraId="61DC25DC" w14:textId="4A51460D" w:rsidR="00D03DD9" w:rsidRPr="00685E24" w:rsidRDefault="00D03DD9" w:rsidP="00685E24">
      <w:pPr>
        <w:spacing w:line="240" w:lineRule="auto"/>
        <w:jc w:val="both"/>
        <w:rPr>
          <w:b/>
          <w:color w:val="1F3864" w:themeColor="accent5" w:themeShade="80"/>
          <w:sz w:val="24"/>
          <w:lang w:val="en-GB"/>
        </w:rPr>
      </w:pPr>
      <w:r w:rsidRPr="00685E24">
        <w:rPr>
          <w:b/>
          <w:color w:val="1F3864" w:themeColor="accent5" w:themeShade="80"/>
          <w:sz w:val="24"/>
          <w:lang w:val="en-GB"/>
        </w:rPr>
        <w:t xml:space="preserve">COUNCIL OF EUROPE – </w:t>
      </w:r>
      <w:r w:rsidR="00685E24" w:rsidRPr="00685E24">
        <w:rPr>
          <w:b/>
          <w:color w:val="1F3864" w:themeColor="accent5" w:themeShade="80"/>
          <w:sz w:val="24"/>
          <w:lang w:val="en-GB"/>
        </w:rPr>
        <w:t>Comment</w:t>
      </w:r>
      <w:r w:rsidRPr="00685E24">
        <w:rPr>
          <w:b/>
          <w:color w:val="1F3864" w:themeColor="accent5" w:themeShade="80"/>
          <w:sz w:val="24"/>
          <w:lang w:val="en-GB"/>
        </w:rPr>
        <w:t xml:space="preserve"> by Nils Muižnieks,</w:t>
      </w:r>
      <w:r w:rsidR="00685E24" w:rsidRPr="00685E24">
        <w:rPr>
          <w:b/>
          <w:color w:val="1F3864" w:themeColor="accent5" w:themeShade="80"/>
          <w:sz w:val="24"/>
          <w:lang w:val="en-GB"/>
        </w:rPr>
        <w:t xml:space="preserve"> Council of Europe Human Rights Commissioner: </w:t>
      </w:r>
      <w:r w:rsidRPr="00685E24">
        <w:rPr>
          <w:b/>
          <w:color w:val="1F3864" w:themeColor="accent5" w:themeShade="80"/>
          <w:sz w:val="24"/>
          <w:lang w:val="en-GB"/>
        </w:rPr>
        <w:t xml:space="preserve"> “Travellers – Time to counter deep-rooted hostility”</w:t>
      </w:r>
    </w:p>
    <w:p w14:paraId="63C9B120" w14:textId="77777777" w:rsidR="00685E24" w:rsidRPr="00685E24" w:rsidRDefault="00685E24" w:rsidP="00A00D92">
      <w:pPr>
        <w:spacing w:line="240" w:lineRule="auto"/>
        <w:jc w:val="both"/>
        <w:rPr>
          <w:lang w:val="en-GB"/>
        </w:rPr>
      </w:pPr>
      <w:r w:rsidRPr="00685E24">
        <w:rPr>
          <w:lang w:val="en-GB"/>
        </w:rPr>
        <w:t>The Council of Europe Commissioner for Human Rights Nils Muižnieks highlights the deep rooted hostility against travellers across Europe. To combat this, it is necessary:</w:t>
      </w:r>
    </w:p>
    <w:p w14:paraId="4B9D0426" w14:textId="4F47A451" w:rsidR="00685E24" w:rsidRPr="00685E24" w:rsidRDefault="00685E24" w:rsidP="00A00D92">
      <w:pPr>
        <w:pStyle w:val="ListParagraph"/>
        <w:numPr>
          <w:ilvl w:val="0"/>
          <w:numId w:val="36"/>
        </w:numPr>
        <w:spacing w:line="240" w:lineRule="auto"/>
        <w:jc w:val="both"/>
        <w:rPr>
          <w:lang w:val="en-GB"/>
        </w:rPr>
      </w:pPr>
      <w:r w:rsidRPr="00685E24">
        <w:rPr>
          <w:lang w:val="en-GB"/>
        </w:rPr>
        <w:t>To eliminate all discriminatory provisions regulating the life of persons living in caravans.</w:t>
      </w:r>
    </w:p>
    <w:p w14:paraId="61B4F261" w14:textId="4F6166FF" w:rsidR="00685E24" w:rsidRPr="00685E24" w:rsidRDefault="00685E24" w:rsidP="00A00D92">
      <w:pPr>
        <w:pStyle w:val="ListParagraph"/>
        <w:numPr>
          <w:ilvl w:val="0"/>
          <w:numId w:val="36"/>
        </w:numPr>
        <w:spacing w:line="240" w:lineRule="auto"/>
        <w:jc w:val="both"/>
        <w:rPr>
          <w:lang w:val="en-GB"/>
        </w:rPr>
      </w:pPr>
      <w:r w:rsidRPr="00685E24">
        <w:rPr>
          <w:lang w:val="en-GB"/>
        </w:rPr>
        <w:t>For authorities to condemn all instances of racist statements against Travellers and sanction hate speech directed against them.</w:t>
      </w:r>
    </w:p>
    <w:p w14:paraId="75C36580" w14:textId="7F4A0716" w:rsidR="00685E24" w:rsidRPr="00685E24" w:rsidRDefault="00685E24" w:rsidP="00A00D92">
      <w:pPr>
        <w:pStyle w:val="ListParagraph"/>
        <w:numPr>
          <w:ilvl w:val="0"/>
          <w:numId w:val="36"/>
        </w:numPr>
        <w:spacing w:line="240" w:lineRule="auto"/>
        <w:jc w:val="both"/>
        <w:rPr>
          <w:lang w:val="en-GB"/>
        </w:rPr>
      </w:pPr>
      <w:r w:rsidRPr="00685E24">
        <w:rPr>
          <w:lang w:val="en-GB"/>
        </w:rPr>
        <w:t>Engage in more research and awareness-raising concerning the history of Travellers.</w:t>
      </w:r>
    </w:p>
    <w:p w14:paraId="6419DFC6" w14:textId="4E60F51E" w:rsidR="00685E24" w:rsidRPr="00685E24" w:rsidRDefault="00685E24" w:rsidP="00A00D92">
      <w:pPr>
        <w:pStyle w:val="ListParagraph"/>
        <w:numPr>
          <w:ilvl w:val="0"/>
          <w:numId w:val="36"/>
        </w:numPr>
        <w:spacing w:line="240" w:lineRule="auto"/>
        <w:jc w:val="both"/>
        <w:rPr>
          <w:lang w:val="en-GB"/>
        </w:rPr>
      </w:pPr>
      <w:r w:rsidRPr="00685E24">
        <w:rPr>
          <w:lang w:val="en-GB"/>
        </w:rPr>
        <w:t>For authorities to avoid evictions, and seek human rights compliant alternatives.</w:t>
      </w:r>
    </w:p>
    <w:p w14:paraId="2AF94F18" w14:textId="285FCEEB" w:rsidR="00685E24" w:rsidRPr="00685E24" w:rsidRDefault="00685E24" w:rsidP="00A00D92">
      <w:pPr>
        <w:pStyle w:val="ListParagraph"/>
        <w:numPr>
          <w:ilvl w:val="0"/>
          <w:numId w:val="36"/>
        </w:numPr>
        <w:spacing w:line="240" w:lineRule="auto"/>
        <w:jc w:val="both"/>
        <w:rPr>
          <w:lang w:val="en-GB"/>
        </w:rPr>
      </w:pPr>
      <w:r w:rsidRPr="00685E24">
        <w:rPr>
          <w:lang w:val="en-GB"/>
        </w:rPr>
        <w:t xml:space="preserve">Support and replicate good practices, involving active participation of the Travellers, as mentioned here: </w:t>
      </w:r>
      <w:hyperlink r:id="rId53" w:history="1">
        <w:r w:rsidRPr="00B67C08">
          <w:rPr>
            <w:rStyle w:val="Hyperlink"/>
            <w:lang w:val="en-GB"/>
          </w:rPr>
          <w:t>http://goodpracticeroma.ppa.coe.int/fr</w:t>
        </w:r>
      </w:hyperlink>
      <w:r>
        <w:rPr>
          <w:lang w:val="en-GB"/>
        </w:rPr>
        <w:t xml:space="preserve"> </w:t>
      </w:r>
    </w:p>
    <w:p w14:paraId="2E9C8197" w14:textId="1F284AE1" w:rsidR="00D03DD9" w:rsidRDefault="00685E24" w:rsidP="00A00D92">
      <w:pPr>
        <w:spacing w:line="240" w:lineRule="auto"/>
        <w:jc w:val="both"/>
        <w:rPr>
          <w:lang w:val="en-GB"/>
        </w:rPr>
      </w:pPr>
      <w:r>
        <w:rPr>
          <w:lang w:val="en-GB"/>
        </w:rPr>
        <w:t xml:space="preserve">The article is available </w:t>
      </w:r>
      <w:hyperlink r:id="rId54" w:history="1">
        <w:r w:rsidRPr="00685E24">
          <w:rPr>
            <w:rStyle w:val="Hyperlink"/>
            <w:lang w:val="en-GB"/>
          </w:rPr>
          <w:t>here.</w:t>
        </w:r>
      </w:hyperlink>
      <w:r>
        <w:rPr>
          <w:lang w:val="en-GB"/>
        </w:rPr>
        <w:t xml:space="preserve"> </w:t>
      </w:r>
    </w:p>
    <w:p w14:paraId="6B248C6F" w14:textId="77777777" w:rsidR="000348AB" w:rsidRPr="006075A4" w:rsidRDefault="000348AB" w:rsidP="00685E24">
      <w:pPr>
        <w:spacing w:line="240" w:lineRule="auto"/>
        <w:rPr>
          <w:lang w:val="en-GB"/>
        </w:rPr>
      </w:pPr>
    </w:p>
    <w:p w14:paraId="6C53EA1D" w14:textId="77777777" w:rsidR="00B07813" w:rsidRPr="006075A4" w:rsidRDefault="00B07813" w:rsidP="00685E24">
      <w:pPr>
        <w:pBdr>
          <w:bottom w:val="dotted" w:sz="36" w:space="1" w:color="auto"/>
        </w:pBdr>
        <w:spacing w:line="240" w:lineRule="auto"/>
        <w:rPr>
          <w:lang w:val="en-GB"/>
        </w:rPr>
      </w:pPr>
    </w:p>
    <w:p w14:paraId="2CC0D9C7" w14:textId="2EF97F81" w:rsidR="00685E24" w:rsidRDefault="00685E24" w:rsidP="00685E24">
      <w:pPr>
        <w:spacing w:line="240" w:lineRule="auto"/>
        <w:rPr>
          <w:rFonts w:ascii="Tahoma" w:eastAsiaTheme="majorEastAsia" w:hAnsi="Tahoma" w:cstheme="majorBidi"/>
          <w:b/>
          <w:color w:val="1F4E79" w:themeColor="accent1" w:themeShade="80"/>
          <w:sz w:val="32"/>
          <w:szCs w:val="32"/>
          <w:lang w:val="en-GB"/>
        </w:rPr>
      </w:pPr>
      <w:bookmarkStart w:id="32" w:name="_Toc418770756"/>
      <w:bookmarkStart w:id="33" w:name="_Ref418784375"/>
      <w:bookmarkStart w:id="34" w:name="_Ref421267634"/>
    </w:p>
    <w:p w14:paraId="6A49563D" w14:textId="44708C3D" w:rsidR="00B07813" w:rsidRPr="006075A4" w:rsidRDefault="00B07813" w:rsidP="00685E24">
      <w:pPr>
        <w:pStyle w:val="Heading1"/>
        <w:pBdr>
          <w:top w:val="dotted" w:sz="4" w:space="1" w:color="auto"/>
          <w:bottom w:val="dotted" w:sz="4" w:space="1" w:color="auto"/>
        </w:pBdr>
        <w:spacing w:line="240" w:lineRule="auto"/>
        <w:rPr>
          <w:lang w:val="en-GB"/>
        </w:rPr>
      </w:pPr>
      <w:bookmarkStart w:id="35" w:name="_Ref442453635"/>
      <w:r w:rsidRPr="006075A4">
        <w:rPr>
          <w:lang w:val="en-GB"/>
        </w:rPr>
        <w:t>Recent case-law</w:t>
      </w:r>
      <w:bookmarkEnd w:id="32"/>
      <w:bookmarkEnd w:id="33"/>
      <w:bookmarkEnd w:id="34"/>
      <w:bookmarkEnd w:id="35"/>
    </w:p>
    <w:p w14:paraId="1A7E5E2B" w14:textId="77777777" w:rsidR="00AB116C" w:rsidRPr="006075A4" w:rsidRDefault="00AB116C" w:rsidP="003C3D7A">
      <w:pPr>
        <w:rPr>
          <w:lang w:val="en-GB"/>
        </w:rPr>
      </w:pPr>
      <w:bookmarkStart w:id="36" w:name="_Toc418770757"/>
      <w:bookmarkStart w:id="37" w:name="_Ref418784385"/>
    </w:p>
    <w:p w14:paraId="641D2222" w14:textId="4CB36D29" w:rsidR="00685E24" w:rsidRDefault="00B07813" w:rsidP="00685E24">
      <w:pPr>
        <w:pStyle w:val="Heading2"/>
        <w:spacing w:line="240" w:lineRule="auto"/>
        <w:rPr>
          <w:lang w:val="en-GB"/>
        </w:rPr>
      </w:pPr>
      <w:bookmarkStart w:id="38" w:name="_Ref421267642"/>
      <w:r w:rsidRPr="006075A4">
        <w:rPr>
          <w:lang w:val="en-GB"/>
        </w:rPr>
        <w:t>European Court of Justice (ECJ)</w:t>
      </w:r>
      <w:bookmarkEnd w:id="36"/>
      <w:bookmarkEnd w:id="37"/>
      <w:bookmarkEnd w:id="38"/>
    </w:p>
    <w:p w14:paraId="1A6F8C92" w14:textId="77777777" w:rsidR="00685E24" w:rsidRPr="00685E24" w:rsidRDefault="00685E24" w:rsidP="00685E24">
      <w:pPr>
        <w:spacing w:line="240" w:lineRule="auto"/>
        <w:rPr>
          <w:lang w:val="en-GB"/>
        </w:rPr>
      </w:pPr>
    </w:p>
    <w:p w14:paraId="7DFF6FED" w14:textId="7D38E856" w:rsidR="00685E24" w:rsidRPr="00685E24" w:rsidRDefault="00685E24" w:rsidP="00685E24">
      <w:pPr>
        <w:pStyle w:val="ListParagraph"/>
        <w:numPr>
          <w:ilvl w:val="0"/>
          <w:numId w:val="37"/>
        </w:numPr>
        <w:spacing w:line="240" w:lineRule="auto"/>
        <w:rPr>
          <w:b/>
          <w:sz w:val="24"/>
          <w:lang w:val="en-GB"/>
        </w:rPr>
      </w:pPr>
      <w:r w:rsidRPr="00685E24">
        <w:rPr>
          <w:b/>
          <w:sz w:val="24"/>
          <w:lang w:val="en-GB"/>
        </w:rPr>
        <w:t>Case C-515/14 – Commission vs. Cyprus (21 January 2016)</w:t>
      </w:r>
    </w:p>
    <w:p w14:paraId="3DE45FB8" w14:textId="09AD83BD" w:rsidR="00685E24" w:rsidRPr="00685E24" w:rsidRDefault="00685E24" w:rsidP="00FB2B00">
      <w:pPr>
        <w:spacing w:line="240" w:lineRule="auto"/>
        <w:jc w:val="both"/>
        <w:rPr>
          <w:lang w:val="en-GB"/>
        </w:rPr>
      </w:pPr>
      <w:r w:rsidRPr="00685E24">
        <w:rPr>
          <w:lang w:val="en-GB"/>
        </w:rPr>
        <w:t>Cypriot legislation on pension entitlement wh</w:t>
      </w:r>
      <w:r>
        <w:rPr>
          <w:lang w:val="en-GB"/>
        </w:rPr>
        <w:t xml:space="preserve">ich places migrant workers at a </w:t>
      </w:r>
      <w:r w:rsidRPr="00685E24">
        <w:rPr>
          <w:lang w:val="en-GB"/>
        </w:rPr>
        <w:t>disadvantage in relation to those who do not leave Cyprus is contrary to EU law</w:t>
      </w:r>
      <w:r>
        <w:rPr>
          <w:lang w:val="en-GB"/>
        </w:rPr>
        <w:t xml:space="preserve">. The summary of the case is available </w:t>
      </w:r>
      <w:hyperlink r:id="rId55" w:history="1">
        <w:r w:rsidRPr="00685E24">
          <w:rPr>
            <w:rStyle w:val="Hyperlink"/>
            <w:lang w:val="en-GB"/>
          </w:rPr>
          <w:t>here</w:t>
        </w:r>
      </w:hyperlink>
      <w:r>
        <w:rPr>
          <w:lang w:val="en-GB"/>
        </w:rPr>
        <w:t xml:space="preserve">. </w:t>
      </w:r>
    </w:p>
    <w:p w14:paraId="6789F518" w14:textId="457FD020" w:rsidR="0034362B" w:rsidRDefault="00685E24" w:rsidP="00685E24">
      <w:pPr>
        <w:shd w:val="clear" w:color="auto" w:fill="D9D9D9" w:themeFill="background1" w:themeFillShade="D9"/>
        <w:spacing w:line="240" w:lineRule="auto"/>
        <w:rPr>
          <w:lang w:val="en-GB"/>
        </w:rPr>
      </w:pPr>
      <w:r w:rsidRPr="00685E24">
        <w:rPr>
          <w:b/>
          <w:lang w:val="en-GB"/>
        </w:rPr>
        <w:t>FOR FURTHER INFORMATION</w:t>
      </w:r>
      <w:r>
        <w:rPr>
          <w:lang w:val="en-GB"/>
        </w:rPr>
        <w:br/>
        <w:t xml:space="preserve">Read the </w:t>
      </w:r>
      <w:r w:rsidRPr="00685E24">
        <w:rPr>
          <w:b/>
          <w:lang w:val="en-GB"/>
        </w:rPr>
        <w:t>Equinet discussion paper</w:t>
      </w:r>
      <w:r>
        <w:rPr>
          <w:lang w:val="en-GB"/>
        </w:rPr>
        <w:t xml:space="preserve"> </w:t>
      </w:r>
      <w:hyperlink r:id="rId56" w:history="1">
        <w:r w:rsidRPr="00685E24">
          <w:rPr>
            <w:rStyle w:val="Hyperlink"/>
            <w:lang w:val="en-GB"/>
          </w:rPr>
          <w:t>Equality bodies and freedom of movement</w:t>
        </w:r>
      </w:hyperlink>
    </w:p>
    <w:p w14:paraId="7FF577B4" w14:textId="77777777" w:rsidR="00685E24" w:rsidRPr="006075A4" w:rsidRDefault="00685E24" w:rsidP="00685E24">
      <w:pPr>
        <w:spacing w:line="240" w:lineRule="auto"/>
        <w:rPr>
          <w:lang w:val="en-GB"/>
        </w:rPr>
      </w:pPr>
    </w:p>
    <w:p w14:paraId="7B10DD56" w14:textId="02E77F2D" w:rsidR="009913B6" w:rsidRPr="006075A4" w:rsidRDefault="00AB116C" w:rsidP="00685E24">
      <w:pPr>
        <w:pStyle w:val="Heading2"/>
        <w:spacing w:line="240" w:lineRule="auto"/>
        <w:rPr>
          <w:lang w:val="en-GB"/>
        </w:rPr>
      </w:pPr>
      <w:bookmarkStart w:id="39" w:name="_Ref421267644"/>
      <w:r w:rsidRPr="006075A4">
        <w:rPr>
          <w:lang w:val="en-GB"/>
        </w:rPr>
        <w:t>European Court of Human Rights (ECHR)</w:t>
      </w:r>
      <w:bookmarkEnd w:id="39"/>
      <w:r w:rsidR="009913B6" w:rsidRPr="006075A4">
        <w:rPr>
          <w:lang w:val="en-GB"/>
        </w:rPr>
        <w:br/>
      </w:r>
    </w:p>
    <w:p w14:paraId="21FEEDFA" w14:textId="77777777" w:rsidR="00CA0A51" w:rsidRPr="00CA0A51" w:rsidRDefault="00CA0A51" w:rsidP="00CA0A51">
      <w:pPr>
        <w:pStyle w:val="ListParagraph"/>
        <w:numPr>
          <w:ilvl w:val="0"/>
          <w:numId w:val="42"/>
        </w:numPr>
        <w:spacing w:line="240" w:lineRule="auto"/>
        <w:ind w:left="426" w:hanging="66"/>
        <w:jc w:val="both"/>
        <w:rPr>
          <w:b/>
          <w:sz w:val="24"/>
          <w:lang w:val="en-GB"/>
        </w:rPr>
      </w:pPr>
      <w:r w:rsidRPr="00CA0A51">
        <w:rPr>
          <w:b/>
          <w:sz w:val="24"/>
          <w:lang w:val="en-GB"/>
        </w:rPr>
        <w:t>Application n°40355/11 - Boacă and Others v. Romania (7 January 2016)</w:t>
      </w:r>
    </w:p>
    <w:p w14:paraId="4BFC5A26" w14:textId="77777777" w:rsidR="00CA0A51" w:rsidRPr="00CA0A51" w:rsidRDefault="00CA0A51" w:rsidP="00CA0A51">
      <w:pPr>
        <w:spacing w:line="240" w:lineRule="auto"/>
        <w:jc w:val="both"/>
        <w:rPr>
          <w:lang w:val="en-GB"/>
        </w:rPr>
      </w:pPr>
      <w:r w:rsidRPr="00CA0A51">
        <w:rPr>
          <w:lang w:val="en-GB"/>
        </w:rPr>
        <w:t>Violation of Article 14 in conjunction with Article 3, concerning a case of alleged police brutality against members of a Roma family.</w:t>
      </w:r>
      <w:r>
        <w:rPr>
          <w:lang w:val="en-GB"/>
        </w:rPr>
        <w:t xml:space="preserve"> The case is accessible </w:t>
      </w:r>
      <w:hyperlink r:id="rId57" w:history="1">
        <w:r w:rsidRPr="00CA0A51">
          <w:rPr>
            <w:rStyle w:val="Hyperlink"/>
            <w:lang w:val="en-GB"/>
          </w:rPr>
          <w:t>here</w:t>
        </w:r>
      </w:hyperlink>
      <w:r>
        <w:rPr>
          <w:lang w:val="en-GB"/>
        </w:rPr>
        <w:t xml:space="preserve">. </w:t>
      </w:r>
    </w:p>
    <w:p w14:paraId="6C847171" w14:textId="36BB71C9" w:rsidR="007F2490" w:rsidRPr="00FB2B00" w:rsidRDefault="00FB2B00" w:rsidP="00FB2B00">
      <w:pPr>
        <w:pStyle w:val="ListParagraph"/>
        <w:numPr>
          <w:ilvl w:val="0"/>
          <w:numId w:val="37"/>
        </w:numPr>
        <w:spacing w:line="240" w:lineRule="auto"/>
        <w:jc w:val="both"/>
        <w:rPr>
          <w:b/>
          <w:sz w:val="24"/>
          <w:lang w:val="en-GB"/>
        </w:rPr>
      </w:pPr>
      <w:r w:rsidRPr="00FB2B00">
        <w:rPr>
          <w:b/>
          <w:sz w:val="24"/>
          <w:lang w:val="en-GB"/>
        </w:rPr>
        <w:t>Application n</w:t>
      </w:r>
      <w:r w:rsidR="00CA0A51">
        <w:rPr>
          <w:b/>
          <w:sz w:val="24"/>
          <w:lang w:val="en-GB"/>
        </w:rPr>
        <w:t>°</w:t>
      </w:r>
      <w:r w:rsidRPr="00FB2B00">
        <w:rPr>
          <w:b/>
          <w:sz w:val="24"/>
          <w:lang w:val="en-GB"/>
        </w:rPr>
        <w:t>22947/13 - Magyar Tartalomszolgáltatók Egyesülete and Index.hu Zrt v. Hungary</w:t>
      </w:r>
      <w:r>
        <w:rPr>
          <w:b/>
          <w:sz w:val="24"/>
          <w:lang w:val="en-GB"/>
        </w:rPr>
        <w:t xml:space="preserve"> (2 February 2016)</w:t>
      </w:r>
    </w:p>
    <w:p w14:paraId="49C0D026" w14:textId="7BA35264" w:rsidR="00FB2B00" w:rsidRDefault="00FB2B00" w:rsidP="00FB2B00">
      <w:pPr>
        <w:spacing w:line="240" w:lineRule="auto"/>
        <w:jc w:val="both"/>
        <w:rPr>
          <w:lang w:val="en-GB"/>
        </w:rPr>
      </w:pPr>
      <w:r>
        <w:rPr>
          <w:lang w:val="en-GB"/>
        </w:rPr>
        <w:t xml:space="preserve">The ECHR ruled </w:t>
      </w:r>
      <w:r w:rsidRPr="00FB2B00">
        <w:rPr>
          <w:lang w:val="en-GB"/>
        </w:rPr>
        <w:t>that a self-regulatory body and an Internet news portal were not liable for the offensive online comments of their readers.</w:t>
      </w:r>
      <w:r>
        <w:rPr>
          <w:lang w:val="en-GB"/>
        </w:rPr>
        <w:t xml:space="preserve"> More information is available</w:t>
      </w:r>
      <w:hyperlink r:id="rId58" w:history="1">
        <w:r w:rsidRPr="00FB2B00">
          <w:rPr>
            <w:rStyle w:val="Hyperlink"/>
            <w:lang w:val="en-GB"/>
          </w:rPr>
          <w:t xml:space="preserve"> here</w:t>
        </w:r>
      </w:hyperlink>
      <w:r>
        <w:rPr>
          <w:lang w:val="en-GB"/>
        </w:rPr>
        <w:t>.</w:t>
      </w:r>
    </w:p>
    <w:p w14:paraId="439CB2D3" w14:textId="7C754879" w:rsidR="00FB2B00" w:rsidRPr="00FB2B00" w:rsidRDefault="00FB2B00" w:rsidP="00FB2B00">
      <w:pPr>
        <w:pStyle w:val="ListParagraph"/>
        <w:numPr>
          <w:ilvl w:val="0"/>
          <w:numId w:val="37"/>
        </w:numPr>
        <w:spacing w:line="240" w:lineRule="auto"/>
        <w:jc w:val="both"/>
        <w:rPr>
          <w:b/>
          <w:sz w:val="24"/>
          <w:lang w:val="en-GB"/>
        </w:rPr>
      </w:pPr>
      <w:r w:rsidRPr="00FB2B00">
        <w:rPr>
          <w:b/>
          <w:sz w:val="24"/>
          <w:lang w:val="en-GB"/>
        </w:rPr>
        <w:t>Application n°7186/09 - Di Trizio v. Switzerland (2 February 2016)</w:t>
      </w:r>
    </w:p>
    <w:p w14:paraId="30113AD5" w14:textId="6D2B051A" w:rsidR="00FB2B00" w:rsidRDefault="00FB2B00" w:rsidP="00FB2B00">
      <w:pPr>
        <w:spacing w:line="240" w:lineRule="auto"/>
        <w:jc w:val="both"/>
        <w:rPr>
          <w:lang w:val="en-GB"/>
        </w:rPr>
      </w:pPr>
      <w:r w:rsidRPr="00FB2B00">
        <w:rPr>
          <w:lang w:val="en-GB"/>
        </w:rPr>
        <w:t xml:space="preserve">Discrimination </w:t>
      </w:r>
      <w:r>
        <w:rPr>
          <w:lang w:val="en-GB"/>
        </w:rPr>
        <w:t xml:space="preserve">on the ground of sex </w:t>
      </w:r>
      <w:r w:rsidRPr="00FB2B00">
        <w:rPr>
          <w:lang w:val="en-GB"/>
        </w:rPr>
        <w:t>in the calculation of a disability allowance in Switzerland</w:t>
      </w:r>
      <w:r>
        <w:rPr>
          <w:lang w:val="en-GB"/>
        </w:rPr>
        <w:t xml:space="preserve">. The summary of the case is available </w:t>
      </w:r>
      <w:hyperlink r:id="rId59" w:history="1">
        <w:r w:rsidRPr="00FB2B00">
          <w:rPr>
            <w:rStyle w:val="Hyperlink"/>
            <w:lang w:val="en-GB"/>
          </w:rPr>
          <w:t>here</w:t>
        </w:r>
      </w:hyperlink>
      <w:r>
        <w:rPr>
          <w:lang w:val="en-GB"/>
        </w:rPr>
        <w:t xml:space="preserve">. </w:t>
      </w:r>
    </w:p>
    <w:p w14:paraId="14C732D1" w14:textId="77777777" w:rsidR="007F2490" w:rsidRPr="007F2490" w:rsidRDefault="007F2490" w:rsidP="00685E24">
      <w:pPr>
        <w:spacing w:line="240" w:lineRule="auto"/>
        <w:rPr>
          <w:lang w:val="en-GB"/>
        </w:rPr>
      </w:pPr>
    </w:p>
    <w:p w14:paraId="3000DF1B" w14:textId="77777777" w:rsidR="007F2490" w:rsidRDefault="007F2490" w:rsidP="00685E24">
      <w:pPr>
        <w:spacing w:line="240" w:lineRule="auto"/>
        <w:jc w:val="both"/>
        <w:rPr>
          <w:lang w:val="en-US"/>
        </w:rPr>
      </w:pPr>
    </w:p>
    <w:p w14:paraId="63669F8E" w14:textId="77777777" w:rsidR="00685E24" w:rsidRPr="007F2490" w:rsidRDefault="00685E24" w:rsidP="00685E24">
      <w:pPr>
        <w:spacing w:line="240" w:lineRule="auto"/>
        <w:jc w:val="both"/>
        <w:rPr>
          <w:lang w:val="en-US"/>
        </w:rPr>
      </w:pPr>
    </w:p>
    <w:sectPr w:rsidR="00685E24" w:rsidRPr="007F2490" w:rsidSect="006415D5">
      <w:footerReference w:type="default" r:id="rId6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3514480E" w:rsidR="00B07813" w:rsidRDefault="00B07813">
        <w:pPr>
          <w:pStyle w:val="Footer"/>
          <w:jc w:val="center"/>
        </w:pPr>
        <w:r>
          <w:fldChar w:fldCharType="begin"/>
        </w:r>
        <w:r>
          <w:instrText xml:space="preserve"> PAGE   \* MERGEFORMAT </w:instrText>
        </w:r>
        <w:r>
          <w:fldChar w:fldCharType="separate"/>
        </w:r>
        <w:r w:rsidR="006A00E6">
          <w:rPr>
            <w:noProof/>
          </w:rPr>
          <w:t>1</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92C"/>
    <w:multiLevelType w:val="hybridMultilevel"/>
    <w:tmpl w:val="EA0A3686"/>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7C0647"/>
    <w:multiLevelType w:val="hybridMultilevel"/>
    <w:tmpl w:val="FBDCF00E"/>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77274B"/>
    <w:multiLevelType w:val="hybridMultilevel"/>
    <w:tmpl w:val="92D8FFD4"/>
    <w:lvl w:ilvl="0" w:tplc="6B96D45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B958CA"/>
    <w:multiLevelType w:val="hybridMultilevel"/>
    <w:tmpl w:val="BF967650"/>
    <w:lvl w:ilvl="0" w:tplc="709203BC">
      <w:numFmt w:val="bullet"/>
      <w:lvlText w:val="•"/>
      <w:lvlJc w:val="left"/>
      <w:pPr>
        <w:ind w:left="1065" w:hanging="705"/>
      </w:pPr>
      <w:rPr>
        <w:rFonts w:ascii="Calibri" w:eastAsiaTheme="minorHAnsi" w:hAnsi="Calibri" w:cstheme="minorBidi"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5E048A"/>
    <w:multiLevelType w:val="hybridMultilevel"/>
    <w:tmpl w:val="ACD4E798"/>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8720179"/>
    <w:multiLevelType w:val="hybridMultilevel"/>
    <w:tmpl w:val="74F090FC"/>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AA7651"/>
    <w:multiLevelType w:val="hybridMultilevel"/>
    <w:tmpl w:val="B902F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CC58C0"/>
    <w:multiLevelType w:val="hybridMultilevel"/>
    <w:tmpl w:val="1C6830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383646"/>
    <w:multiLevelType w:val="hybridMultilevel"/>
    <w:tmpl w:val="A6906C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B7504CB"/>
    <w:multiLevelType w:val="hybridMultilevel"/>
    <w:tmpl w:val="DB084F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1EF0E1E"/>
    <w:multiLevelType w:val="hybridMultilevel"/>
    <w:tmpl w:val="FE5C9986"/>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3"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771A11"/>
    <w:multiLevelType w:val="hybridMultilevel"/>
    <w:tmpl w:val="3C0C0832"/>
    <w:lvl w:ilvl="0" w:tplc="9488C558">
      <w:numFmt w:val="bullet"/>
      <w:lvlText w:val="•"/>
      <w:lvlJc w:val="left"/>
      <w:pPr>
        <w:ind w:left="1065" w:hanging="705"/>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54E1056"/>
    <w:multiLevelType w:val="hybridMultilevel"/>
    <w:tmpl w:val="D324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9951256"/>
    <w:multiLevelType w:val="hybridMultilevel"/>
    <w:tmpl w:val="37680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25"/>
  </w:num>
  <w:num w:numId="4">
    <w:abstractNumId w:val="34"/>
  </w:num>
  <w:num w:numId="5">
    <w:abstractNumId w:val="37"/>
  </w:num>
  <w:num w:numId="6">
    <w:abstractNumId w:val="24"/>
  </w:num>
  <w:num w:numId="7">
    <w:abstractNumId w:val="14"/>
  </w:num>
  <w:num w:numId="8">
    <w:abstractNumId w:val="18"/>
  </w:num>
  <w:num w:numId="9">
    <w:abstractNumId w:val="1"/>
  </w:num>
  <w:num w:numId="10">
    <w:abstractNumId w:val="20"/>
  </w:num>
  <w:num w:numId="11">
    <w:abstractNumId w:val="40"/>
  </w:num>
  <w:num w:numId="12">
    <w:abstractNumId w:val="33"/>
  </w:num>
  <w:num w:numId="13">
    <w:abstractNumId w:val="10"/>
  </w:num>
  <w:num w:numId="14">
    <w:abstractNumId w:val="30"/>
  </w:num>
  <w:num w:numId="15">
    <w:abstractNumId w:val="26"/>
  </w:num>
  <w:num w:numId="16">
    <w:abstractNumId w:val="6"/>
  </w:num>
  <w:num w:numId="17">
    <w:abstractNumId w:val="28"/>
  </w:num>
  <w:num w:numId="18">
    <w:abstractNumId w:val="13"/>
  </w:num>
  <w:num w:numId="19">
    <w:abstractNumId w:val="8"/>
  </w:num>
  <w:num w:numId="20">
    <w:abstractNumId w:val="17"/>
  </w:num>
  <w:num w:numId="21">
    <w:abstractNumId w:val="31"/>
  </w:num>
  <w:num w:numId="22">
    <w:abstractNumId w:val="42"/>
  </w:num>
  <w:num w:numId="23">
    <w:abstractNumId w:val="9"/>
  </w:num>
  <w:num w:numId="24">
    <w:abstractNumId w:val="22"/>
  </w:num>
  <w:num w:numId="25">
    <w:abstractNumId w:val="45"/>
  </w:num>
  <w:num w:numId="26">
    <w:abstractNumId w:val="32"/>
  </w:num>
  <w:num w:numId="27">
    <w:abstractNumId w:val="11"/>
  </w:num>
  <w:num w:numId="28">
    <w:abstractNumId w:val="16"/>
  </w:num>
  <w:num w:numId="29">
    <w:abstractNumId w:val="21"/>
  </w:num>
  <w:num w:numId="30">
    <w:abstractNumId w:val="38"/>
  </w:num>
  <w:num w:numId="31">
    <w:abstractNumId w:val="44"/>
  </w:num>
  <w:num w:numId="32">
    <w:abstractNumId w:val="41"/>
  </w:num>
  <w:num w:numId="33">
    <w:abstractNumId w:val="15"/>
  </w:num>
  <w:num w:numId="34">
    <w:abstractNumId w:val="43"/>
  </w:num>
  <w:num w:numId="35">
    <w:abstractNumId w:val="4"/>
  </w:num>
  <w:num w:numId="36">
    <w:abstractNumId w:val="19"/>
  </w:num>
  <w:num w:numId="37">
    <w:abstractNumId w:val="27"/>
  </w:num>
  <w:num w:numId="38">
    <w:abstractNumId w:val="39"/>
  </w:num>
  <w:num w:numId="39">
    <w:abstractNumId w:val="23"/>
  </w:num>
  <w:num w:numId="40">
    <w:abstractNumId w:val="29"/>
  </w:num>
  <w:num w:numId="41">
    <w:abstractNumId w:val="7"/>
  </w:num>
  <w:num w:numId="42">
    <w:abstractNumId w:val="0"/>
  </w:num>
  <w:num w:numId="43">
    <w:abstractNumId w:val="12"/>
  </w:num>
  <w:num w:numId="44">
    <w:abstractNumId w:val="36"/>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48AB"/>
    <w:rsid w:val="00036CEA"/>
    <w:rsid w:val="000515A0"/>
    <w:rsid w:val="000B22AC"/>
    <w:rsid w:val="000B784B"/>
    <w:rsid w:val="000D5978"/>
    <w:rsid w:val="000F46D8"/>
    <w:rsid w:val="000F79AC"/>
    <w:rsid w:val="001140DC"/>
    <w:rsid w:val="0014109E"/>
    <w:rsid w:val="0016113D"/>
    <w:rsid w:val="00175EA1"/>
    <w:rsid w:val="00177C56"/>
    <w:rsid w:val="0018390B"/>
    <w:rsid w:val="0018402A"/>
    <w:rsid w:val="001B305F"/>
    <w:rsid w:val="001C172F"/>
    <w:rsid w:val="001E3467"/>
    <w:rsid w:val="00207FD0"/>
    <w:rsid w:val="00217BAD"/>
    <w:rsid w:val="0023326D"/>
    <w:rsid w:val="00255FDB"/>
    <w:rsid w:val="002869BD"/>
    <w:rsid w:val="00291191"/>
    <w:rsid w:val="002B08F4"/>
    <w:rsid w:val="002B3154"/>
    <w:rsid w:val="002C3BF0"/>
    <w:rsid w:val="0034362B"/>
    <w:rsid w:val="0038736A"/>
    <w:rsid w:val="003C34AB"/>
    <w:rsid w:val="003C3D7A"/>
    <w:rsid w:val="003C47D8"/>
    <w:rsid w:val="004275EC"/>
    <w:rsid w:val="0044701A"/>
    <w:rsid w:val="0048576D"/>
    <w:rsid w:val="004A7771"/>
    <w:rsid w:val="004F3A17"/>
    <w:rsid w:val="005047E4"/>
    <w:rsid w:val="0051290D"/>
    <w:rsid w:val="005165D2"/>
    <w:rsid w:val="00522381"/>
    <w:rsid w:val="00542158"/>
    <w:rsid w:val="005559D8"/>
    <w:rsid w:val="00566380"/>
    <w:rsid w:val="005978FA"/>
    <w:rsid w:val="005A767B"/>
    <w:rsid w:val="005B04DF"/>
    <w:rsid w:val="005D3458"/>
    <w:rsid w:val="005F2A98"/>
    <w:rsid w:val="0060251B"/>
    <w:rsid w:val="006075A4"/>
    <w:rsid w:val="00624AFF"/>
    <w:rsid w:val="006415D5"/>
    <w:rsid w:val="0067153F"/>
    <w:rsid w:val="00685E24"/>
    <w:rsid w:val="006A00E6"/>
    <w:rsid w:val="006C3CD5"/>
    <w:rsid w:val="006F2372"/>
    <w:rsid w:val="00702D8C"/>
    <w:rsid w:val="007176ED"/>
    <w:rsid w:val="00757D6D"/>
    <w:rsid w:val="00792C11"/>
    <w:rsid w:val="007F2490"/>
    <w:rsid w:val="00837FF6"/>
    <w:rsid w:val="00845CD1"/>
    <w:rsid w:val="00871587"/>
    <w:rsid w:val="008719D8"/>
    <w:rsid w:val="00922F1E"/>
    <w:rsid w:val="00935BEB"/>
    <w:rsid w:val="00943392"/>
    <w:rsid w:val="00952150"/>
    <w:rsid w:val="00975348"/>
    <w:rsid w:val="0098311A"/>
    <w:rsid w:val="009913B6"/>
    <w:rsid w:val="009B4DBA"/>
    <w:rsid w:val="009C2CBE"/>
    <w:rsid w:val="00A00D92"/>
    <w:rsid w:val="00A34EB9"/>
    <w:rsid w:val="00A359B5"/>
    <w:rsid w:val="00A73FA9"/>
    <w:rsid w:val="00A74E27"/>
    <w:rsid w:val="00A83053"/>
    <w:rsid w:val="00A86A2F"/>
    <w:rsid w:val="00A91933"/>
    <w:rsid w:val="00A924CE"/>
    <w:rsid w:val="00A965AC"/>
    <w:rsid w:val="00A975CF"/>
    <w:rsid w:val="00AB116C"/>
    <w:rsid w:val="00AB5E96"/>
    <w:rsid w:val="00B05B85"/>
    <w:rsid w:val="00B07813"/>
    <w:rsid w:val="00B10AD4"/>
    <w:rsid w:val="00B33A99"/>
    <w:rsid w:val="00B40C5A"/>
    <w:rsid w:val="00B81B74"/>
    <w:rsid w:val="00BC522B"/>
    <w:rsid w:val="00BD7FB3"/>
    <w:rsid w:val="00BE1F3C"/>
    <w:rsid w:val="00BE506C"/>
    <w:rsid w:val="00C07FAC"/>
    <w:rsid w:val="00C117CA"/>
    <w:rsid w:val="00C32872"/>
    <w:rsid w:val="00C842B1"/>
    <w:rsid w:val="00C91705"/>
    <w:rsid w:val="00C92B6C"/>
    <w:rsid w:val="00CA0A51"/>
    <w:rsid w:val="00CB2E4E"/>
    <w:rsid w:val="00CF7284"/>
    <w:rsid w:val="00D03DD9"/>
    <w:rsid w:val="00D05673"/>
    <w:rsid w:val="00D1064D"/>
    <w:rsid w:val="00D54367"/>
    <w:rsid w:val="00D80D0E"/>
    <w:rsid w:val="00DA1BD6"/>
    <w:rsid w:val="00E014FB"/>
    <w:rsid w:val="00E031D4"/>
    <w:rsid w:val="00E300D5"/>
    <w:rsid w:val="00E64486"/>
    <w:rsid w:val="00E91D96"/>
    <w:rsid w:val="00EA1275"/>
    <w:rsid w:val="00EA2173"/>
    <w:rsid w:val="00EC465D"/>
    <w:rsid w:val="00F23218"/>
    <w:rsid w:val="00F31126"/>
    <w:rsid w:val="00F66D27"/>
    <w:rsid w:val="00F92C30"/>
    <w:rsid w:val="00F93FE2"/>
    <w:rsid w:val="00FA6B5D"/>
    <w:rsid w:val="00FB2B00"/>
    <w:rsid w:val="00FC687B"/>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A80EF40A-4736-4E78-909F-604BA0DF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7D8"/>
    <w:pPr>
      <w:keepNext/>
      <w:keepLines/>
      <w:spacing w:before="240" w:after="0"/>
      <w:jc w:val="center"/>
      <w:outlineLvl w:val="0"/>
    </w:pPr>
    <w:rPr>
      <w:rFonts w:ascii="Tahoma" w:eastAsiaTheme="majorEastAsia" w:hAnsi="Tahom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3C47D8"/>
    <w:pPr>
      <w:keepNext/>
      <w:keepLines/>
      <w:spacing w:before="40" w:after="0"/>
      <w:outlineLvl w:val="1"/>
    </w:pPr>
    <w:rPr>
      <w:rFonts w:asciiTheme="majorHAnsi" w:eastAsiaTheme="majorEastAsia" w:hAnsiTheme="majorHAnsi" w:cstheme="majorBidi"/>
      <w:b/>
      <w:color w:val="FFC000"/>
      <w:sz w:val="26"/>
      <w:szCs w:val="26"/>
    </w:rPr>
  </w:style>
  <w:style w:type="paragraph" w:styleId="Heading3">
    <w:name w:val="heading 3"/>
    <w:basedOn w:val="Normal"/>
    <w:next w:val="Normal"/>
    <w:link w:val="Heading3Char"/>
    <w:uiPriority w:val="9"/>
    <w:semiHidden/>
    <w:unhideWhenUsed/>
    <w:qFormat/>
    <w:rsid w:val="002B3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7D8"/>
    <w:rPr>
      <w:rFonts w:ascii="Tahoma" w:eastAsiaTheme="majorEastAsia" w:hAnsi="Tahoma" w:cstheme="majorBidi"/>
      <w:b/>
      <w:color w:val="1F4E79" w:themeColor="accent1" w:themeShade="80"/>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3C47D8"/>
    <w:rPr>
      <w:rFonts w:asciiTheme="majorHAnsi" w:eastAsiaTheme="majorEastAsia" w:hAnsiTheme="majorHAnsi" w:cstheme="majorBidi"/>
      <w:b/>
      <w:color w:val="FFC000"/>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rmalWeb">
    <w:name w:val="Normal (Web)"/>
    <w:basedOn w:val="Normal"/>
    <w:uiPriority w:val="99"/>
    <w:semiHidden/>
    <w:unhideWhenUsed/>
    <w:rsid w:val="007F2490"/>
    <w:pPr>
      <w:spacing w:before="100" w:beforeAutospacing="1" w:after="100" w:afterAutospacing="1" w:line="240" w:lineRule="auto"/>
    </w:pPr>
    <w:rPr>
      <w:rFonts w:ascii="Times New Roman" w:hAnsi="Times New Roman" w:cs="Times New Roman"/>
      <w:sz w:val="24"/>
      <w:szCs w:val="24"/>
      <w:lang w:eastAsia="fr-BE"/>
    </w:rPr>
  </w:style>
  <w:style w:type="character" w:styleId="Emphasis">
    <w:name w:val="Emphasis"/>
    <w:basedOn w:val="DefaultParagraphFont"/>
    <w:uiPriority w:val="20"/>
    <w:qFormat/>
    <w:rsid w:val="007F2490"/>
    <w:rPr>
      <w:i/>
      <w:iCs/>
    </w:rPr>
  </w:style>
  <w:style w:type="character" w:customStyle="1" w:styleId="Heading3Char">
    <w:name w:val="Heading 3 Char"/>
    <w:basedOn w:val="DefaultParagraphFont"/>
    <w:link w:val="Heading3"/>
    <w:uiPriority w:val="9"/>
    <w:semiHidden/>
    <w:rsid w:val="002B315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07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17634">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035543780">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17185905">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clusion-europe.eu/wp-content/uploads/2015/03/IE_policypaper_EAA_final.pdf" TargetMode="External"/><Relationship Id="rId18" Type="http://schemas.openxmlformats.org/officeDocument/2006/relationships/hyperlink" Target="mailto:Jessica.machacova@equineteurope.org" TargetMode="External"/><Relationship Id="rId26" Type="http://schemas.openxmlformats.org/officeDocument/2006/relationships/image" Target="media/image2.png"/><Relationship Id="rId39" Type="http://schemas.openxmlformats.org/officeDocument/2006/relationships/hyperlink" Target="http://www.ardi-ep.eu/" TargetMode="External"/><Relationship Id="rId21" Type="http://schemas.openxmlformats.org/officeDocument/2006/relationships/hyperlink" Target="http://ec.europa.eu/justice/newsroom/fundamental-rights/news/160127_en.htm" TargetMode="External"/><Relationship Id="rId34" Type="http://schemas.openxmlformats.org/officeDocument/2006/relationships/hyperlink" Target="http://ec.europa.eu/justice/gender-equality/files/documents/strategy_equality_women_men_en.pdf" TargetMode="External"/><Relationship Id="rId42" Type="http://schemas.openxmlformats.org/officeDocument/2006/relationships/hyperlink" Target="http://weekagainstracism.eu/" TargetMode="External"/><Relationship Id="rId47" Type="http://schemas.openxmlformats.org/officeDocument/2006/relationships/hyperlink" Target="http://www.coe.int/t/democracy/source/publications/Cyberhate_2015_en.pdf" TargetMode="External"/><Relationship Id="rId50" Type="http://schemas.openxmlformats.org/officeDocument/2006/relationships/hyperlink" Target="http://www.ilga-europe.org/values-and-frames" TargetMode="External"/><Relationship Id="rId55" Type="http://schemas.openxmlformats.org/officeDocument/2006/relationships/hyperlink" Target="http://curia.europa.eu/jcms/upload/docs/application/pdf/2016-01/cp160004e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EN/TXT/?uri=celex:52010DC0636" TargetMode="External"/><Relationship Id="rId20" Type="http://schemas.openxmlformats.org/officeDocument/2006/relationships/hyperlink" Target="http://eur-lex.europa.eu/legal-content/EN/ALL/?uri=CELEX:32008F0913" TargetMode="External"/><Relationship Id="rId29" Type="http://schemas.openxmlformats.org/officeDocument/2006/relationships/hyperlink" Target="mailto:Jessica.machacova@equineteurope.org" TargetMode="External"/><Relationship Id="rId41" Type="http://schemas.openxmlformats.org/officeDocument/2006/relationships/hyperlink" Target="http://www.unitedagainstracism.org/" TargetMode="External"/><Relationship Id="rId54" Type="http://schemas.openxmlformats.org/officeDocument/2006/relationships/hyperlink" Target="http://www.coe.int/en/web/commissioner/-/travellers-time-to-counter-deep-rooted-hostili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mployment_social/COM_2015_615_2_PROPOSAL_FOR_A_DIRECTIVE_EN_V6_P1_824368.DOCX" TargetMode="External"/><Relationship Id="rId24" Type="http://schemas.openxmlformats.org/officeDocument/2006/relationships/hyperlink" Target="http://fra.europa.eu/surveys/index.php/816988/lang-en" TargetMode="External"/><Relationship Id="rId32" Type="http://schemas.openxmlformats.org/officeDocument/2006/relationships/hyperlink" Target="http://ec.europa.eu/justice/gender-equality/files/documents/151203_strategic_engagement_en.pdf" TargetMode="External"/><Relationship Id="rId37" Type="http://schemas.openxmlformats.org/officeDocument/2006/relationships/hyperlink" Target="http://www.coe.int/t/dghl/standardsetting/equality/02_GenderEqualityProgramme/Gender%20Equality%20Strategy%20-%20Annual%20Report%202015.pdf" TargetMode="External"/><Relationship Id="rId40" Type="http://schemas.openxmlformats.org/officeDocument/2006/relationships/hyperlink" Target="http://www.ardi-ep.eu/about/our-bureau/" TargetMode="External"/><Relationship Id="rId45" Type="http://schemas.openxmlformats.org/officeDocument/2006/relationships/hyperlink" Target="http://ec.europa.eu/justice/grants1/calls/2015_action_grants/just_2015_rdis_ag_disc_en.htm" TargetMode="External"/><Relationship Id="rId53" Type="http://schemas.openxmlformats.org/officeDocument/2006/relationships/hyperlink" Target="http://goodpracticeroma.ppa.coe.int/fr" TargetMode="External"/><Relationship Id="rId58" Type="http://schemas.openxmlformats.org/officeDocument/2006/relationships/hyperlink" Target="http://www.humanrightseurope.org/2016/02/hungary-court-ruling-on-liability-for-vulgar-and-offensive-online-comments/" TargetMode="External"/><Relationship Id="rId5" Type="http://schemas.openxmlformats.org/officeDocument/2006/relationships/webSettings" Target="webSettings.xml"/><Relationship Id="rId15" Type="http://schemas.openxmlformats.org/officeDocument/2006/relationships/hyperlink" Target="http://www.edf-feph.org/Page_Generale.asp?DocID=13855&amp;thebloc=34403" TargetMode="External"/><Relationship Id="rId23" Type="http://schemas.openxmlformats.org/officeDocument/2006/relationships/hyperlink" Target="http://fra.europa.eu/surveys/index.php/738118/lang-en" TargetMode="External"/><Relationship Id="rId28" Type="http://schemas.openxmlformats.org/officeDocument/2006/relationships/hyperlink" Target="http://ec.europa.eu/smart-regulation/roadmaps/docs/2015_just_012_new_initiative_replacing_maternity_leave_directive_en.pdf" TargetMode="External"/><Relationship Id="rId36" Type="http://schemas.openxmlformats.org/officeDocument/2006/relationships/hyperlink" Target="http://eige.europa.eu/news-and-events/news/serbia-first-eu-candidate-country-produce-gender-equality-index" TargetMode="External"/><Relationship Id="rId49" Type="http://schemas.openxmlformats.org/officeDocument/2006/relationships/hyperlink" Target="http://publicinterest.org.uk/" TargetMode="External"/><Relationship Id="rId57" Type="http://schemas.openxmlformats.org/officeDocument/2006/relationships/hyperlink" Target="http://hudoc.echr.coe.int/app/conversion/pdf?library=ECHR&amp;id=003-5265242-6540832&amp;filename=Forthcoming%20judgments%20and%20decisions%2012-14.01.16.pdf" TargetMode="External"/><Relationship Id="rId61" Type="http://schemas.openxmlformats.org/officeDocument/2006/relationships/fontTable" Target="fontTable.xml"/><Relationship Id="rId10" Type="http://schemas.openxmlformats.org/officeDocument/2006/relationships/hyperlink" Target="http://europa.eu/rapid/press-release_IP-15-6147_en.htm" TargetMode="External"/><Relationship Id="rId19" Type="http://schemas.openxmlformats.org/officeDocument/2006/relationships/hyperlink" Target="Equinet%20Perspective%20%22Realising%20Rights:%20Equality%20Bodies%20and%20People%20with%20Disabilities.%20Supporting%20the%20review%20of%20the%20European%20Union%20Disability%20Strategy%202010-2020%22" TargetMode="External"/><Relationship Id="rId31" Type="http://schemas.openxmlformats.org/officeDocument/2006/relationships/hyperlink" Target="http://www.europarl.europa.eu/news/en/news-room/20160129IPR11936/Women's-rights-MEPs-urge-Commission-to-table-a-new-gender-equality-strategy" TargetMode="External"/><Relationship Id="rId44" Type="http://schemas.openxmlformats.org/officeDocument/2006/relationships/hyperlink" Target="mailto:sarah.cookeodowd@equineteurope.org" TargetMode="External"/><Relationship Id="rId52" Type="http://schemas.openxmlformats.org/officeDocument/2006/relationships/hyperlink" Target="http://ec.europa.eu/justice/fundamental-rights/racism-xenophobia/combatting-antisemitism/index_en.ht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df-feph.org/" TargetMode="External"/><Relationship Id="rId22" Type="http://schemas.openxmlformats.org/officeDocument/2006/relationships/hyperlink" Target="mailto:hatecrime@fra.europa.eu" TargetMode="External"/><Relationship Id="rId27" Type="http://schemas.openxmlformats.org/officeDocument/2006/relationships/hyperlink" Target="http://ec.europa.eu/justice/newsroom/gender-equality/opinion/1511_roadmap_reconciliation_en.htm" TargetMode="External"/><Relationship Id="rId30" Type="http://schemas.openxmlformats.org/officeDocument/2006/relationships/hyperlink" Target="http://www.equineteurope.org/Equality-Bodies-promoting-a-better" TargetMode="External"/><Relationship Id="rId35" Type="http://schemas.openxmlformats.org/officeDocument/2006/relationships/hyperlink" Target="http://www.equineteurope.org/The-Work-of-Equality-Bodies" TargetMode="External"/><Relationship Id="rId43" Type="http://schemas.openxmlformats.org/officeDocument/2006/relationships/hyperlink" Target="http://weekagainstracism.eu/" TargetMode="External"/><Relationship Id="rId48" Type="http://schemas.openxmlformats.org/officeDocument/2006/relationships/hyperlink" Target="http://www.ilga-europe.org/values-and-frames" TargetMode="External"/><Relationship Id="rId56" Type="http://schemas.openxmlformats.org/officeDocument/2006/relationships/hyperlink" Target="http://www.equineteurope.org/Equality-Bodies-and-Freedom-of" TargetMode="External"/><Relationship Id="rId8" Type="http://schemas.openxmlformats.org/officeDocument/2006/relationships/image" Target="media/image1.png"/><Relationship Id="rId51" Type="http://schemas.openxmlformats.org/officeDocument/2006/relationships/hyperlink" Target="http://www.coe.int/en/web/sogi/-/a-short-guide-to-legal-gender-recognition?redirect=http://www.coe.int/en/web/sogi/home?p_p_id=101_INSTANCE_DBbuuXVUomKf&amp;p_p_lifecycle=0&amp;p_p_state=normal&amp;p_p_mode=view&amp;p_p_col_id=column-1&amp;p_p_col_count=2" TargetMode="External"/><Relationship Id="rId3" Type="http://schemas.openxmlformats.org/officeDocument/2006/relationships/styles" Target="styles.xml"/><Relationship Id="rId12" Type="http://schemas.openxmlformats.org/officeDocument/2006/relationships/hyperlink" Target="http://inclusion-europe.eu/" TargetMode="External"/><Relationship Id="rId17" Type="http://schemas.openxmlformats.org/officeDocument/2006/relationships/hyperlink" Target="https://ec.europa.eu/eusurvey/runner/c29a28c8-9a4b-cada-17ba-f81c55580c51" TargetMode="External"/><Relationship Id="rId25" Type="http://schemas.openxmlformats.org/officeDocument/2006/relationships/hyperlink" Target="http://ec.europa.eu/social/main.jsp?langId=en&amp;catId=89&amp;newsId=2442&amp;furtherNews=yes" TargetMode="External"/><Relationship Id="rId33" Type="http://schemas.openxmlformats.org/officeDocument/2006/relationships/hyperlink" Target="http://ec.europa.eu/justice/gender-equality/files/documents/151203_strategic_engagement_en.pdf" TargetMode="External"/><Relationship Id="rId38" Type="http://schemas.openxmlformats.org/officeDocument/2006/relationships/image" Target="media/image3.png"/><Relationship Id="rId46" Type="http://schemas.openxmlformats.org/officeDocument/2006/relationships/hyperlink" Target="http://www.erionet.eu/doc-snapshot_2015" TargetMode="External"/><Relationship Id="rId59" Type="http://schemas.openxmlformats.org/officeDocument/2006/relationships/hyperlink" Target="http://hudoc.echr.coe.int/app/conversion/pdf?library=ECHR&amp;id=003-5288196-6577219&amp;filename=Judgment%20di%20Trizio%20v.%20Switzerland%20-%20discrimination%20in%20the%20calculation%20of%20a%20disability%20allow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EB53-5CAA-439F-863B-C7051024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2978</Words>
  <Characters>16381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17</cp:revision>
  <cp:lastPrinted>2015-06-05T09:25:00Z</cp:lastPrinted>
  <dcterms:created xsi:type="dcterms:W3CDTF">2015-06-12T12:43:00Z</dcterms:created>
  <dcterms:modified xsi:type="dcterms:W3CDTF">2016-02-05T15:41:00Z</dcterms:modified>
</cp:coreProperties>
</file>