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26731" w14:textId="75D5AD49" w:rsidR="00CF7284" w:rsidRPr="004F608B" w:rsidRDefault="004F608B" w:rsidP="005A59E4">
      <w:pPr>
        <w:spacing w:line="240" w:lineRule="auto"/>
        <w:jc w:val="both"/>
        <w:rPr>
          <w:b/>
          <w:noProof/>
          <w:sz w:val="28"/>
          <w:lang w:val="en-GB" w:eastAsia="fr-BE"/>
        </w:rPr>
      </w:pPr>
      <w:r>
        <w:rPr>
          <w:b/>
          <w:noProof/>
          <w:sz w:val="28"/>
          <w:lang w:eastAsia="fr-BE"/>
        </w:rPr>
        <w:drawing>
          <wp:anchor distT="0" distB="0" distL="114300" distR="114300" simplePos="0" relativeHeight="251663360" behindDoc="0" locked="0" layoutInCell="1" allowOverlap="1" wp14:anchorId="36BE982E" wp14:editId="6B48CB3B">
            <wp:simplePos x="0" y="0"/>
            <wp:positionH relativeFrom="margin">
              <wp:posOffset>-685800</wp:posOffset>
            </wp:positionH>
            <wp:positionV relativeFrom="margin">
              <wp:posOffset>-914400</wp:posOffset>
            </wp:positionV>
            <wp:extent cx="7553325" cy="2082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7C4" w:rsidRPr="001A3BA9">
        <w:rPr>
          <w:b/>
          <w:noProof/>
          <w:sz w:val="28"/>
          <w:lang w:val="en-GB" w:eastAsia="fr-BE"/>
        </w:rPr>
        <w:br/>
      </w:r>
      <w:r w:rsidR="00F31126" w:rsidRPr="001A3BA9">
        <w:rPr>
          <w:b/>
          <w:lang w:val="en-GB"/>
        </w:rPr>
        <w:t xml:space="preserve">Dear Equinet Members, </w:t>
      </w:r>
      <w:r w:rsidR="00F31126" w:rsidRPr="001A3BA9">
        <w:rPr>
          <w:b/>
          <w:lang w:val="en-GB"/>
        </w:rPr>
        <w:tab/>
      </w:r>
      <w:r w:rsidR="00F31126" w:rsidRPr="001A3BA9">
        <w:rPr>
          <w:b/>
          <w:lang w:val="en-GB"/>
        </w:rPr>
        <w:br/>
      </w:r>
      <w:r w:rsidR="00F31126" w:rsidRPr="001A3BA9">
        <w:rPr>
          <w:lang w:val="en-GB"/>
        </w:rPr>
        <w:t xml:space="preserve">This Members’ Bulletin gathers </w:t>
      </w:r>
      <w:r w:rsidR="00F31126" w:rsidRPr="001A3BA9">
        <w:rPr>
          <w:b/>
          <w:lang w:val="en-GB"/>
        </w:rPr>
        <w:t>the latest European Union (EU) and international developments</w:t>
      </w:r>
      <w:r w:rsidR="00F31126" w:rsidRPr="001A3BA9">
        <w:rPr>
          <w:lang w:val="en-GB"/>
        </w:rPr>
        <w:t xml:space="preserve">. It aims to give you an </w:t>
      </w:r>
      <w:r w:rsidR="00F31126" w:rsidRPr="001A3BA9">
        <w:rPr>
          <w:b/>
          <w:lang w:val="en-GB"/>
        </w:rPr>
        <w:t>overview of relevant policy and legal developments</w:t>
      </w:r>
      <w:r w:rsidR="00F31126" w:rsidRPr="001A3BA9">
        <w:rPr>
          <w:lang w:val="en-GB"/>
        </w:rPr>
        <w:t xml:space="preserve">, as well as latest calls for interest, funding opportunities and upcoming events. We very much hope this members’ bulletin will be useful in your day-to-day work and we would be grateful if you could </w:t>
      </w:r>
      <w:r w:rsidR="00F31126" w:rsidRPr="001A3BA9">
        <w:rPr>
          <w:b/>
          <w:lang w:val="en-GB"/>
        </w:rPr>
        <w:t>disseminate it among your colleagues</w:t>
      </w:r>
      <w:r w:rsidR="00F31126" w:rsidRPr="001A3BA9">
        <w:rPr>
          <w:lang w:val="en-GB"/>
        </w:rPr>
        <w:t xml:space="preserve">. Your feedback is also greatly appreciated. Should you have any comments or further questions, </w:t>
      </w:r>
      <w:r w:rsidR="00F31126" w:rsidRPr="001A3BA9">
        <w:rPr>
          <w:b/>
          <w:lang w:val="en-GB"/>
        </w:rPr>
        <w:t>please do not hesitate to contact Jessica Machacova, Equinet Project Officer</w:t>
      </w:r>
      <w:r w:rsidR="00F31126" w:rsidRPr="001A3BA9">
        <w:rPr>
          <w:lang w:val="en-GB"/>
        </w:rPr>
        <w:t xml:space="preserve"> (</w:t>
      </w:r>
      <w:hyperlink r:id="rId9" w:history="1">
        <w:r w:rsidR="00F31126" w:rsidRPr="001A3BA9">
          <w:rPr>
            <w:rStyle w:val="Hyperlink"/>
            <w:lang w:val="en-GB"/>
          </w:rPr>
          <w:t>Jessica.machacova@equineteurope.org</w:t>
        </w:r>
      </w:hyperlink>
      <w:r w:rsidR="00F31126" w:rsidRPr="001A3BA9">
        <w:rPr>
          <w:lang w:val="en-GB"/>
        </w:rPr>
        <w:t xml:space="preserve"> / 0032 2 212 31 80). </w:t>
      </w:r>
    </w:p>
    <w:p w14:paraId="4E1D63FE" w14:textId="2A3333B6" w:rsidR="002C3BF0" w:rsidRPr="001A3BA9" w:rsidRDefault="002C3BF0" w:rsidP="005A59E4">
      <w:pPr>
        <w:shd w:val="clear" w:color="auto" w:fill="D9D9D9" w:themeFill="background1" w:themeFillShade="D9"/>
        <w:spacing w:line="240" w:lineRule="auto"/>
        <w:jc w:val="center"/>
        <w:rPr>
          <w:b/>
          <w:sz w:val="28"/>
          <w:lang w:val="en-GB"/>
        </w:rPr>
      </w:pPr>
      <w:r w:rsidRPr="001A3BA9">
        <w:rPr>
          <w:b/>
          <w:sz w:val="28"/>
          <w:lang w:val="en-GB"/>
        </w:rPr>
        <w:t>Equinet Members’ Bulletin on latest EU and i</w:t>
      </w:r>
      <w:r w:rsidR="004F608B">
        <w:rPr>
          <w:b/>
          <w:sz w:val="28"/>
          <w:lang w:val="en-GB"/>
        </w:rPr>
        <w:t xml:space="preserve">nternal developments – Table of </w:t>
      </w:r>
      <w:r w:rsidRPr="001A3BA9">
        <w:rPr>
          <w:b/>
          <w:sz w:val="28"/>
          <w:lang w:val="en-GB"/>
        </w:rPr>
        <w:t>contents</w:t>
      </w:r>
    </w:p>
    <w:p w14:paraId="5891F305" w14:textId="77777777" w:rsidR="002C3BF0" w:rsidRPr="001A3BA9" w:rsidRDefault="002C3BF0" w:rsidP="005A59E4">
      <w:pPr>
        <w:spacing w:line="240" w:lineRule="auto"/>
        <w:jc w:val="both"/>
        <w:rPr>
          <w:b/>
          <w:i/>
          <w:color w:val="FF0000"/>
          <w:lang w:val="en-GB"/>
        </w:rPr>
      </w:pPr>
      <w:r w:rsidRPr="001A3BA9">
        <w:rPr>
          <w:b/>
          <w:i/>
          <w:color w:val="FF0000"/>
          <w:lang w:val="en-GB"/>
        </w:rPr>
        <w:t>(Ctrl + Click to follow the link)</w:t>
      </w:r>
    </w:p>
    <w:p w14:paraId="77B3E3E9" w14:textId="2A8A823C" w:rsidR="00A3740D" w:rsidRPr="001A3BA9" w:rsidRDefault="00A3740D" w:rsidP="005A59E4">
      <w:pPr>
        <w:spacing w:line="240" w:lineRule="auto"/>
        <w:rPr>
          <w:b/>
          <w:lang w:val="en-GB"/>
        </w:rPr>
      </w:pPr>
      <w:bookmarkStart w:id="0" w:name="_Toc418770742"/>
      <w:bookmarkStart w:id="1" w:name="_Ref418783893"/>
      <w:bookmarkStart w:id="2" w:name="_Ref418783894"/>
      <w:bookmarkStart w:id="3" w:name="_Ref421267367"/>
      <w:r w:rsidRPr="001A3BA9">
        <w:rPr>
          <w:b/>
          <w:lang w:val="en-GB"/>
        </w:rPr>
        <w:t>Highlight:</w:t>
      </w:r>
      <w:r w:rsidR="00DE3EC3" w:rsidRPr="001A3BA9">
        <w:rPr>
          <w:lang w:val="en-GB"/>
        </w:rPr>
        <w:t xml:space="preserve"> </w:t>
      </w:r>
      <w:r w:rsidR="00DE3EC3" w:rsidRPr="001A3BA9">
        <w:rPr>
          <w:b/>
          <w:color w:val="0070C0"/>
          <w:u w:val="single"/>
          <w:lang w:val="en-GB"/>
        </w:rPr>
        <w:fldChar w:fldCharType="begin"/>
      </w:r>
      <w:r w:rsidR="00DE3EC3" w:rsidRPr="001A3BA9">
        <w:rPr>
          <w:b/>
          <w:color w:val="0070C0"/>
          <w:u w:val="single"/>
          <w:lang w:val="en-GB"/>
        </w:rPr>
        <w:instrText xml:space="preserve"> REF _Ref445397616 \h  \* MERGEFORMAT </w:instrText>
      </w:r>
      <w:r w:rsidR="00DE3EC3" w:rsidRPr="001A3BA9">
        <w:rPr>
          <w:b/>
          <w:color w:val="0070C0"/>
          <w:u w:val="single"/>
          <w:lang w:val="en-GB"/>
        </w:rPr>
      </w:r>
      <w:r w:rsidR="00DE3EC3" w:rsidRPr="001A3BA9">
        <w:rPr>
          <w:b/>
          <w:color w:val="0070C0"/>
          <w:u w:val="single"/>
          <w:lang w:val="en-GB"/>
        </w:rPr>
        <w:fldChar w:fldCharType="separate"/>
      </w:r>
      <w:r w:rsidR="006D46DE" w:rsidRPr="001A3BA9">
        <w:rPr>
          <w:b/>
          <w:color w:val="0070C0"/>
          <w:u w:val="single"/>
          <w:lang w:val="en-GB"/>
        </w:rPr>
        <w:t>European Pillar of Social Rights</w:t>
      </w:r>
      <w:r w:rsidR="00DE3EC3" w:rsidRPr="001A3BA9">
        <w:rPr>
          <w:b/>
          <w:color w:val="0070C0"/>
          <w:u w:val="single"/>
          <w:lang w:val="en-GB"/>
        </w:rPr>
        <w:fldChar w:fldCharType="end"/>
      </w:r>
      <w:r w:rsidR="00DE3EC3" w:rsidRPr="001A3BA9">
        <w:rPr>
          <w:b/>
          <w:color w:val="0070C0"/>
          <w:u w:val="single"/>
          <w:lang w:val="en-GB"/>
        </w:rPr>
        <w:t xml:space="preserve"> </w:t>
      </w:r>
    </w:p>
    <w:p w14:paraId="4B3B67FE" w14:textId="5C1AD52D" w:rsidR="00A3740D" w:rsidRPr="001A3BA9" w:rsidRDefault="0071202A" w:rsidP="005A59E4">
      <w:pPr>
        <w:pStyle w:val="NoSpacing"/>
        <w:rPr>
          <w:b/>
          <w:lang w:val="en-GB"/>
        </w:rPr>
      </w:pPr>
      <w:hyperlink w:anchor="_General_information" w:history="1">
        <w:r w:rsidR="00A3740D" w:rsidRPr="001A3BA9">
          <w:rPr>
            <w:rStyle w:val="Hyperlink"/>
            <w:b/>
            <w:lang w:val="en-GB"/>
          </w:rPr>
          <w:t>General Information</w:t>
        </w:r>
      </w:hyperlink>
    </w:p>
    <w:p w14:paraId="51EAE062" w14:textId="3AAF03BE" w:rsidR="00C07F99" w:rsidRPr="001A3BA9" w:rsidRDefault="00C07F99" w:rsidP="005A59E4">
      <w:pPr>
        <w:pStyle w:val="NoSpacing"/>
        <w:numPr>
          <w:ilvl w:val="0"/>
          <w:numId w:val="13"/>
        </w:numPr>
        <w:rPr>
          <w:lang w:val="en-GB"/>
        </w:rPr>
      </w:pPr>
      <w:r w:rsidRPr="001A3BA9">
        <w:rPr>
          <w:lang w:val="en-GB"/>
        </w:rPr>
        <w:t>Policy developments</w:t>
      </w:r>
    </w:p>
    <w:p w14:paraId="559FC724" w14:textId="633D0FE4" w:rsidR="00A3740D" w:rsidRDefault="00A3740D" w:rsidP="005A59E4">
      <w:pPr>
        <w:pStyle w:val="NoSpacing"/>
        <w:numPr>
          <w:ilvl w:val="0"/>
          <w:numId w:val="13"/>
        </w:numPr>
        <w:rPr>
          <w:lang w:val="en-GB"/>
        </w:rPr>
      </w:pPr>
      <w:r w:rsidRPr="001A3BA9">
        <w:rPr>
          <w:lang w:val="en-GB"/>
        </w:rPr>
        <w:t>Publications, funding opportunities and events</w:t>
      </w:r>
    </w:p>
    <w:p w14:paraId="36B453B5" w14:textId="77777777" w:rsidR="004F608B" w:rsidRDefault="004F608B" w:rsidP="005A59E4">
      <w:pPr>
        <w:pStyle w:val="NoSpacing"/>
        <w:ind w:left="720"/>
        <w:rPr>
          <w:lang w:val="en-GB"/>
        </w:rPr>
      </w:pPr>
    </w:p>
    <w:p w14:paraId="4F037B7F" w14:textId="49168C90" w:rsidR="004D52AF" w:rsidRDefault="0071202A" w:rsidP="005A59E4">
      <w:pPr>
        <w:pStyle w:val="NoSpacing"/>
        <w:rPr>
          <w:b/>
          <w:lang w:val="en-GB"/>
        </w:rPr>
      </w:pPr>
      <w:hyperlink w:anchor="_Gender_Equality" w:history="1">
        <w:r w:rsidR="004D52AF" w:rsidRPr="004D52AF">
          <w:rPr>
            <w:rStyle w:val="Hyperlink"/>
            <w:b/>
            <w:lang w:val="en-GB"/>
          </w:rPr>
          <w:t>Gender Equality</w:t>
        </w:r>
      </w:hyperlink>
    </w:p>
    <w:p w14:paraId="5895BF0D" w14:textId="7018BB75" w:rsidR="004D52AF" w:rsidRDefault="004D52AF" w:rsidP="005A59E4">
      <w:pPr>
        <w:pStyle w:val="NoSpacing"/>
        <w:numPr>
          <w:ilvl w:val="0"/>
          <w:numId w:val="14"/>
        </w:numPr>
        <w:rPr>
          <w:lang w:val="en-GB"/>
        </w:rPr>
      </w:pPr>
      <w:r w:rsidRPr="001A3BA9">
        <w:rPr>
          <w:lang w:val="en-GB"/>
        </w:rPr>
        <w:t>Publications, funding opportunities and events</w:t>
      </w:r>
    </w:p>
    <w:p w14:paraId="4B47E8EC" w14:textId="77777777" w:rsidR="004F608B" w:rsidRPr="004D52AF" w:rsidRDefault="004F608B" w:rsidP="005A59E4">
      <w:pPr>
        <w:pStyle w:val="NoSpacing"/>
        <w:ind w:left="720"/>
        <w:rPr>
          <w:lang w:val="en-GB"/>
        </w:rPr>
      </w:pPr>
    </w:p>
    <w:p w14:paraId="0CB80D8D" w14:textId="361A3748" w:rsidR="00A3740D" w:rsidRPr="00901387" w:rsidRDefault="00901387" w:rsidP="005A59E4">
      <w:pPr>
        <w:pStyle w:val="NoSpacing"/>
        <w:rPr>
          <w:rStyle w:val="Hyperlink"/>
          <w:b/>
          <w:lang w:val="en-GB"/>
        </w:rPr>
      </w:pPr>
      <w:r>
        <w:rPr>
          <w:lang w:val="en-GB"/>
        </w:rPr>
        <w:fldChar w:fldCharType="begin"/>
      </w:r>
      <w:r>
        <w:rPr>
          <w:lang w:val="en-GB"/>
        </w:rPr>
        <w:instrText xml:space="preserve"> HYPERLINK  \l "_Race/ethnic_origin" </w:instrText>
      </w:r>
      <w:r>
        <w:rPr>
          <w:lang w:val="en-GB"/>
        </w:rPr>
        <w:fldChar w:fldCharType="separate"/>
      </w:r>
      <w:r w:rsidR="00A3740D" w:rsidRPr="00901387">
        <w:rPr>
          <w:rStyle w:val="Hyperlink"/>
          <w:b/>
          <w:lang w:val="en-GB"/>
        </w:rPr>
        <w:t>Race/ethnic origin</w:t>
      </w:r>
    </w:p>
    <w:p w14:paraId="65EB3218" w14:textId="75F66C4A" w:rsidR="00A3740D" w:rsidRDefault="00901387" w:rsidP="005A59E4">
      <w:pPr>
        <w:pStyle w:val="NoSpacing"/>
        <w:numPr>
          <w:ilvl w:val="0"/>
          <w:numId w:val="15"/>
        </w:numPr>
        <w:rPr>
          <w:lang w:val="en-GB"/>
        </w:rPr>
      </w:pPr>
      <w:r>
        <w:rPr>
          <w:lang w:val="en-GB"/>
        </w:rPr>
        <w:fldChar w:fldCharType="end"/>
      </w:r>
      <w:r w:rsidR="00A3740D" w:rsidRPr="001A3BA9">
        <w:rPr>
          <w:lang w:val="en-GB"/>
        </w:rPr>
        <w:t>Publications, funding opportunities and events</w:t>
      </w:r>
    </w:p>
    <w:p w14:paraId="24B6DB4F" w14:textId="77777777" w:rsidR="004F608B" w:rsidRPr="001A3BA9" w:rsidRDefault="004F608B" w:rsidP="005A59E4">
      <w:pPr>
        <w:pStyle w:val="NoSpacing"/>
        <w:ind w:left="720"/>
        <w:rPr>
          <w:lang w:val="en-GB"/>
        </w:rPr>
      </w:pPr>
    </w:p>
    <w:p w14:paraId="6E40FADB" w14:textId="7E84DD64" w:rsidR="00033C74" w:rsidRPr="001A3BA9" w:rsidRDefault="0071202A" w:rsidP="005A59E4">
      <w:pPr>
        <w:pStyle w:val="NoSpacing"/>
        <w:rPr>
          <w:b/>
          <w:lang w:val="en-GB"/>
        </w:rPr>
      </w:pPr>
      <w:hyperlink w:anchor="_Religion_and_Belief" w:history="1">
        <w:r w:rsidR="00033C74" w:rsidRPr="001A3BA9">
          <w:rPr>
            <w:rStyle w:val="Hyperlink"/>
            <w:b/>
            <w:lang w:val="en-GB"/>
          </w:rPr>
          <w:t>Religion and Belief</w:t>
        </w:r>
      </w:hyperlink>
    </w:p>
    <w:p w14:paraId="37742543" w14:textId="4758DADA" w:rsidR="00033C74" w:rsidRDefault="00033C74" w:rsidP="005A59E4">
      <w:pPr>
        <w:pStyle w:val="NoSpacing"/>
        <w:numPr>
          <w:ilvl w:val="0"/>
          <w:numId w:val="15"/>
        </w:numPr>
        <w:rPr>
          <w:lang w:val="en-GB"/>
        </w:rPr>
      </w:pPr>
      <w:r w:rsidRPr="001A3BA9">
        <w:rPr>
          <w:lang w:val="en-GB"/>
        </w:rPr>
        <w:t>Policy developments</w:t>
      </w:r>
    </w:p>
    <w:p w14:paraId="2CA70C86" w14:textId="77777777" w:rsidR="004F608B" w:rsidRPr="001A3BA9" w:rsidRDefault="004F608B" w:rsidP="005A59E4">
      <w:pPr>
        <w:pStyle w:val="NoSpacing"/>
        <w:ind w:left="720"/>
        <w:rPr>
          <w:lang w:val="en-GB"/>
        </w:rPr>
      </w:pPr>
    </w:p>
    <w:p w14:paraId="58CCC96C" w14:textId="44F80E67" w:rsidR="00A3740D" w:rsidRPr="001A3BA9" w:rsidRDefault="0071202A" w:rsidP="005A59E4">
      <w:pPr>
        <w:pStyle w:val="NoSpacing"/>
        <w:rPr>
          <w:b/>
          <w:lang w:val="en-GB"/>
        </w:rPr>
      </w:pPr>
      <w:hyperlink w:anchor="_Sexual_Orientation_and" w:history="1">
        <w:r w:rsidR="00A3740D" w:rsidRPr="001A3BA9">
          <w:rPr>
            <w:rStyle w:val="Hyperlink"/>
            <w:b/>
            <w:lang w:val="en-GB"/>
          </w:rPr>
          <w:t>Sexual orientation and gender identity</w:t>
        </w:r>
      </w:hyperlink>
    </w:p>
    <w:p w14:paraId="4358144B" w14:textId="7C38E915" w:rsidR="00A3740D" w:rsidRDefault="00A3740D" w:rsidP="005A59E4">
      <w:pPr>
        <w:pStyle w:val="NoSpacing"/>
        <w:numPr>
          <w:ilvl w:val="0"/>
          <w:numId w:val="15"/>
        </w:numPr>
        <w:rPr>
          <w:lang w:val="en-GB"/>
        </w:rPr>
      </w:pPr>
      <w:r w:rsidRPr="001A3BA9">
        <w:rPr>
          <w:lang w:val="en-GB"/>
        </w:rPr>
        <w:t>Publications, funding opportunities and events</w:t>
      </w:r>
    </w:p>
    <w:p w14:paraId="73B3E6CC" w14:textId="77777777" w:rsidR="004F608B" w:rsidRPr="001A3BA9" w:rsidRDefault="004F608B" w:rsidP="005A59E4">
      <w:pPr>
        <w:pStyle w:val="NoSpacing"/>
        <w:ind w:left="720"/>
        <w:rPr>
          <w:lang w:val="en-GB"/>
        </w:rPr>
      </w:pPr>
    </w:p>
    <w:p w14:paraId="7B4D58A9" w14:textId="5573A9A0" w:rsidR="00A3740D" w:rsidRPr="001A3BA9" w:rsidRDefault="0071202A" w:rsidP="005A59E4">
      <w:pPr>
        <w:pStyle w:val="NoSpacing"/>
        <w:rPr>
          <w:b/>
          <w:lang w:val="en-GB"/>
        </w:rPr>
      </w:pPr>
      <w:hyperlink w:anchor="_Disability" w:history="1">
        <w:r w:rsidR="00A3740D" w:rsidRPr="001A3BA9">
          <w:rPr>
            <w:rStyle w:val="Hyperlink"/>
            <w:b/>
            <w:lang w:val="en-GB"/>
          </w:rPr>
          <w:t>Disability</w:t>
        </w:r>
      </w:hyperlink>
    </w:p>
    <w:p w14:paraId="2E6C7CED" w14:textId="79F98723" w:rsidR="00DE3EC3" w:rsidRDefault="00DE3EC3" w:rsidP="005A59E4">
      <w:pPr>
        <w:pStyle w:val="NoSpacing"/>
        <w:numPr>
          <w:ilvl w:val="0"/>
          <w:numId w:val="15"/>
        </w:numPr>
        <w:rPr>
          <w:lang w:val="en-GB"/>
        </w:rPr>
      </w:pPr>
      <w:r w:rsidRPr="001A3BA9">
        <w:rPr>
          <w:lang w:val="en-GB"/>
        </w:rPr>
        <w:t>Publications, funding opportunities and events</w:t>
      </w:r>
    </w:p>
    <w:p w14:paraId="44E71F15" w14:textId="77777777" w:rsidR="004F608B" w:rsidRPr="001A3BA9" w:rsidRDefault="004F608B" w:rsidP="005A59E4">
      <w:pPr>
        <w:pStyle w:val="NoSpacing"/>
        <w:ind w:left="720"/>
        <w:rPr>
          <w:lang w:val="en-GB"/>
        </w:rPr>
      </w:pPr>
    </w:p>
    <w:p w14:paraId="673096D6" w14:textId="12B9097F" w:rsidR="00A3740D" w:rsidRPr="001A3BA9" w:rsidRDefault="0071202A" w:rsidP="005A59E4">
      <w:pPr>
        <w:pStyle w:val="NoSpacing"/>
        <w:rPr>
          <w:b/>
          <w:lang w:val="en-GB"/>
        </w:rPr>
      </w:pPr>
      <w:hyperlink w:anchor="_Age" w:history="1">
        <w:r w:rsidR="00A3740D" w:rsidRPr="001A3BA9">
          <w:rPr>
            <w:rStyle w:val="Hyperlink"/>
            <w:b/>
            <w:lang w:val="en-GB"/>
          </w:rPr>
          <w:t>Age</w:t>
        </w:r>
      </w:hyperlink>
    </w:p>
    <w:p w14:paraId="23DCBA2A" w14:textId="758E57F4" w:rsidR="00A3740D" w:rsidRDefault="00A3740D" w:rsidP="005A59E4">
      <w:pPr>
        <w:pStyle w:val="NoSpacing"/>
        <w:numPr>
          <w:ilvl w:val="0"/>
          <w:numId w:val="15"/>
        </w:numPr>
        <w:rPr>
          <w:lang w:val="en-GB"/>
        </w:rPr>
      </w:pPr>
      <w:r w:rsidRPr="001A3BA9">
        <w:rPr>
          <w:lang w:val="en-GB"/>
        </w:rPr>
        <w:t>Publications, funding opportunities and events</w:t>
      </w:r>
    </w:p>
    <w:p w14:paraId="37CD2CD3" w14:textId="77777777" w:rsidR="004F608B" w:rsidRPr="001A3BA9" w:rsidRDefault="004F608B" w:rsidP="005A59E4">
      <w:pPr>
        <w:pStyle w:val="NoSpacing"/>
        <w:ind w:left="720"/>
        <w:rPr>
          <w:lang w:val="en-GB"/>
        </w:rPr>
      </w:pPr>
    </w:p>
    <w:p w14:paraId="3D48A1D5" w14:textId="6D7FE883" w:rsidR="00A3740D" w:rsidRPr="001A3BA9" w:rsidRDefault="0071202A" w:rsidP="005A59E4">
      <w:pPr>
        <w:pStyle w:val="NoSpacing"/>
        <w:rPr>
          <w:b/>
          <w:lang w:val="en-GB"/>
        </w:rPr>
      </w:pPr>
      <w:hyperlink w:anchor="_Other" w:history="1">
        <w:r w:rsidR="00A3740D" w:rsidRPr="001A3BA9">
          <w:rPr>
            <w:rStyle w:val="Hyperlink"/>
            <w:b/>
            <w:lang w:val="en-GB"/>
          </w:rPr>
          <w:t>Other</w:t>
        </w:r>
      </w:hyperlink>
      <w:r w:rsidR="005F29CB">
        <w:rPr>
          <w:rStyle w:val="Hyperlink"/>
          <w:b/>
          <w:lang w:val="en-GB"/>
        </w:rPr>
        <w:t xml:space="preserve"> grounds of discrimination</w:t>
      </w:r>
    </w:p>
    <w:p w14:paraId="26753063" w14:textId="4FDD1D09" w:rsidR="00A3740D" w:rsidRDefault="00A3740D" w:rsidP="005A59E4">
      <w:pPr>
        <w:pStyle w:val="NoSpacing"/>
        <w:numPr>
          <w:ilvl w:val="0"/>
          <w:numId w:val="15"/>
        </w:numPr>
        <w:rPr>
          <w:lang w:val="en-GB"/>
        </w:rPr>
      </w:pPr>
      <w:r w:rsidRPr="001A3BA9">
        <w:rPr>
          <w:lang w:val="en-GB"/>
        </w:rPr>
        <w:t>Publications, funding opportunities and events</w:t>
      </w:r>
    </w:p>
    <w:p w14:paraId="2735E75D" w14:textId="77777777" w:rsidR="004F608B" w:rsidRPr="001A3BA9" w:rsidRDefault="004F608B" w:rsidP="005A59E4">
      <w:pPr>
        <w:pStyle w:val="NoSpacing"/>
        <w:ind w:left="720"/>
        <w:rPr>
          <w:lang w:val="en-GB"/>
        </w:rPr>
      </w:pPr>
    </w:p>
    <w:p w14:paraId="141A70DE" w14:textId="4B91F2BB" w:rsidR="00A3740D" w:rsidRPr="001A3BA9" w:rsidRDefault="0071202A" w:rsidP="005A59E4">
      <w:pPr>
        <w:pStyle w:val="NoSpacing"/>
        <w:rPr>
          <w:b/>
          <w:lang w:val="en-GB"/>
        </w:rPr>
      </w:pPr>
      <w:hyperlink w:anchor="_Recent_case-law" w:history="1">
        <w:r w:rsidR="00A3740D" w:rsidRPr="001A3BA9">
          <w:rPr>
            <w:rStyle w:val="Hyperlink"/>
            <w:b/>
            <w:lang w:val="en-GB"/>
          </w:rPr>
          <w:t>Recent case-law</w:t>
        </w:r>
      </w:hyperlink>
    </w:p>
    <w:p w14:paraId="129ECC52" w14:textId="01CB0B86" w:rsidR="00A3740D" w:rsidRPr="00F74759" w:rsidRDefault="00A3740D" w:rsidP="005A59E4">
      <w:pPr>
        <w:pStyle w:val="NoSpacing"/>
        <w:numPr>
          <w:ilvl w:val="0"/>
          <w:numId w:val="15"/>
        </w:numPr>
        <w:rPr>
          <w:lang w:val="en-US"/>
        </w:rPr>
      </w:pPr>
      <w:r w:rsidRPr="00F74759">
        <w:rPr>
          <w:lang w:val="en-US"/>
        </w:rPr>
        <w:t>European Court of Justice (ECJ)</w:t>
      </w:r>
    </w:p>
    <w:p w14:paraId="240C2A9A" w14:textId="5B0DA2E5" w:rsidR="00A3740D" w:rsidRPr="00F74759" w:rsidRDefault="00A3740D" w:rsidP="005A59E4">
      <w:pPr>
        <w:pStyle w:val="NoSpacing"/>
        <w:numPr>
          <w:ilvl w:val="0"/>
          <w:numId w:val="15"/>
        </w:numPr>
        <w:rPr>
          <w:lang w:val="en-US"/>
        </w:rPr>
      </w:pPr>
      <w:r w:rsidRPr="00F74759">
        <w:rPr>
          <w:lang w:val="en-US"/>
        </w:rPr>
        <w:t>European Court of Human Rights (ECtHR)</w:t>
      </w:r>
    </w:p>
    <w:p w14:paraId="57F52527" w14:textId="77777777" w:rsidR="00D47BC3" w:rsidRPr="001A3BA9" w:rsidRDefault="00D47BC3" w:rsidP="005A59E4">
      <w:pPr>
        <w:spacing w:line="240" w:lineRule="auto"/>
        <w:rPr>
          <w:lang w:val="en-GB"/>
        </w:rPr>
      </w:pPr>
      <w:bookmarkStart w:id="4" w:name="_Highlight:_International_Women’s"/>
      <w:bookmarkStart w:id="5" w:name="_Ref445397616"/>
      <w:bookmarkEnd w:id="4"/>
    </w:p>
    <w:p w14:paraId="3B48D390" w14:textId="1A94F344" w:rsidR="001140DC" w:rsidRPr="004F608B" w:rsidRDefault="00922F1E" w:rsidP="005A59E4">
      <w:pPr>
        <w:pStyle w:val="Heading1"/>
        <w:pBdr>
          <w:top w:val="dotted" w:sz="4" w:space="1" w:color="auto"/>
          <w:bottom w:val="dotted" w:sz="4" w:space="1" w:color="auto"/>
        </w:pBdr>
        <w:spacing w:line="240" w:lineRule="auto"/>
        <w:rPr>
          <w:lang w:val="en-GB"/>
        </w:rPr>
      </w:pPr>
      <w:r w:rsidRPr="004F608B">
        <w:rPr>
          <w:lang w:val="en-GB"/>
        </w:rPr>
        <w:lastRenderedPageBreak/>
        <w:t>Highlight</w:t>
      </w:r>
      <w:bookmarkEnd w:id="0"/>
      <w:bookmarkEnd w:id="1"/>
      <w:bookmarkEnd w:id="2"/>
      <w:bookmarkEnd w:id="3"/>
      <w:r w:rsidR="00F93FE2" w:rsidRPr="004F608B">
        <w:rPr>
          <w:lang w:val="en-GB"/>
        </w:rPr>
        <w:t>:</w:t>
      </w:r>
      <w:r w:rsidR="0095164B" w:rsidRPr="004F608B">
        <w:rPr>
          <w:lang w:val="en-GB"/>
        </w:rPr>
        <w:t xml:space="preserve"> </w:t>
      </w:r>
      <w:bookmarkEnd w:id="5"/>
      <w:r w:rsidR="004F608B">
        <w:rPr>
          <w:lang w:val="en-GB"/>
        </w:rPr>
        <w:t xml:space="preserve">The European Commission presents first outline of the </w:t>
      </w:r>
      <w:r w:rsidR="00564D83" w:rsidRPr="004F608B">
        <w:rPr>
          <w:lang w:val="en-GB"/>
        </w:rPr>
        <w:t xml:space="preserve">European </w:t>
      </w:r>
      <w:r w:rsidR="00564D83" w:rsidRPr="00F74759">
        <w:rPr>
          <w:lang w:val="en-US"/>
        </w:rPr>
        <w:t>Pillar</w:t>
      </w:r>
      <w:r w:rsidR="00564D83" w:rsidRPr="004F608B">
        <w:rPr>
          <w:lang w:val="en-GB"/>
        </w:rPr>
        <w:t xml:space="preserve"> of Social Rights</w:t>
      </w:r>
    </w:p>
    <w:p w14:paraId="2F44AECA" w14:textId="15E349EC" w:rsidR="008F6AB5" w:rsidRDefault="008F6AB5" w:rsidP="005A59E4">
      <w:pPr>
        <w:spacing w:line="240" w:lineRule="auto"/>
        <w:rPr>
          <w:lang w:val="en-GB"/>
        </w:rPr>
      </w:pPr>
    </w:p>
    <w:p w14:paraId="74E60A53" w14:textId="51F77C40" w:rsidR="00A73FA9" w:rsidRDefault="008F6AB5" w:rsidP="005A59E4">
      <w:pPr>
        <w:spacing w:line="240" w:lineRule="auto"/>
        <w:jc w:val="both"/>
        <w:rPr>
          <w:lang w:val="en-GB"/>
        </w:rPr>
      </w:pPr>
      <w:r>
        <w:rPr>
          <w:lang w:val="en-GB"/>
        </w:rPr>
        <w:t xml:space="preserve">On 8 March 2016, </w:t>
      </w:r>
      <w:r w:rsidRPr="008F6AB5">
        <w:rPr>
          <w:lang w:val="en-GB"/>
        </w:rPr>
        <w:t>the European Commission present</w:t>
      </w:r>
      <w:r w:rsidR="00291472">
        <w:rPr>
          <w:lang w:val="en-GB"/>
        </w:rPr>
        <w:t>ed</w:t>
      </w:r>
      <w:r w:rsidRPr="008F6AB5">
        <w:rPr>
          <w:lang w:val="en-GB"/>
        </w:rPr>
        <w:t xml:space="preserve"> a </w:t>
      </w:r>
      <w:hyperlink r:id="rId10" w:history="1">
        <w:r w:rsidRPr="00C555EA">
          <w:rPr>
            <w:rStyle w:val="Hyperlink"/>
            <w:lang w:val="en-GB"/>
          </w:rPr>
          <w:t>preliminary outline</w:t>
        </w:r>
      </w:hyperlink>
      <w:r w:rsidRPr="008F6AB5">
        <w:rPr>
          <w:lang w:val="en-GB"/>
        </w:rPr>
        <w:t xml:space="preserve"> of the </w:t>
      </w:r>
      <w:r w:rsidRPr="004F608B">
        <w:rPr>
          <w:b/>
          <w:lang w:val="en-GB"/>
        </w:rPr>
        <w:t>European Pillar of Social Rights</w:t>
      </w:r>
      <w:r w:rsidRPr="008F6AB5">
        <w:rPr>
          <w:lang w:val="en-GB"/>
        </w:rPr>
        <w:t xml:space="preserve"> and launche</w:t>
      </w:r>
      <w:r w:rsidR="00291472">
        <w:rPr>
          <w:lang w:val="en-GB"/>
        </w:rPr>
        <w:t>d</w:t>
      </w:r>
      <w:r w:rsidRPr="008F6AB5">
        <w:rPr>
          <w:lang w:val="en-GB"/>
        </w:rPr>
        <w:t xml:space="preserve"> a broad </w:t>
      </w:r>
      <w:hyperlink r:id="rId11" w:history="1">
        <w:r w:rsidRPr="00C555EA">
          <w:rPr>
            <w:rStyle w:val="Hyperlink"/>
            <w:lang w:val="en-GB"/>
          </w:rPr>
          <w:t>public consultation</w:t>
        </w:r>
      </w:hyperlink>
      <w:r>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842C67" w:rsidRPr="00F74759" w14:paraId="3149383F" w14:textId="77777777" w:rsidTr="00842C67">
        <w:tc>
          <w:tcPr>
            <w:tcW w:w="9886" w:type="dxa"/>
          </w:tcPr>
          <w:p w14:paraId="77CD380A" w14:textId="3FBCC999" w:rsidR="00842C67" w:rsidRDefault="00842C67" w:rsidP="005A59E4">
            <w:pPr>
              <w:jc w:val="both"/>
              <w:rPr>
                <w:lang w:val="en-GB"/>
              </w:rPr>
            </w:pPr>
            <w:r>
              <w:rPr>
                <w:noProof/>
                <w:lang w:eastAsia="fr-BE"/>
              </w:rPr>
              <w:drawing>
                <wp:anchor distT="0" distB="0" distL="114300" distR="114300" simplePos="0" relativeHeight="251642880" behindDoc="0" locked="0" layoutInCell="1" allowOverlap="1" wp14:anchorId="3F610CAA" wp14:editId="76427376">
                  <wp:simplePos x="0" y="0"/>
                  <wp:positionH relativeFrom="margin">
                    <wp:posOffset>4381500</wp:posOffset>
                  </wp:positionH>
                  <wp:positionV relativeFrom="margin">
                    <wp:posOffset>88265</wp:posOffset>
                  </wp:positionV>
                  <wp:extent cx="1790700" cy="1193800"/>
                  <wp:effectExtent l="19050" t="19050" r="19050" b="254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308ec3-detai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193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lang w:val="en-GB"/>
              </w:rPr>
              <w:t>According to the European Commission, the European Pillar of Social Rights “</w:t>
            </w:r>
            <w:r w:rsidRPr="005215AF">
              <w:rPr>
                <w:lang w:val="en-GB"/>
              </w:rPr>
              <w:t>will set out a number of essential principles to support well-functioning and fair labour markets and welfa</w:t>
            </w:r>
            <w:r>
              <w:rPr>
                <w:lang w:val="en-GB"/>
              </w:rPr>
              <w:t xml:space="preserve">re systems within the euro area”. </w:t>
            </w:r>
          </w:p>
          <w:p w14:paraId="16EBC8B4" w14:textId="77777777" w:rsidR="00842C67" w:rsidRDefault="00842C67" w:rsidP="005A59E4">
            <w:pPr>
              <w:jc w:val="both"/>
              <w:rPr>
                <w:lang w:val="en-GB"/>
              </w:rPr>
            </w:pPr>
            <w:r w:rsidRPr="00C555EA">
              <w:rPr>
                <w:lang w:val="en-GB"/>
              </w:rPr>
              <w:t>Once adopted, the Pillar should become a reference framework to screen employment and social performance of participating Member States and to drive reforms at national level. More specifically, it should also serve as a compass for renewed convergence within the euro area.</w:t>
            </w:r>
          </w:p>
          <w:p w14:paraId="20888B00" w14:textId="77777777" w:rsidR="00842C67" w:rsidRDefault="00842C67" w:rsidP="005A59E4">
            <w:pPr>
              <w:jc w:val="both"/>
              <w:rPr>
                <w:lang w:val="en-GB"/>
              </w:rPr>
            </w:pPr>
          </w:p>
        </w:tc>
      </w:tr>
    </w:tbl>
    <w:p w14:paraId="58E90729" w14:textId="4593F599" w:rsidR="00C555EA" w:rsidRPr="00C555EA" w:rsidRDefault="00C555EA" w:rsidP="005A59E4">
      <w:pPr>
        <w:spacing w:line="240" w:lineRule="auto"/>
        <w:jc w:val="both"/>
        <w:rPr>
          <w:lang w:val="en-GB"/>
        </w:rPr>
      </w:pPr>
      <w:r w:rsidRPr="00C555EA">
        <w:rPr>
          <w:lang w:val="en-GB"/>
        </w:rPr>
        <w:t xml:space="preserve">The aim of the </w:t>
      </w:r>
      <w:r w:rsidR="005215AF">
        <w:rPr>
          <w:lang w:val="en-GB"/>
        </w:rPr>
        <w:t xml:space="preserve">public </w:t>
      </w:r>
      <w:r w:rsidRPr="00C555EA">
        <w:rPr>
          <w:lang w:val="en-GB"/>
        </w:rPr>
        <w:t>consultation is to make an asses</w:t>
      </w:r>
      <w:r>
        <w:rPr>
          <w:lang w:val="en-GB"/>
        </w:rPr>
        <w:t xml:space="preserve">sment of the present </w:t>
      </w:r>
      <w:hyperlink r:id="rId13" w:history="1">
        <w:r w:rsidRPr="00C555EA">
          <w:rPr>
            <w:rStyle w:val="Hyperlink"/>
            <w:lang w:val="en-GB"/>
          </w:rPr>
          <w:t>EU social acquis</w:t>
        </w:r>
      </w:hyperlink>
      <w:r w:rsidRPr="00C555EA">
        <w:rPr>
          <w:lang w:val="en-GB"/>
        </w:rPr>
        <w:t xml:space="preserve">, to reflect on new trends in work patterns and societies and to gather views and feedback on the principles identified in a preliminary outline of the Pillar. The results of the consultation will contribute to its final outline and help to identify the scope of future action where necessary. The consultation will run until </w:t>
      </w:r>
      <w:r w:rsidRPr="004F608B">
        <w:rPr>
          <w:b/>
          <w:lang w:val="en-GB"/>
        </w:rPr>
        <w:t>31 December 2016</w:t>
      </w:r>
      <w:r w:rsidRPr="00C555EA">
        <w:rPr>
          <w:lang w:val="en-GB"/>
        </w:rPr>
        <w:t xml:space="preserve"> and a consolidated version of the European Pillar of Social Rights should be presented early in 2017. </w:t>
      </w:r>
    </w:p>
    <w:p w14:paraId="1FFC3C76" w14:textId="48B999A1" w:rsidR="005215AF" w:rsidRDefault="005215AF" w:rsidP="005A59E4">
      <w:pPr>
        <w:spacing w:line="240" w:lineRule="auto"/>
        <w:jc w:val="both"/>
        <w:rPr>
          <w:lang w:val="en-GB"/>
        </w:rPr>
      </w:pPr>
      <w:r>
        <w:rPr>
          <w:b/>
          <w:lang w:val="en-GB"/>
        </w:rPr>
        <w:t>Please let us know if you are planning to send a contribution.</w:t>
      </w:r>
      <w:r>
        <w:rPr>
          <w:lang w:val="en-GB"/>
        </w:rPr>
        <w:t xml:space="preserve"> We would be also very happy to receive your draft contribution or, if written in your national language, a summary of the key messages you conveyed to the European Commission. In any case, the Equinet Secretariat remains at your disposal in case you need assistance and more information. Please contact Katrine Steinfeld, Equinet Policy Officer (</w:t>
      </w:r>
      <w:hyperlink r:id="rId14" w:history="1">
        <w:r w:rsidRPr="00DB06F0">
          <w:rPr>
            <w:rStyle w:val="Hyperlink"/>
            <w:lang w:val="en-GB"/>
          </w:rPr>
          <w:t>katrine.steinfeld@equineteurope.org</w:t>
        </w:r>
      </w:hyperlink>
      <w:r>
        <w:rPr>
          <w:lang w:val="en-GB"/>
        </w:rPr>
        <w:t xml:space="preserve"> / 0032 212 31 86).</w:t>
      </w:r>
    </w:p>
    <w:p w14:paraId="3336CE3F" w14:textId="1D6FC75C" w:rsidR="005215AF" w:rsidRPr="005215AF" w:rsidRDefault="005215AF" w:rsidP="005A59E4">
      <w:pPr>
        <w:shd w:val="clear" w:color="auto" w:fill="D9D9D9" w:themeFill="background1" w:themeFillShade="D9"/>
        <w:spacing w:line="240" w:lineRule="auto"/>
        <w:rPr>
          <w:b/>
          <w:u w:val="single"/>
          <w:lang w:val="en-US"/>
        </w:rPr>
      </w:pPr>
      <w:r w:rsidRPr="005215AF">
        <w:rPr>
          <w:b/>
          <w:u w:val="single"/>
          <w:lang w:val="en-US"/>
        </w:rPr>
        <w:t>FOR MORE INFORMATION</w:t>
      </w:r>
    </w:p>
    <w:p w14:paraId="589313E9" w14:textId="643FD59C" w:rsidR="005215AF" w:rsidRPr="005215AF" w:rsidRDefault="005215AF" w:rsidP="005A59E4">
      <w:pPr>
        <w:shd w:val="clear" w:color="auto" w:fill="D9D9D9" w:themeFill="background1" w:themeFillShade="D9"/>
        <w:spacing w:line="240" w:lineRule="auto"/>
        <w:rPr>
          <w:b/>
          <w:lang w:val="en-US"/>
        </w:rPr>
      </w:pPr>
      <w:r w:rsidRPr="005215AF">
        <w:rPr>
          <w:b/>
          <w:lang w:val="en-US"/>
        </w:rPr>
        <w:t>European Pillar of Social Rights</w:t>
      </w:r>
    </w:p>
    <w:p w14:paraId="529CED28" w14:textId="77777777" w:rsidR="00C555EA" w:rsidRPr="00C555EA" w:rsidRDefault="00FD527A" w:rsidP="005A59E4">
      <w:pPr>
        <w:pStyle w:val="NoSpacing"/>
        <w:shd w:val="clear" w:color="auto" w:fill="D9D9D9" w:themeFill="background1" w:themeFillShade="D9"/>
        <w:rPr>
          <w:lang w:val="en-GB"/>
        </w:rPr>
      </w:pPr>
      <w:hyperlink r:id="rId15" w:history="1">
        <w:r w:rsidR="00C555EA" w:rsidRPr="00C555EA">
          <w:rPr>
            <w:rStyle w:val="Hyperlink"/>
            <w:lang w:val="en-GB"/>
          </w:rPr>
          <w:t>Webpage on the European Pillar of Social Rights</w:t>
        </w:r>
      </w:hyperlink>
      <w:r w:rsidR="00C555EA" w:rsidRPr="00C555EA">
        <w:rPr>
          <w:lang w:val="en-GB"/>
        </w:rPr>
        <w:t xml:space="preserve"> </w:t>
      </w:r>
    </w:p>
    <w:p w14:paraId="34B84315" w14:textId="56BB9D1A" w:rsidR="00C555EA" w:rsidRPr="00C555EA" w:rsidRDefault="00FD527A" w:rsidP="005A59E4">
      <w:pPr>
        <w:pStyle w:val="NoSpacing"/>
        <w:shd w:val="clear" w:color="auto" w:fill="D9D9D9" w:themeFill="background1" w:themeFillShade="D9"/>
        <w:rPr>
          <w:lang w:val="en-GB"/>
        </w:rPr>
      </w:pPr>
      <w:hyperlink r:id="rId16" w:history="1">
        <w:r w:rsidR="00C555EA" w:rsidRPr="00C555EA">
          <w:rPr>
            <w:rStyle w:val="Hyperlink"/>
            <w:lang w:val="en-GB"/>
          </w:rPr>
          <w:t>Memo: Towards a European Pillar of Social Rights – Questions and Answers</w:t>
        </w:r>
      </w:hyperlink>
      <w:r w:rsidR="00C555EA" w:rsidRPr="00C555EA">
        <w:rPr>
          <w:lang w:val="en-GB"/>
        </w:rPr>
        <w:t xml:space="preserve"> </w:t>
      </w:r>
    </w:p>
    <w:p w14:paraId="1BF24024" w14:textId="245F80DE" w:rsidR="00C555EA" w:rsidRPr="00C555EA" w:rsidRDefault="00FD527A" w:rsidP="005A59E4">
      <w:pPr>
        <w:pStyle w:val="NoSpacing"/>
        <w:shd w:val="clear" w:color="auto" w:fill="D9D9D9" w:themeFill="background1" w:themeFillShade="D9"/>
        <w:rPr>
          <w:lang w:val="en-GB"/>
        </w:rPr>
      </w:pPr>
      <w:hyperlink r:id="rId17" w:history="1">
        <w:r w:rsidR="00C555EA" w:rsidRPr="00C555EA">
          <w:rPr>
            <w:rStyle w:val="Hyperlink"/>
            <w:lang w:val="en-GB"/>
          </w:rPr>
          <w:t>Factsheet: Economic and social trends and developments</w:t>
        </w:r>
      </w:hyperlink>
      <w:r w:rsidR="00C555EA" w:rsidRPr="00C555EA">
        <w:rPr>
          <w:lang w:val="en-GB"/>
        </w:rPr>
        <w:t xml:space="preserve"> </w:t>
      </w:r>
    </w:p>
    <w:p w14:paraId="43894F85" w14:textId="6D692B86" w:rsidR="00C555EA" w:rsidRPr="00C555EA" w:rsidRDefault="00FD527A" w:rsidP="005A59E4">
      <w:pPr>
        <w:pStyle w:val="NoSpacing"/>
        <w:shd w:val="clear" w:color="auto" w:fill="D9D9D9" w:themeFill="background1" w:themeFillShade="D9"/>
        <w:rPr>
          <w:lang w:val="en-GB"/>
        </w:rPr>
      </w:pPr>
      <w:hyperlink r:id="rId18" w:history="1">
        <w:r w:rsidR="00C555EA" w:rsidRPr="00C555EA">
          <w:rPr>
            <w:rStyle w:val="Hyperlink"/>
            <w:lang w:val="en-GB"/>
          </w:rPr>
          <w:t>Communication: Launching a consultation on a European Pillar of Social Rights</w:t>
        </w:r>
      </w:hyperlink>
      <w:r w:rsidR="00C555EA" w:rsidRPr="00C555EA">
        <w:rPr>
          <w:lang w:val="en-GB"/>
        </w:rPr>
        <w:t xml:space="preserve"> </w:t>
      </w:r>
    </w:p>
    <w:p w14:paraId="2ABC3FFB" w14:textId="4FCCF83D" w:rsidR="00C555EA" w:rsidRPr="00C555EA" w:rsidRDefault="00FD527A" w:rsidP="005A59E4">
      <w:pPr>
        <w:pStyle w:val="NoSpacing"/>
        <w:shd w:val="clear" w:color="auto" w:fill="D9D9D9" w:themeFill="background1" w:themeFillShade="D9"/>
        <w:rPr>
          <w:lang w:val="en-GB"/>
        </w:rPr>
      </w:pPr>
      <w:hyperlink r:id="rId19" w:history="1">
        <w:r w:rsidR="00C555EA" w:rsidRPr="00C555EA">
          <w:rPr>
            <w:rStyle w:val="Hyperlink"/>
            <w:lang w:val="en-GB"/>
          </w:rPr>
          <w:t>Key economic, employment and social trends behind a European Pillar of Social Rights</w:t>
        </w:r>
      </w:hyperlink>
      <w:r w:rsidR="00C555EA" w:rsidRPr="00C555EA">
        <w:rPr>
          <w:lang w:val="en-GB"/>
        </w:rPr>
        <w:t xml:space="preserve"> </w:t>
      </w:r>
    </w:p>
    <w:p w14:paraId="6F66FDBD" w14:textId="6B02238C" w:rsidR="001A3BA9" w:rsidRPr="005215AF" w:rsidRDefault="005215AF" w:rsidP="005A59E4">
      <w:pPr>
        <w:shd w:val="clear" w:color="auto" w:fill="D9D9D9" w:themeFill="background1" w:themeFillShade="D9"/>
        <w:spacing w:line="240" w:lineRule="auto"/>
        <w:rPr>
          <w:b/>
          <w:lang w:val="en-GB"/>
        </w:rPr>
      </w:pPr>
      <w:r>
        <w:rPr>
          <w:b/>
          <w:lang w:val="en-GB"/>
        </w:rPr>
        <w:br/>
        <w:t>Equinet</w:t>
      </w:r>
      <w:r>
        <w:rPr>
          <w:b/>
          <w:lang w:val="en-GB"/>
        </w:rPr>
        <w:br/>
      </w:r>
      <w:r w:rsidR="001A3BA9">
        <w:rPr>
          <w:lang w:val="en-GB"/>
        </w:rPr>
        <w:br/>
        <w:t xml:space="preserve">Read the </w:t>
      </w:r>
      <w:r w:rsidR="001A3BA9">
        <w:rPr>
          <w:b/>
          <w:lang w:val="en-GB"/>
        </w:rPr>
        <w:t>Equinet Perspective</w:t>
      </w:r>
      <w:r w:rsidR="003645BF">
        <w:rPr>
          <w:b/>
          <w:lang w:val="en-GB"/>
        </w:rPr>
        <w:t xml:space="preserve"> </w:t>
      </w:r>
      <w:hyperlink r:id="rId20" w:history="1">
        <w:r w:rsidR="003645BF" w:rsidRPr="003645BF">
          <w:rPr>
            <w:rStyle w:val="Hyperlink"/>
            <w:lang w:val="en-GB"/>
          </w:rPr>
          <w:t xml:space="preserve">Equality Bodies contributing to the protection, respect and </w:t>
        </w:r>
        <w:r w:rsidR="008F6AB5" w:rsidRPr="003645BF">
          <w:rPr>
            <w:rStyle w:val="Hyperlink"/>
            <w:lang w:val="en-GB"/>
          </w:rPr>
          <w:t>fulfilment</w:t>
        </w:r>
        <w:r w:rsidR="003645BF" w:rsidRPr="003645BF">
          <w:rPr>
            <w:rStyle w:val="Hyperlink"/>
            <w:lang w:val="en-GB"/>
          </w:rPr>
          <w:t xml:space="preserve"> of Economic and Social Rights</w:t>
        </w:r>
      </w:hyperlink>
      <w:r>
        <w:rPr>
          <w:lang w:val="en-GB"/>
        </w:rPr>
        <w:t xml:space="preserve"> (2015)</w:t>
      </w:r>
      <w:r w:rsidR="001A3BA9" w:rsidRPr="003645BF">
        <w:rPr>
          <w:lang w:val="en-GB"/>
        </w:rPr>
        <w:t>.</w:t>
      </w:r>
    </w:p>
    <w:p w14:paraId="3826F7AE" w14:textId="77777777" w:rsidR="00A73FA9" w:rsidRPr="001A3BA9" w:rsidRDefault="00A73FA9" w:rsidP="005A59E4">
      <w:pPr>
        <w:pBdr>
          <w:bottom w:val="dotted" w:sz="36" w:space="1" w:color="auto"/>
        </w:pBdr>
        <w:spacing w:line="240" w:lineRule="auto"/>
        <w:rPr>
          <w:lang w:val="en-GB"/>
        </w:rPr>
      </w:pPr>
    </w:p>
    <w:p w14:paraId="384E2FB8" w14:textId="77777777" w:rsidR="005215AF" w:rsidRDefault="005215AF" w:rsidP="005A59E4">
      <w:pPr>
        <w:spacing w:line="240" w:lineRule="auto"/>
        <w:rPr>
          <w:rFonts w:ascii="Tahoma" w:eastAsiaTheme="majorEastAsia" w:hAnsi="Tahoma" w:cstheme="majorBidi"/>
          <w:b/>
          <w:color w:val="538135" w:themeColor="accent6" w:themeShade="BF"/>
          <w:sz w:val="32"/>
          <w:szCs w:val="32"/>
          <w:lang w:val="en-GB"/>
        </w:rPr>
      </w:pPr>
      <w:bookmarkStart w:id="6" w:name="_General_information"/>
      <w:bookmarkStart w:id="7" w:name="_Ref421267521"/>
      <w:bookmarkStart w:id="8" w:name="_Ref442453617"/>
      <w:bookmarkStart w:id="9" w:name="_Toc418770747"/>
      <w:bookmarkStart w:id="10" w:name="_Ref418784309"/>
      <w:bookmarkEnd w:id="6"/>
      <w:r>
        <w:rPr>
          <w:lang w:val="en-GB"/>
        </w:rPr>
        <w:br w:type="page"/>
      </w:r>
    </w:p>
    <w:p w14:paraId="290D8B05" w14:textId="3CBCF6A0" w:rsidR="00997A8C" w:rsidRPr="001A3BA9" w:rsidRDefault="00997A8C" w:rsidP="005A59E4">
      <w:pPr>
        <w:pStyle w:val="Heading1"/>
        <w:pBdr>
          <w:top w:val="dotted" w:sz="4" w:space="1" w:color="auto"/>
          <w:bottom w:val="dotted" w:sz="4" w:space="1" w:color="auto"/>
        </w:pBdr>
        <w:spacing w:line="240" w:lineRule="auto"/>
        <w:rPr>
          <w:lang w:val="en-GB"/>
        </w:rPr>
      </w:pPr>
      <w:r w:rsidRPr="001A3BA9">
        <w:rPr>
          <w:lang w:val="en-GB"/>
        </w:rPr>
        <w:lastRenderedPageBreak/>
        <w:t xml:space="preserve">General </w:t>
      </w:r>
      <w:r w:rsidR="00B05622" w:rsidRPr="001A3BA9">
        <w:rPr>
          <w:lang w:val="en-GB"/>
        </w:rPr>
        <w:t>I</w:t>
      </w:r>
      <w:r w:rsidRPr="001A3BA9">
        <w:rPr>
          <w:lang w:val="en-GB"/>
        </w:rPr>
        <w:t>nformation</w:t>
      </w:r>
      <w:bookmarkEnd w:id="7"/>
    </w:p>
    <w:p w14:paraId="52006B2E" w14:textId="77777777" w:rsidR="00307D94" w:rsidRPr="001A3BA9" w:rsidRDefault="00307D94" w:rsidP="005A59E4">
      <w:pPr>
        <w:spacing w:line="240" w:lineRule="auto"/>
        <w:rPr>
          <w:lang w:val="en-GB"/>
        </w:rPr>
      </w:pPr>
      <w:bookmarkStart w:id="11" w:name="_Thematic_developments"/>
      <w:bookmarkEnd w:id="11"/>
    </w:p>
    <w:p w14:paraId="4B59BCB4" w14:textId="623B306C" w:rsidR="001252F9" w:rsidRDefault="00C07F99" w:rsidP="005A59E4">
      <w:pPr>
        <w:pStyle w:val="Heading2"/>
        <w:spacing w:line="240" w:lineRule="auto"/>
        <w:rPr>
          <w:lang w:val="en-GB"/>
        </w:rPr>
      </w:pPr>
      <w:r w:rsidRPr="001A3BA9">
        <w:rPr>
          <w:lang w:val="en-GB"/>
        </w:rPr>
        <w:t>Policy developments</w:t>
      </w:r>
      <w:r w:rsidR="001252F9">
        <w:rPr>
          <w:lang w:val="en-GB"/>
        </w:rPr>
        <w:br/>
      </w:r>
    </w:p>
    <w:p w14:paraId="5376655D" w14:textId="02BD85A9" w:rsidR="005F001F" w:rsidRPr="001252F9" w:rsidRDefault="009D1056" w:rsidP="005A59E4">
      <w:pPr>
        <w:pStyle w:val="ListParagraph"/>
        <w:numPr>
          <w:ilvl w:val="0"/>
          <w:numId w:val="16"/>
        </w:numPr>
        <w:spacing w:line="240" w:lineRule="auto"/>
        <w:jc w:val="both"/>
        <w:rPr>
          <w:b/>
          <w:color w:val="002060"/>
          <w:lang w:val="en-GB"/>
        </w:rPr>
      </w:pPr>
      <w:r w:rsidRPr="001252F9">
        <w:rPr>
          <w:b/>
          <w:color w:val="002060"/>
          <w:lang w:val="en-GB"/>
        </w:rPr>
        <w:t xml:space="preserve">Council of Europe publishes </w:t>
      </w:r>
      <w:r w:rsidR="005F001F" w:rsidRPr="001252F9">
        <w:rPr>
          <w:b/>
          <w:color w:val="002060"/>
          <w:lang w:val="en-GB"/>
        </w:rPr>
        <w:t>decision</w:t>
      </w:r>
      <w:r w:rsidR="001252F9" w:rsidRPr="001252F9">
        <w:rPr>
          <w:b/>
          <w:color w:val="002060"/>
          <w:lang w:val="en-GB"/>
        </w:rPr>
        <w:t>s</w:t>
      </w:r>
      <w:r w:rsidR="005F001F" w:rsidRPr="001252F9">
        <w:rPr>
          <w:b/>
          <w:color w:val="002060"/>
          <w:lang w:val="en-GB"/>
        </w:rPr>
        <w:t xml:space="preserve"> on the execution of judgements</w:t>
      </w:r>
      <w:r w:rsidRPr="001252F9">
        <w:rPr>
          <w:b/>
          <w:color w:val="002060"/>
          <w:lang w:val="en-GB"/>
        </w:rPr>
        <w:t xml:space="preserve"> of the Strasbourg Court</w:t>
      </w:r>
    </w:p>
    <w:p w14:paraId="78C48FD8" w14:textId="084F791F" w:rsidR="005F001F" w:rsidRPr="001A3BA9" w:rsidRDefault="005F001F" w:rsidP="005A59E4">
      <w:pPr>
        <w:spacing w:line="240" w:lineRule="auto"/>
        <w:jc w:val="both"/>
        <w:rPr>
          <w:lang w:val="en-GB"/>
        </w:rPr>
      </w:pPr>
      <w:r w:rsidRPr="001A3BA9">
        <w:rPr>
          <w:lang w:val="en-GB"/>
        </w:rPr>
        <w:t>The Committee of Ministers</w:t>
      </w:r>
      <w:r w:rsidR="001252F9">
        <w:rPr>
          <w:lang w:val="en-GB"/>
        </w:rPr>
        <w:t xml:space="preserve"> of the Council of Europe</w:t>
      </w:r>
      <w:r w:rsidRPr="001A3BA9">
        <w:rPr>
          <w:lang w:val="en-GB"/>
        </w:rPr>
        <w:t xml:space="preserve"> published the decisions and resolutions adopted at its 1250</w:t>
      </w:r>
      <w:r w:rsidRPr="001A3BA9">
        <w:rPr>
          <w:vertAlign w:val="superscript"/>
          <w:lang w:val="en-GB"/>
        </w:rPr>
        <w:t>th</w:t>
      </w:r>
      <w:r w:rsidRPr="001A3BA9">
        <w:rPr>
          <w:lang w:val="en-GB"/>
        </w:rPr>
        <w:t xml:space="preserve"> special “Human Rights” meeting (8-10 March 2016), during which it examined the state of implementation of judgments of the Strasbourg Court. The texts adopted concern Armenia, Azerbaijan, Belgium, Bulgaria, Croatia, Cyprus, Greece, Hungary, Lithuania, the Netherlands, Poland, Romania, the Russian Federation, Serbia, Slovenia, the Slovak Republic and Turkey. More information </w:t>
      </w:r>
      <w:r w:rsidR="00032B4D" w:rsidRPr="001A3BA9">
        <w:rPr>
          <w:lang w:val="en-GB"/>
        </w:rPr>
        <w:t xml:space="preserve">can be found </w:t>
      </w:r>
      <w:hyperlink r:id="rId21" w:history="1">
        <w:r w:rsidRPr="001A3BA9">
          <w:rPr>
            <w:rStyle w:val="Hyperlink"/>
            <w:lang w:val="en-GB"/>
          </w:rPr>
          <w:t>here</w:t>
        </w:r>
      </w:hyperlink>
      <w:r w:rsidRPr="001A3BA9">
        <w:rPr>
          <w:lang w:val="en-GB"/>
        </w:rPr>
        <w:t>.</w:t>
      </w:r>
    </w:p>
    <w:p w14:paraId="0122B51C" w14:textId="77777777" w:rsidR="00D1731B" w:rsidRPr="001A3BA9" w:rsidRDefault="00D1731B" w:rsidP="005A59E4">
      <w:pPr>
        <w:spacing w:line="240" w:lineRule="auto"/>
        <w:rPr>
          <w:lang w:val="en-GB"/>
        </w:rPr>
      </w:pPr>
    </w:p>
    <w:p w14:paraId="2BE2A229" w14:textId="2C9FA166" w:rsidR="001252F9" w:rsidRPr="001252F9" w:rsidRDefault="00735BC7" w:rsidP="005A59E4">
      <w:pPr>
        <w:pStyle w:val="Heading2"/>
        <w:spacing w:line="240" w:lineRule="auto"/>
        <w:jc w:val="both"/>
        <w:rPr>
          <w:lang w:val="en-GB"/>
        </w:rPr>
      </w:pPr>
      <w:bookmarkStart w:id="12" w:name="_Publications,_funding_opportunities"/>
      <w:bookmarkEnd w:id="12"/>
      <w:r w:rsidRPr="001A3BA9">
        <w:rPr>
          <w:lang w:val="en-GB"/>
        </w:rPr>
        <w:t>Publications, funding opportunities and events</w:t>
      </w:r>
      <w:bookmarkEnd w:id="8"/>
      <w:r w:rsidR="001252F9">
        <w:rPr>
          <w:lang w:val="en-GB"/>
        </w:rPr>
        <w:tab/>
      </w:r>
      <w:r w:rsidR="001252F9">
        <w:rPr>
          <w:lang w:val="en-GB"/>
        </w:rPr>
        <w:br/>
      </w:r>
    </w:p>
    <w:p w14:paraId="3F94F263" w14:textId="77777777" w:rsidR="00F74759" w:rsidRPr="001A3BA9" w:rsidRDefault="00F74759" w:rsidP="00F74759">
      <w:pPr>
        <w:spacing w:line="240" w:lineRule="auto"/>
        <w:jc w:val="both"/>
        <w:rPr>
          <w:lang w:val="en-GB"/>
        </w:rPr>
      </w:pPr>
      <w:r w:rsidRPr="001A3BA9">
        <w:rPr>
          <w:b/>
          <w:color w:val="FFFFFF" w:themeColor="background1"/>
          <w:shd w:val="clear" w:color="auto" w:fill="00B050"/>
          <w:lang w:val="en-GB"/>
        </w:rPr>
        <w:t>FUNDING OPPORTUNITY</w:t>
      </w:r>
      <w:r w:rsidRPr="001A3BA9">
        <w:rPr>
          <w:color w:val="FFFFFF" w:themeColor="background1"/>
          <w:lang w:val="en-GB"/>
        </w:rPr>
        <w:t xml:space="preserve"> </w:t>
      </w:r>
      <w:r w:rsidRPr="001A3BA9">
        <w:rPr>
          <w:lang w:val="en-GB"/>
        </w:rPr>
        <w:t xml:space="preserve">– </w:t>
      </w:r>
      <w:r w:rsidRPr="001A3BA9">
        <w:rPr>
          <w:b/>
          <w:lang w:val="en-GB"/>
        </w:rPr>
        <w:t>European Commission</w:t>
      </w:r>
      <w:r w:rsidRPr="001A3BA9">
        <w:rPr>
          <w:lang w:val="en-GB"/>
        </w:rPr>
        <w:t xml:space="preserve"> – </w:t>
      </w:r>
      <w:hyperlink r:id="rId22" w:history="1">
        <w:r w:rsidRPr="001A3BA9">
          <w:rPr>
            <w:rStyle w:val="Hyperlink"/>
            <w:lang w:val="en-GB"/>
          </w:rPr>
          <w:t>Call for proposals for policy reform: Social inclusion through education, training and youth</w:t>
        </w:r>
      </w:hyperlink>
      <w:r>
        <w:rPr>
          <w:rStyle w:val="Hyperlink"/>
          <w:lang w:val="en-GB"/>
        </w:rPr>
        <w:t xml:space="preserve"> </w:t>
      </w:r>
      <w:r>
        <w:rPr>
          <w:lang w:val="en-GB"/>
        </w:rPr>
        <w:t>(Deadline: 30 May 2016)</w:t>
      </w:r>
    </w:p>
    <w:p w14:paraId="27BB8AE8" w14:textId="77777777" w:rsidR="00F74759" w:rsidRPr="001A3BA9" w:rsidRDefault="00F74759" w:rsidP="00F74759">
      <w:pPr>
        <w:spacing w:line="240" w:lineRule="auto"/>
        <w:jc w:val="both"/>
        <w:rPr>
          <w:rFonts w:ascii="Calibri" w:eastAsia="Calibri" w:hAnsi="Calibri" w:cs="Times New Roman"/>
          <w:lang w:val="en-GB"/>
        </w:rPr>
      </w:pPr>
      <w:r w:rsidRPr="001252F9">
        <w:rPr>
          <w:b/>
          <w:color w:val="FFFFFF" w:themeColor="background1"/>
          <w:shd w:val="clear" w:color="auto" w:fill="7030A0"/>
          <w:lang w:val="en-GB"/>
        </w:rPr>
        <w:t>PUBLICATION</w:t>
      </w:r>
      <w:r w:rsidRPr="001252F9">
        <w:rPr>
          <w:rFonts w:ascii="Calibri" w:eastAsia="Calibri" w:hAnsi="Calibri" w:cs="Times New Roman"/>
          <w:shd w:val="clear" w:color="auto" w:fill="7030A0"/>
          <w:lang w:val="en-GB"/>
        </w:rPr>
        <w:t xml:space="preserve"> </w:t>
      </w:r>
      <w:r w:rsidRPr="001A3BA9">
        <w:rPr>
          <w:rFonts w:ascii="Calibri" w:eastAsia="Calibri" w:hAnsi="Calibri" w:cs="Times New Roman"/>
          <w:lang w:val="en-GB"/>
        </w:rPr>
        <w:t xml:space="preserve">– </w:t>
      </w:r>
      <w:r w:rsidRPr="001A3BA9">
        <w:rPr>
          <w:rFonts w:ascii="Calibri" w:eastAsia="Calibri" w:hAnsi="Calibri" w:cs="Times New Roman"/>
          <w:b/>
          <w:lang w:val="en-GB"/>
        </w:rPr>
        <w:t>European Union Agency for Fundamental Rights (FRA)</w:t>
      </w:r>
      <w:r w:rsidRPr="001A3BA9">
        <w:rPr>
          <w:rFonts w:ascii="Calibri" w:eastAsia="Calibri" w:hAnsi="Calibri" w:cs="Times New Roman"/>
          <w:lang w:val="en-GB"/>
        </w:rPr>
        <w:t xml:space="preserve"> –</w:t>
      </w:r>
      <w:r>
        <w:rPr>
          <w:rFonts w:ascii="Calibri" w:eastAsia="Calibri" w:hAnsi="Calibri" w:cs="Times New Roman"/>
          <w:lang w:val="en-GB"/>
        </w:rPr>
        <w:t xml:space="preserve"> Leaflet:</w:t>
      </w:r>
      <w:r w:rsidRPr="001A3BA9">
        <w:rPr>
          <w:rFonts w:ascii="Calibri" w:eastAsia="Calibri" w:hAnsi="Calibri" w:cs="Times New Roman"/>
          <w:lang w:val="en-GB"/>
        </w:rPr>
        <w:t xml:space="preserve"> </w:t>
      </w:r>
      <w:hyperlink r:id="rId23" w:history="1">
        <w:r w:rsidRPr="001A3BA9">
          <w:rPr>
            <w:rStyle w:val="Hyperlink"/>
            <w:rFonts w:ascii="Calibri" w:eastAsia="Calibri" w:hAnsi="Calibri" w:cs="Times New Roman"/>
            <w:lang w:val="en-GB"/>
          </w:rPr>
          <w:t>How is the EU Charter of Fundamental Rights used at national level</w:t>
        </w:r>
      </w:hyperlink>
    </w:p>
    <w:p w14:paraId="073C2F34" w14:textId="6D12ECF0" w:rsidR="00572EC6" w:rsidRPr="001A3BA9" w:rsidRDefault="00290542" w:rsidP="005A59E4">
      <w:pPr>
        <w:spacing w:line="240" w:lineRule="auto"/>
        <w:jc w:val="both"/>
        <w:rPr>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sidRPr="001A3BA9">
        <w:rPr>
          <w:lang w:val="en-GB"/>
        </w:rPr>
        <w:t xml:space="preserve"> </w:t>
      </w:r>
      <w:r w:rsidRPr="001A3BA9">
        <w:rPr>
          <w:rFonts w:ascii="Calibri" w:eastAsia="Calibri" w:hAnsi="Calibri" w:cs="Times New Roman"/>
          <w:b/>
          <w:lang w:val="en-GB"/>
        </w:rPr>
        <w:t>European Commission against Racism and Intolerance (ECRI)</w:t>
      </w:r>
      <w:r w:rsidRPr="001A3BA9">
        <w:rPr>
          <w:rFonts w:ascii="Calibri" w:eastAsia="Calibri" w:hAnsi="Calibri" w:cs="Times New Roman"/>
          <w:lang w:val="en-GB"/>
        </w:rPr>
        <w:t xml:space="preserve"> – </w:t>
      </w:r>
      <w:hyperlink r:id="rId24" w:history="1">
        <w:r w:rsidRPr="001A3BA9">
          <w:rPr>
            <w:rStyle w:val="Hyperlink"/>
            <w:lang w:val="en-GB"/>
          </w:rPr>
          <w:t>General Policy Recommendations No 15 on combating hate speech</w:t>
        </w:r>
      </w:hyperlink>
    </w:p>
    <w:p w14:paraId="2C5386D1" w14:textId="77777777" w:rsidR="00AD1C3F" w:rsidRPr="001A3BA9" w:rsidRDefault="00AD1C3F" w:rsidP="005A59E4">
      <w:pPr>
        <w:spacing w:line="240" w:lineRule="auto"/>
        <w:jc w:val="both"/>
        <w:rPr>
          <w:lang w:val="en-GB"/>
        </w:rPr>
      </w:pPr>
      <w:r w:rsidRPr="001A3BA9">
        <w:rPr>
          <w:lang w:val="en-GB"/>
        </w:rPr>
        <w:t xml:space="preserve">ECRI issued guidelines to all 47 member States of the Council of Europe on how to </w:t>
      </w:r>
      <w:r w:rsidRPr="001252F9">
        <w:rPr>
          <w:b/>
          <w:lang w:val="en-GB"/>
        </w:rPr>
        <w:t>prevent hate speech</w:t>
      </w:r>
      <w:r w:rsidRPr="001A3BA9">
        <w:rPr>
          <w:lang w:val="en-GB"/>
        </w:rPr>
        <w:t>, support those targeted by it, and deal with its consequences. The guidelines reiterate the importance of the work of equality bodies on hate speech, including in relation to data collection, counter hate-speech and redress measures.</w:t>
      </w:r>
    </w:p>
    <w:p w14:paraId="20A0D595" w14:textId="3C9BACA5" w:rsidR="00DF2158" w:rsidRPr="001A3BA9" w:rsidRDefault="00DF2158" w:rsidP="005A59E4">
      <w:pPr>
        <w:spacing w:line="240" w:lineRule="auto"/>
        <w:jc w:val="both"/>
        <w:rPr>
          <w:lang w:val="en-GB"/>
        </w:rPr>
      </w:pPr>
      <w:r w:rsidRPr="001A3BA9">
        <w:rPr>
          <w:lang w:val="en-GB"/>
        </w:rPr>
        <w:t>This leaflet explains how national parliaments, governments and courts can use the Charter and shows how the Charter was used at the national level in 2015.</w:t>
      </w:r>
    </w:p>
    <w:p w14:paraId="0343640D" w14:textId="77777777" w:rsidR="00D47BC3" w:rsidRPr="001A3BA9" w:rsidRDefault="00D47BC3" w:rsidP="005A59E4">
      <w:pPr>
        <w:spacing w:line="240" w:lineRule="auto"/>
        <w:jc w:val="both"/>
        <w:rPr>
          <w:lang w:val="en-GB"/>
        </w:rPr>
      </w:pPr>
    </w:p>
    <w:p w14:paraId="074EF7E3" w14:textId="3761056C" w:rsidR="00B05622" w:rsidRPr="001A3BA9" w:rsidRDefault="00B05622" w:rsidP="005A59E4">
      <w:pPr>
        <w:pStyle w:val="Heading1"/>
        <w:pBdr>
          <w:top w:val="dotted" w:sz="4" w:space="1" w:color="auto"/>
          <w:bottom w:val="dotted" w:sz="4" w:space="1" w:color="auto"/>
        </w:pBdr>
        <w:spacing w:line="240" w:lineRule="auto"/>
        <w:rPr>
          <w:lang w:val="en-GB"/>
        </w:rPr>
      </w:pPr>
      <w:bookmarkStart w:id="13" w:name="_Gender_Equality"/>
      <w:bookmarkEnd w:id="13"/>
      <w:r w:rsidRPr="001A3BA9">
        <w:rPr>
          <w:lang w:val="en-GB"/>
        </w:rPr>
        <w:t>Gender Equality</w:t>
      </w:r>
    </w:p>
    <w:p w14:paraId="4F2A5C42" w14:textId="77777777" w:rsidR="00D47BC3" w:rsidRPr="001A3BA9" w:rsidRDefault="00D47BC3" w:rsidP="005A59E4">
      <w:pPr>
        <w:spacing w:line="240" w:lineRule="auto"/>
        <w:jc w:val="both"/>
        <w:rPr>
          <w:lang w:val="en-GB"/>
        </w:rPr>
      </w:pPr>
    </w:p>
    <w:p w14:paraId="2722241F" w14:textId="0ECFC9AC" w:rsidR="00D47BC3" w:rsidRDefault="006A0A69" w:rsidP="005A59E4">
      <w:pPr>
        <w:pStyle w:val="Heading2"/>
        <w:spacing w:line="240" w:lineRule="auto"/>
        <w:jc w:val="both"/>
        <w:rPr>
          <w:lang w:val="en-GB"/>
        </w:rPr>
      </w:pPr>
      <w:r w:rsidRPr="001A3BA9">
        <w:rPr>
          <w:lang w:val="en-GB"/>
        </w:rPr>
        <w:t>Publications, funding opportunities and events</w:t>
      </w:r>
    </w:p>
    <w:p w14:paraId="586B3909" w14:textId="77777777" w:rsidR="001252F9" w:rsidRPr="001252F9" w:rsidRDefault="001252F9" w:rsidP="005A59E4">
      <w:pPr>
        <w:spacing w:line="240" w:lineRule="auto"/>
        <w:rPr>
          <w:lang w:val="en-GB"/>
        </w:rPr>
      </w:pPr>
    </w:p>
    <w:p w14:paraId="4547C63B" w14:textId="62D083B6" w:rsidR="001252F9" w:rsidRDefault="002A226B" w:rsidP="005A59E4">
      <w:pPr>
        <w:spacing w:line="240" w:lineRule="auto"/>
        <w:jc w:val="both"/>
        <w:rPr>
          <w:b/>
          <w:lang w:val="en-GB"/>
        </w:rPr>
      </w:pPr>
      <w:r>
        <w:rPr>
          <w:b/>
          <w:shd w:val="clear" w:color="auto" w:fill="FFFF00"/>
          <w:lang w:val="en-GB"/>
        </w:rPr>
        <w:t>EVENT</w:t>
      </w:r>
      <w:r>
        <w:rPr>
          <w:b/>
          <w:lang w:val="en-GB"/>
        </w:rPr>
        <w:t xml:space="preserve"> – Equinet</w:t>
      </w:r>
      <w:r w:rsidR="00E00E14">
        <w:rPr>
          <w:b/>
          <w:lang w:val="en-GB"/>
        </w:rPr>
        <w:t xml:space="preserve"> and Equality and Human Rights Commission (EHRC)</w:t>
      </w:r>
      <w:r>
        <w:rPr>
          <w:b/>
          <w:lang w:val="en-GB"/>
        </w:rPr>
        <w:t xml:space="preserve"> – </w:t>
      </w:r>
      <w:r w:rsidR="00E00E14">
        <w:rPr>
          <w:b/>
          <w:lang w:val="en-GB"/>
        </w:rPr>
        <w:t>R</w:t>
      </w:r>
      <w:r w:rsidR="00E00E14" w:rsidRPr="00E00E14">
        <w:rPr>
          <w:b/>
          <w:lang w:val="en-GB"/>
        </w:rPr>
        <w:t>oundtable Event: The Parenthood Penalty?</w:t>
      </w:r>
      <w:r w:rsidR="001252F9">
        <w:rPr>
          <w:b/>
          <w:lang w:val="en-GB"/>
        </w:rPr>
        <w:t xml:space="preserve"> – Wednesday 20</w:t>
      </w:r>
      <w:r w:rsidR="001252F9" w:rsidRPr="001252F9">
        <w:rPr>
          <w:b/>
          <w:vertAlign w:val="superscript"/>
          <w:lang w:val="en-GB"/>
        </w:rPr>
        <w:t>th</w:t>
      </w:r>
      <w:r w:rsidR="001252F9">
        <w:rPr>
          <w:b/>
          <w:lang w:val="en-GB"/>
        </w:rPr>
        <w:t xml:space="preserve"> April, 13:30 – 15:00 – European Parliament, Brussels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1252F9" w:rsidRPr="008427D7" w14:paraId="4F85F918" w14:textId="77777777" w:rsidTr="001252F9">
        <w:tc>
          <w:tcPr>
            <w:tcW w:w="9886" w:type="dxa"/>
          </w:tcPr>
          <w:p w14:paraId="14DE95E4" w14:textId="77777777" w:rsidR="001252F9" w:rsidRDefault="001252F9" w:rsidP="005A59E4">
            <w:pPr>
              <w:jc w:val="both"/>
              <w:rPr>
                <w:lang w:val="en-GB"/>
              </w:rPr>
            </w:pPr>
            <w:r>
              <w:rPr>
                <w:noProof/>
                <w:lang w:eastAsia="fr-BE"/>
              </w:rPr>
              <w:drawing>
                <wp:anchor distT="0" distB="0" distL="114300" distR="114300" simplePos="0" relativeHeight="251657216" behindDoc="0" locked="0" layoutInCell="1" allowOverlap="1" wp14:anchorId="3A28FD35" wp14:editId="1F2F460A">
                  <wp:simplePos x="0" y="0"/>
                  <wp:positionH relativeFrom="margin">
                    <wp:posOffset>4505325</wp:posOffset>
                  </wp:positionH>
                  <wp:positionV relativeFrom="margin">
                    <wp:posOffset>54610</wp:posOffset>
                  </wp:positionV>
                  <wp:extent cx="1638300" cy="1102995"/>
                  <wp:effectExtent l="19050" t="19050" r="19050" b="209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n822-3a3b4.jpg"/>
                          <pic:cNvPicPr/>
                        </pic:nvPicPr>
                        <pic:blipFill>
                          <a:blip r:embed="rId25">
                            <a:extLst>
                              <a:ext uri="{28A0092B-C50C-407E-A947-70E740481C1C}">
                                <a14:useLocalDpi xmlns:a14="http://schemas.microsoft.com/office/drawing/2010/main" val="0"/>
                              </a:ext>
                            </a:extLst>
                          </a:blip>
                          <a:stretch>
                            <a:fillRect/>
                          </a:stretch>
                        </pic:blipFill>
                        <pic:spPr>
                          <a:xfrm>
                            <a:off x="0" y="0"/>
                            <a:ext cx="1638300" cy="11029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lang w:val="en-GB"/>
              </w:rPr>
              <w:t>On 20</w:t>
            </w:r>
            <w:r w:rsidRPr="00E00E14">
              <w:rPr>
                <w:lang w:val="en-GB"/>
              </w:rPr>
              <w:t xml:space="preserve"> April, Equinet and the </w:t>
            </w:r>
            <w:hyperlink r:id="rId26" w:history="1">
              <w:r w:rsidRPr="001252F9">
                <w:rPr>
                  <w:rStyle w:val="Hyperlink"/>
                  <w:lang w:val="en-GB"/>
                </w:rPr>
                <w:t>Equality and Human Rights Commission</w:t>
              </w:r>
            </w:hyperlink>
            <w:r w:rsidRPr="00E00E14">
              <w:rPr>
                <w:lang w:val="en-GB"/>
              </w:rPr>
              <w:t xml:space="preserve"> are co-organising a roundtable event at the European Parliament in Brussels. The event is hosted by the Progressive Alliance of Socialists and Democrats (S&amp;D). It will address the issues of </w:t>
            </w:r>
            <w:r w:rsidRPr="001252F9">
              <w:rPr>
                <w:b/>
                <w:lang w:val="en-GB"/>
              </w:rPr>
              <w:t>work-life balance, pregnancy and parenthood related discrimination at national and EU levels</w:t>
            </w:r>
            <w:r w:rsidRPr="00E00E14">
              <w:rPr>
                <w:lang w:val="en-GB"/>
              </w:rPr>
              <w:t>. It will gather Members of the European Parliament (MEPs) and representatives of national equality bodies.</w:t>
            </w:r>
            <w:r>
              <w:rPr>
                <w:lang w:val="en-GB"/>
              </w:rPr>
              <w:t xml:space="preserve"> More information can be found </w:t>
            </w:r>
            <w:hyperlink r:id="rId27" w:history="1">
              <w:r w:rsidRPr="00E00E14">
                <w:rPr>
                  <w:rStyle w:val="Hyperlink"/>
                  <w:lang w:val="en-GB"/>
                </w:rPr>
                <w:t>here</w:t>
              </w:r>
            </w:hyperlink>
            <w:r>
              <w:rPr>
                <w:lang w:val="en-GB"/>
              </w:rPr>
              <w:t>.</w:t>
            </w:r>
          </w:p>
          <w:p w14:paraId="2448C9E8" w14:textId="30D1BE2C" w:rsidR="00677CCA" w:rsidRPr="00E00E14" w:rsidRDefault="00677CCA" w:rsidP="005A59E4">
            <w:pPr>
              <w:jc w:val="both"/>
              <w:rPr>
                <w:lang w:val="en-GB"/>
              </w:rPr>
            </w:pPr>
            <w:r>
              <w:rPr>
                <w:lang w:val="en-GB"/>
              </w:rPr>
              <w:br/>
            </w:r>
          </w:p>
          <w:p w14:paraId="63E7CF85" w14:textId="20F216D3" w:rsidR="001252F9" w:rsidRDefault="00677CCA" w:rsidP="005A59E4">
            <w:pPr>
              <w:jc w:val="both"/>
              <w:rPr>
                <w:lang w:val="en-GB"/>
              </w:rPr>
            </w:pPr>
            <w:r w:rsidRPr="00677CCA">
              <w:rPr>
                <w:b/>
                <w:highlight w:val="yellow"/>
                <w:lang w:val="en-GB"/>
              </w:rPr>
              <w:t>EVENT</w:t>
            </w:r>
            <w:r w:rsidRPr="00677CCA">
              <w:rPr>
                <w:b/>
                <w:lang w:val="en-GB"/>
              </w:rPr>
              <w:t xml:space="preserve"> – ENAR (European Network against Racism) -</w:t>
            </w:r>
            <w:r>
              <w:rPr>
                <w:lang w:val="en-GB"/>
              </w:rPr>
              <w:t xml:space="preserve"> </w:t>
            </w:r>
            <w:hyperlink r:id="rId28" w:history="1">
              <w:r w:rsidRPr="00677CCA">
                <w:rPr>
                  <w:rStyle w:val="Hyperlink"/>
                  <w:lang w:val="en-GB"/>
                </w:rPr>
                <w:t>Symposium: Muslim women, forgotten women?</w:t>
              </w:r>
            </w:hyperlink>
            <w:r w:rsidRPr="00677CCA">
              <w:rPr>
                <w:lang w:val="en-GB"/>
              </w:rPr>
              <w:t xml:space="preserve"> </w:t>
            </w:r>
            <w:r>
              <w:rPr>
                <w:lang w:val="en-GB"/>
              </w:rPr>
              <w:t xml:space="preserve">– Thursday </w:t>
            </w:r>
            <w:r w:rsidRPr="00677CCA">
              <w:rPr>
                <w:lang w:val="en-GB"/>
              </w:rPr>
              <w:t>26</w:t>
            </w:r>
            <w:r w:rsidRPr="00677CCA">
              <w:rPr>
                <w:vertAlign w:val="superscript"/>
                <w:lang w:val="en-GB"/>
              </w:rPr>
              <w:t>th</w:t>
            </w:r>
            <w:r>
              <w:rPr>
                <w:lang w:val="en-GB"/>
              </w:rPr>
              <w:t xml:space="preserve"> </w:t>
            </w:r>
            <w:r w:rsidRPr="00677CCA">
              <w:rPr>
                <w:lang w:val="en-GB"/>
              </w:rPr>
              <w:t>May 2016, Brussels</w:t>
            </w:r>
          </w:p>
          <w:p w14:paraId="67D0C798" w14:textId="77777777" w:rsidR="008427D7" w:rsidRDefault="008427D7" w:rsidP="005A59E4">
            <w:pPr>
              <w:jc w:val="both"/>
              <w:rPr>
                <w:lang w:val="en-GB"/>
              </w:rPr>
            </w:pPr>
          </w:p>
        </w:tc>
      </w:tr>
    </w:tbl>
    <w:p w14:paraId="41790B3E" w14:textId="058F2067" w:rsidR="008427D7" w:rsidRDefault="008427D7" w:rsidP="008427D7">
      <w:pPr>
        <w:jc w:val="both"/>
        <w:rPr>
          <w:lang w:val="en-GB"/>
        </w:rPr>
      </w:pPr>
      <w:r w:rsidRPr="001A3BA9">
        <w:rPr>
          <w:b/>
          <w:color w:val="FFFFFF" w:themeColor="background1"/>
          <w:shd w:val="clear" w:color="auto" w:fill="00B050"/>
          <w:lang w:val="en-GB"/>
        </w:rPr>
        <w:t>FUNDING OPPORTUNITY</w:t>
      </w:r>
      <w:r>
        <w:rPr>
          <w:lang w:val="en-GB"/>
        </w:rPr>
        <w:t xml:space="preserve"> – </w:t>
      </w:r>
      <w:r w:rsidRPr="008427D7">
        <w:rPr>
          <w:b/>
          <w:lang w:val="en-GB"/>
        </w:rPr>
        <w:t>European Commission</w:t>
      </w:r>
      <w:r>
        <w:rPr>
          <w:lang w:val="en-GB"/>
        </w:rPr>
        <w:t xml:space="preserve"> – </w:t>
      </w:r>
      <w:hyperlink r:id="rId29" w:history="1">
        <w:r w:rsidRPr="00D51E65">
          <w:rPr>
            <w:rStyle w:val="Hyperlink"/>
            <w:lang w:val="en-GB"/>
          </w:rPr>
          <w:t>Call for proposal for action grants to support transnational projects to promote good practices on gender roles and to overcome gender stereotypes in education, training and in the workplace</w:t>
        </w:r>
      </w:hyperlink>
      <w:r>
        <w:rPr>
          <w:lang w:val="en-GB"/>
        </w:rPr>
        <w:t xml:space="preserve"> (D</w:t>
      </w:r>
      <w:r w:rsidRPr="008427D7">
        <w:rPr>
          <w:lang w:val="en-GB"/>
        </w:rPr>
        <w:t>eadline: 27</w:t>
      </w:r>
      <w:r w:rsidRPr="008427D7">
        <w:rPr>
          <w:vertAlign w:val="superscript"/>
          <w:lang w:val="en-GB"/>
        </w:rPr>
        <w:t>th</w:t>
      </w:r>
      <w:r>
        <w:rPr>
          <w:lang w:val="en-GB"/>
        </w:rPr>
        <w:t xml:space="preserve"> May 2016).</w:t>
      </w:r>
    </w:p>
    <w:p w14:paraId="7A0F91EB" w14:textId="0AB58E62" w:rsidR="00164743" w:rsidRPr="008427D7" w:rsidRDefault="008427D7" w:rsidP="008427D7">
      <w:pPr>
        <w:jc w:val="both"/>
        <w:rPr>
          <w:lang w:val="en-GB"/>
        </w:rPr>
      </w:pPr>
      <w:r w:rsidRPr="001A3BA9">
        <w:rPr>
          <w:b/>
          <w:color w:val="FFFFFF" w:themeColor="background1"/>
          <w:shd w:val="clear" w:color="auto" w:fill="00B050"/>
          <w:lang w:val="en-GB"/>
        </w:rPr>
        <w:t>FUNDING OPPORTUNITY</w:t>
      </w:r>
      <w:r>
        <w:rPr>
          <w:lang w:val="en-GB"/>
        </w:rPr>
        <w:t xml:space="preserve"> </w:t>
      </w:r>
      <w:r>
        <w:rPr>
          <w:lang w:val="en-GB"/>
        </w:rPr>
        <w:t xml:space="preserve">– </w:t>
      </w:r>
      <w:r w:rsidRPr="008427D7">
        <w:rPr>
          <w:b/>
          <w:lang w:val="en-GB"/>
        </w:rPr>
        <w:t>European Commission</w:t>
      </w:r>
      <w:r>
        <w:rPr>
          <w:lang w:val="en-GB"/>
        </w:rPr>
        <w:t xml:space="preserve"> - </w:t>
      </w:r>
      <w:hyperlink r:id="rId30" w:history="1">
        <w:r w:rsidRPr="008427D7">
          <w:rPr>
            <w:rStyle w:val="Hyperlink"/>
            <w:lang w:val="en-GB"/>
          </w:rPr>
          <w:t>Daphne call - Action grant</w:t>
        </w:r>
        <w:r w:rsidRPr="00D51E65">
          <w:rPr>
            <w:rStyle w:val="Hyperlink"/>
            <w:lang w:val="en-GB"/>
          </w:rPr>
          <w:t>s to support national or transnational projects on multi-agency and multi-disciplinary cooperation to respond to violence against women and/or children, and on tackling underreporting</w:t>
        </w:r>
      </w:hyperlink>
      <w:r>
        <w:rPr>
          <w:lang w:val="en-GB"/>
        </w:rPr>
        <w:t xml:space="preserve"> (D</w:t>
      </w:r>
      <w:r w:rsidRPr="004B0ABE">
        <w:rPr>
          <w:lang w:val="en-GB"/>
        </w:rPr>
        <w:t xml:space="preserve">eadline: </w:t>
      </w:r>
      <w:r>
        <w:rPr>
          <w:lang w:val="en-GB"/>
        </w:rPr>
        <w:t>1</w:t>
      </w:r>
      <w:r w:rsidRPr="004B0ABE">
        <w:rPr>
          <w:vertAlign w:val="superscript"/>
          <w:lang w:val="en-GB"/>
        </w:rPr>
        <w:t>st</w:t>
      </w:r>
      <w:r>
        <w:rPr>
          <w:lang w:val="en-GB"/>
        </w:rPr>
        <w:t xml:space="preserve"> June 2016).</w:t>
      </w:r>
    </w:p>
    <w:p w14:paraId="63D0926D" w14:textId="2FA70E4F" w:rsidR="00D47BC3" w:rsidRPr="001A3BA9" w:rsidRDefault="006A0A69" w:rsidP="005A59E4">
      <w:pPr>
        <w:spacing w:line="240" w:lineRule="auto"/>
        <w:jc w:val="both"/>
        <w:rPr>
          <w:lang w:val="en-GB"/>
        </w:rPr>
      </w:pPr>
      <w:r w:rsidRPr="001A3BA9">
        <w:rPr>
          <w:b/>
          <w:color w:val="FFFFFF" w:themeColor="background1"/>
          <w:shd w:val="clear" w:color="auto" w:fill="7030A0"/>
          <w:lang w:val="en-GB"/>
        </w:rPr>
        <w:lastRenderedPageBreak/>
        <w:t>PUBLICATION</w:t>
      </w:r>
      <w:r w:rsidRPr="001A3BA9">
        <w:rPr>
          <w:rFonts w:ascii="Calibri" w:eastAsia="Calibri" w:hAnsi="Calibri" w:cs="Times New Roman"/>
          <w:lang w:val="en-GB"/>
        </w:rPr>
        <w:t xml:space="preserve"> – </w:t>
      </w:r>
      <w:r w:rsidRPr="001A3BA9">
        <w:rPr>
          <w:b/>
          <w:lang w:val="en-GB"/>
        </w:rPr>
        <w:t>European Commission</w:t>
      </w:r>
      <w:r w:rsidRPr="001A3BA9">
        <w:rPr>
          <w:lang w:val="en-GB"/>
        </w:rPr>
        <w:t xml:space="preserve"> – </w:t>
      </w:r>
      <w:hyperlink r:id="rId31" w:history="1">
        <w:r w:rsidRPr="001A3BA9">
          <w:rPr>
            <w:rStyle w:val="Hyperlink"/>
            <w:lang w:val="en-GB"/>
          </w:rPr>
          <w:t>Study on the gender dimension of trafficking in human beings</w:t>
        </w:r>
      </w:hyperlink>
    </w:p>
    <w:p w14:paraId="538E3F48" w14:textId="68141F04" w:rsidR="00D47BC3" w:rsidRPr="001A3BA9" w:rsidRDefault="00E24680" w:rsidP="005A59E4">
      <w:pPr>
        <w:spacing w:line="240" w:lineRule="auto"/>
        <w:jc w:val="both"/>
        <w:rPr>
          <w:lang w:val="en-GB"/>
        </w:rPr>
      </w:pPr>
      <w:r w:rsidRPr="001A3BA9">
        <w:rPr>
          <w:lang w:val="en-GB"/>
        </w:rPr>
        <w:t xml:space="preserve">This study aims to look at the </w:t>
      </w:r>
      <w:r w:rsidRPr="00842C67">
        <w:rPr>
          <w:b/>
          <w:lang w:val="en-GB"/>
        </w:rPr>
        <w:t>gender dimension of trafficking for the purpose of sexual exploitation</w:t>
      </w:r>
      <w:r w:rsidRPr="001A3BA9">
        <w:rPr>
          <w:lang w:val="en-GB"/>
        </w:rPr>
        <w:t>. This follows evidence from statistical data from Eurostat, as well as data from The European Police Office (Europol) and the United Nations Office on Drugs and Crime (UNODC), according to which the most reported form of exploitation of victims is that of sexual exploitation and its strong gender dimension (96 % women and girls).</w:t>
      </w:r>
    </w:p>
    <w:p w14:paraId="1003A688" w14:textId="0F6A306E" w:rsidR="00FC2FA9" w:rsidRPr="001A3BA9" w:rsidRDefault="00FC2FA9" w:rsidP="005A59E4">
      <w:pPr>
        <w:spacing w:line="240" w:lineRule="auto"/>
        <w:jc w:val="both"/>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sidRPr="001A3BA9">
        <w:rPr>
          <w:lang w:val="en-GB"/>
        </w:rPr>
        <w:t xml:space="preserve"> </w:t>
      </w:r>
      <w:r w:rsidRPr="00842C67">
        <w:rPr>
          <w:rFonts w:ascii="Calibri" w:eastAsia="Calibri" w:hAnsi="Calibri" w:cs="Times New Roman"/>
          <w:b/>
          <w:lang w:val="en-GB"/>
        </w:rPr>
        <w:t>OSCE Office for Democratic Institutions and Human Rights</w:t>
      </w:r>
      <w:r w:rsidRPr="001A3BA9">
        <w:rPr>
          <w:rFonts w:ascii="Calibri" w:eastAsia="Calibri" w:hAnsi="Calibri" w:cs="Times New Roman"/>
          <w:lang w:val="en-GB"/>
        </w:rPr>
        <w:t xml:space="preserve"> – </w:t>
      </w:r>
      <w:hyperlink r:id="rId32" w:history="1">
        <w:r w:rsidRPr="001A3BA9">
          <w:rPr>
            <w:rStyle w:val="Hyperlink"/>
            <w:rFonts w:ascii="Calibri" w:eastAsia="Calibri" w:hAnsi="Calibri" w:cs="Times New Roman"/>
            <w:lang w:val="en-GB"/>
          </w:rPr>
          <w:t>Compendium of Good Practices for Advancing Women’s Political Participation in the OSCE Region</w:t>
        </w:r>
      </w:hyperlink>
    </w:p>
    <w:p w14:paraId="7426B808" w14:textId="5CA02F9D" w:rsidR="00FC2FA9" w:rsidRDefault="00FC2FA9" w:rsidP="005A59E4">
      <w:pPr>
        <w:spacing w:line="240" w:lineRule="auto"/>
        <w:jc w:val="both"/>
        <w:rPr>
          <w:lang w:val="en-GB"/>
        </w:rPr>
      </w:pPr>
      <w:r w:rsidRPr="001A3BA9">
        <w:rPr>
          <w:lang w:val="en-GB"/>
        </w:rPr>
        <w:t xml:space="preserve">To mark 20 years since the launch of the Beijing Platform for Action, ODIHR has published this compendium of good practices to reflect on where progress has been made and identify some of the continuing challenges </w:t>
      </w:r>
      <w:r w:rsidR="00FD527A">
        <w:rPr>
          <w:lang w:val="en-GB"/>
        </w:rPr>
        <w:t>to</w:t>
      </w:r>
      <w:r w:rsidR="00FD527A" w:rsidRPr="001A3BA9">
        <w:rPr>
          <w:lang w:val="en-GB"/>
        </w:rPr>
        <w:t xml:space="preserve"> </w:t>
      </w:r>
      <w:r w:rsidRPr="001A3BA9">
        <w:rPr>
          <w:lang w:val="en-GB"/>
        </w:rPr>
        <w:t xml:space="preserve">achieving gender equality in politics. The compendium explores the </w:t>
      </w:r>
      <w:r w:rsidRPr="00842C67">
        <w:rPr>
          <w:b/>
          <w:lang w:val="en-GB"/>
        </w:rPr>
        <w:t>participation of women through political parties, in elections, local politics and in parliaments</w:t>
      </w:r>
      <w:r w:rsidRPr="001A3BA9">
        <w:rPr>
          <w:lang w:val="en-GB"/>
        </w:rPr>
        <w:t>, recognizing that these should be seen as connected and related areas.</w:t>
      </w:r>
    </w:p>
    <w:p w14:paraId="0F248402" w14:textId="77777777" w:rsidR="00A111CC" w:rsidRPr="001A3BA9" w:rsidRDefault="00A111CC" w:rsidP="005A59E4">
      <w:pPr>
        <w:spacing w:line="240" w:lineRule="auto"/>
        <w:jc w:val="both"/>
        <w:rPr>
          <w:lang w:val="en-GB"/>
        </w:rPr>
      </w:pPr>
    </w:p>
    <w:p w14:paraId="4279531E" w14:textId="09FBE7BE" w:rsidR="00C842B1" w:rsidRPr="001A3BA9" w:rsidRDefault="00F93FE2" w:rsidP="005A59E4">
      <w:pPr>
        <w:pStyle w:val="Heading1"/>
        <w:pBdr>
          <w:top w:val="dotted" w:sz="4" w:space="1" w:color="auto"/>
          <w:bottom w:val="dotted" w:sz="4" w:space="1" w:color="auto"/>
        </w:pBdr>
        <w:spacing w:line="240" w:lineRule="auto"/>
        <w:rPr>
          <w:lang w:val="en-GB"/>
        </w:rPr>
      </w:pPr>
      <w:bookmarkStart w:id="14" w:name="_Race/ethnic_origin"/>
      <w:bookmarkStart w:id="15" w:name="_Toc418770748"/>
      <w:bookmarkStart w:id="16" w:name="_Ref418784315"/>
      <w:bookmarkStart w:id="17" w:name="_Ref418784316"/>
      <w:bookmarkEnd w:id="9"/>
      <w:bookmarkEnd w:id="10"/>
      <w:bookmarkEnd w:id="14"/>
      <w:r w:rsidRPr="001A3BA9">
        <w:rPr>
          <w:lang w:val="en-GB"/>
        </w:rPr>
        <w:t>Race/ethnic origin</w:t>
      </w:r>
    </w:p>
    <w:p w14:paraId="1FF61614" w14:textId="0AE12B28" w:rsidR="009E42A3" w:rsidRPr="001A3BA9" w:rsidRDefault="009E42A3" w:rsidP="005A59E4">
      <w:pPr>
        <w:spacing w:line="240" w:lineRule="auto"/>
        <w:rPr>
          <w:lang w:val="en-GB"/>
        </w:rPr>
      </w:pPr>
      <w:bookmarkStart w:id="18" w:name="_Ref421267530"/>
    </w:p>
    <w:p w14:paraId="568EB6CA" w14:textId="7B8293DC" w:rsidR="00677CCA" w:rsidRDefault="00677CCA" w:rsidP="00677CCA">
      <w:pPr>
        <w:pStyle w:val="Heading2"/>
        <w:spacing w:line="240" w:lineRule="auto"/>
        <w:rPr>
          <w:lang w:val="en-GB"/>
        </w:rPr>
      </w:pPr>
      <w:r w:rsidRPr="001A3BA9">
        <w:rPr>
          <w:lang w:val="en-GB"/>
        </w:rPr>
        <w:t>Policy developments</w:t>
      </w:r>
      <w:r>
        <w:rPr>
          <w:lang w:val="en-GB"/>
        </w:rPr>
        <w:br/>
      </w:r>
    </w:p>
    <w:p w14:paraId="3C0734D5" w14:textId="3E356993" w:rsidR="00677CCA" w:rsidRPr="00677CCA" w:rsidRDefault="00677CCA" w:rsidP="00677CCA">
      <w:pPr>
        <w:pStyle w:val="ListParagraph"/>
        <w:numPr>
          <w:ilvl w:val="0"/>
          <w:numId w:val="16"/>
        </w:numPr>
        <w:rPr>
          <w:b/>
          <w:color w:val="002060"/>
          <w:lang w:val="en-GB"/>
        </w:rPr>
      </w:pPr>
      <w:r w:rsidRPr="00677CCA">
        <w:rPr>
          <w:b/>
          <w:color w:val="002060"/>
          <w:lang w:val="en-GB"/>
        </w:rPr>
        <w:t>International Roma Day: EU calls for more action to address discrimination and anti-Gypsyism</w:t>
      </w:r>
    </w:p>
    <w:p w14:paraId="221FF2C3" w14:textId="2284BED6" w:rsidR="00677CCA" w:rsidRDefault="00677CCA" w:rsidP="0071202A">
      <w:pPr>
        <w:jc w:val="both"/>
        <w:rPr>
          <w:lang w:val="en-GB"/>
        </w:rPr>
      </w:pPr>
      <w:r>
        <w:rPr>
          <w:lang w:val="en-GB"/>
        </w:rPr>
        <w:t>8</w:t>
      </w:r>
      <w:r w:rsidRPr="00677CCA">
        <w:rPr>
          <w:vertAlign w:val="superscript"/>
          <w:lang w:val="en-GB"/>
        </w:rPr>
        <w:t>th</w:t>
      </w:r>
      <w:r>
        <w:rPr>
          <w:lang w:val="en-GB"/>
        </w:rPr>
        <w:t xml:space="preserve"> April marks the </w:t>
      </w:r>
      <w:r w:rsidRPr="0071202A">
        <w:rPr>
          <w:b/>
          <w:lang w:val="en-GB"/>
        </w:rPr>
        <w:t>International Roma Day</w:t>
      </w:r>
      <w:r>
        <w:rPr>
          <w:lang w:val="en-GB"/>
        </w:rPr>
        <w:t xml:space="preserve">. On that occasion, the European Commission and the </w:t>
      </w:r>
      <w:r w:rsidR="0071202A">
        <w:rPr>
          <w:lang w:val="en-GB"/>
        </w:rPr>
        <w:t>EU Agency for Fundamental Rights (FRA) released state</w:t>
      </w:r>
      <w:bookmarkStart w:id="19" w:name="_GoBack"/>
      <w:bookmarkEnd w:id="19"/>
      <w:r w:rsidR="0071202A">
        <w:rPr>
          <w:lang w:val="en-GB"/>
        </w:rPr>
        <w:t xml:space="preserve">ments reaffirming their commitment to fight anti-Gypsyism and calling on Member States to ensure inclusion and non-discrimination </w:t>
      </w:r>
      <w:r w:rsidR="0071202A" w:rsidRPr="0071202A">
        <w:rPr>
          <w:lang w:val="en-GB"/>
        </w:rPr>
        <w:t>of Roma, Sinti, Traveller and other similar communities</w:t>
      </w:r>
      <w:r w:rsidR="0071202A">
        <w:rPr>
          <w:lang w:val="en-GB"/>
        </w:rPr>
        <w:t>.</w:t>
      </w:r>
    </w:p>
    <w:p w14:paraId="7D40302A" w14:textId="5567A876" w:rsidR="0071202A" w:rsidRPr="0071202A" w:rsidRDefault="0071202A" w:rsidP="0071202A">
      <w:pPr>
        <w:shd w:val="clear" w:color="auto" w:fill="D9D9D9" w:themeFill="background1" w:themeFillShade="D9"/>
        <w:jc w:val="both"/>
        <w:rPr>
          <w:b/>
          <w:lang w:val="en-GB"/>
        </w:rPr>
      </w:pPr>
      <w:r w:rsidRPr="0071202A">
        <w:rPr>
          <w:b/>
          <w:lang w:val="en-GB"/>
        </w:rPr>
        <w:t xml:space="preserve">Read the European Commission’s statement </w:t>
      </w:r>
      <w:hyperlink r:id="rId33" w:history="1">
        <w:r w:rsidRPr="0071202A">
          <w:rPr>
            <w:rStyle w:val="Hyperlink"/>
            <w:b/>
            <w:lang w:val="en-GB"/>
          </w:rPr>
          <w:t>here</w:t>
        </w:r>
      </w:hyperlink>
      <w:r w:rsidRPr="0071202A">
        <w:rPr>
          <w:b/>
          <w:lang w:val="en-GB"/>
        </w:rPr>
        <w:t>.</w:t>
      </w:r>
      <w:r w:rsidRPr="0071202A">
        <w:rPr>
          <w:b/>
          <w:lang w:val="en-GB"/>
        </w:rPr>
        <w:tab/>
      </w:r>
      <w:r w:rsidRPr="0071202A">
        <w:rPr>
          <w:b/>
          <w:lang w:val="en-GB"/>
        </w:rPr>
        <w:br/>
        <w:t xml:space="preserve">Read the FRA’s statement </w:t>
      </w:r>
      <w:hyperlink r:id="rId34" w:history="1">
        <w:r w:rsidRPr="0071202A">
          <w:rPr>
            <w:rStyle w:val="Hyperlink"/>
            <w:b/>
            <w:lang w:val="en-GB"/>
          </w:rPr>
          <w:t>here</w:t>
        </w:r>
      </w:hyperlink>
      <w:r w:rsidRPr="0071202A">
        <w:rPr>
          <w:b/>
          <w:lang w:val="en-GB"/>
        </w:rPr>
        <w:t xml:space="preserve">. </w:t>
      </w:r>
    </w:p>
    <w:p w14:paraId="79CED96E" w14:textId="3A645E7B" w:rsidR="007A61FC" w:rsidRDefault="00EF446F" w:rsidP="005A59E4">
      <w:pPr>
        <w:pStyle w:val="Heading2"/>
        <w:spacing w:line="240" w:lineRule="auto"/>
        <w:jc w:val="both"/>
        <w:rPr>
          <w:lang w:val="en-GB"/>
        </w:rPr>
      </w:pPr>
      <w:r w:rsidRPr="001A3BA9">
        <w:rPr>
          <w:lang w:val="en-GB"/>
        </w:rPr>
        <w:t>Publications, funding opportunities and events</w:t>
      </w:r>
    </w:p>
    <w:p w14:paraId="3359015E" w14:textId="77777777" w:rsidR="00842C67" w:rsidRPr="00842C67" w:rsidRDefault="00842C67" w:rsidP="005A59E4">
      <w:pPr>
        <w:spacing w:line="240" w:lineRule="auto"/>
        <w:rPr>
          <w:lang w:val="en-GB"/>
        </w:rPr>
      </w:pPr>
    </w:p>
    <w:p w14:paraId="39E222AC" w14:textId="77777777" w:rsidR="00842C67" w:rsidRDefault="00842C67" w:rsidP="005A59E4">
      <w:pPr>
        <w:spacing w:line="240" w:lineRule="auto"/>
        <w:jc w:val="both"/>
        <w:rPr>
          <w:rStyle w:val="Hyperlink"/>
          <w:rFonts w:ascii="Calibri" w:eastAsia="Calibri" w:hAnsi="Calibri" w:cs="Times New Roman"/>
          <w:lang w:val="en-GB"/>
        </w:rPr>
      </w:pPr>
      <w:bookmarkStart w:id="20" w:name="_Sexual_Orientation_and"/>
      <w:bookmarkEnd w:id="20"/>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Pr="001A3BA9">
        <w:rPr>
          <w:rFonts w:ascii="Calibri" w:eastAsia="Calibri" w:hAnsi="Calibri" w:cs="Times New Roman"/>
          <w:b/>
          <w:lang w:val="en-GB"/>
        </w:rPr>
        <w:t>European Network against Racism (ENAR)</w:t>
      </w:r>
      <w:r w:rsidRPr="001A3BA9">
        <w:rPr>
          <w:rFonts w:ascii="Calibri" w:eastAsia="Calibri" w:hAnsi="Calibri" w:cs="Times New Roman"/>
          <w:lang w:val="en-GB"/>
        </w:rPr>
        <w:t xml:space="preserve"> - </w:t>
      </w:r>
      <w:hyperlink r:id="rId35" w:history="1">
        <w:r w:rsidRPr="001A3BA9">
          <w:rPr>
            <w:rStyle w:val="Hyperlink"/>
            <w:rFonts w:ascii="Calibri" w:eastAsia="Calibri" w:hAnsi="Calibri" w:cs="Times New Roman"/>
            <w:lang w:val="en-GB"/>
          </w:rPr>
          <w:t>Shadow Report on Afrophobia in the European Union</w:t>
        </w:r>
      </w:hyperlink>
    </w:p>
    <w:p w14:paraId="47B43BF8" w14:textId="77777777" w:rsidR="00842C67" w:rsidRDefault="00842C67" w:rsidP="005A59E4">
      <w:pPr>
        <w:spacing w:line="240" w:lineRule="auto"/>
        <w:jc w:val="both"/>
        <w:rPr>
          <w:rStyle w:val="Hyperlink"/>
          <w:rFonts w:ascii="Calibri" w:eastAsia="Calibri" w:hAnsi="Calibri" w:cs="Times New Roman"/>
          <w:lang w:val="en-GB"/>
        </w:rPr>
      </w:pPr>
    </w:p>
    <w:p w14:paraId="4376734D" w14:textId="03A20605" w:rsidR="00624AFF" w:rsidRPr="00842C67" w:rsidRDefault="00D05673" w:rsidP="005A59E4">
      <w:pPr>
        <w:pStyle w:val="Heading1"/>
        <w:pBdr>
          <w:top w:val="dotted" w:sz="4" w:space="1" w:color="auto"/>
          <w:bottom w:val="dotted" w:sz="4" w:space="1" w:color="auto"/>
        </w:pBdr>
        <w:spacing w:line="240" w:lineRule="auto"/>
        <w:rPr>
          <w:lang w:val="en-GB"/>
        </w:rPr>
      </w:pPr>
      <w:r w:rsidRPr="001A3BA9">
        <w:rPr>
          <w:lang w:val="en-GB"/>
        </w:rPr>
        <w:t>Sexual Orientation and Gender Identity</w:t>
      </w:r>
      <w:bookmarkEnd w:id="15"/>
      <w:bookmarkEnd w:id="16"/>
      <w:bookmarkEnd w:id="17"/>
      <w:bookmarkEnd w:id="18"/>
    </w:p>
    <w:p w14:paraId="439731E8" w14:textId="77777777" w:rsidR="00D51E65" w:rsidRDefault="00D51E65" w:rsidP="005A59E4">
      <w:pPr>
        <w:pStyle w:val="Heading2"/>
        <w:spacing w:line="240" w:lineRule="auto"/>
        <w:rPr>
          <w:rFonts w:asciiTheme="minorHAnsi" w:eastAsiaTheme="minorHAnsi" w:hAnsiTheme="minorHAnsi" w:cstheme="minorBidi"/>
          <w:b w:val="0"/>
          <w:color w:val="auto"/>
          <w:sz w:val="22"/>
          <w:szCs w:val="22"/>
          <w:lang w:val="en-GB"/>
        </w:rPr>
      </w:pPr>
    </w:p>
    <w:p w14:paraId="05C80605" w14:textId="247DF04D" w:rsidR="00842C67" w:rsidRPr="00842C67" w:rsidRDefault="00EF446F" w:rsidP="005A59E4">
      <w:pPr>
        <w:pStyle w:val="Heading2"/>
        <w:spacing w:line="240" w:lineRule="auto"/>
        <w:rPr>
          <w:lang w:val="en-GB"/>
        </w:rPr>
      </w:pPr>
      <w:r w:rsidRPr="001A3BA9">
        <w:rPr>
          <w:lang w:val="en-GB"/>
        </w:rPr>
        <w:t>Publications, funding opportunities and events</w:t>
      </w:r>
      <w:r w:rsidR="00842C67">
        <w:rPr>
          <w:lang w:val="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842C67" w:rsidRPr="00F74759" w14:paraId="69EB23D0" w14:textId="77777777" w:rsidTr="00842C67">
        <w:tc>
          <w:tcPr>
            <w:tcW w:w="9886" w:type="dxa"/>
          </w:tcPr>
          <w:p w14:paraId="50252430" w14:textId="130986E1" w:rsidR="00842C67" w:rsidRDefault="00842C67" w:rsidP="005A59E4">
            <w:pPr>
              <w:rPr>
                <w:rStyle w:val="Hyperlink"/>
                <w:lang w:val="en-GB"/>
              </w:rPr>
            </w:pPr>
            <w:r>
              <w:rPr>
                <w:rFonts w:cs="Arial"/>
                <w:noProof/>
                <w:shd w:val="clear" w:color="auto" w:fill="FFFFFF"/>
                <w:lang w:eastAsia="fr-BE"/>
              </w:rPr>
              <w:drawing>
                <wp:anchor distT="0" distB="0" distL="114300" distR="114300" simplePos="0" relativeHeight="251679744" behindDoc="0" locked="0" layoutInCell="1" allowOverlap="1" wp14:anchorId="2000D57E" wp14:editId="20711182">
                  <wp:simplePos x="0" y="0"/>
                  <wp:positionH relativeFrom="margin">
                    <wp:posOffset>4866640</wp:posOffset>
                  </wp:positionH>
                  <wp:positionV relativeFrom="margin">
                    <wp:posOffset>20955</wp:posOffset>
                  </wp:positionV>
                  <wp:extent cx="1323975" cy="1870710"/>
                  <wp:effectExtent l="19050" t="19050" r="28575" b="152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n818-be9cb.jpg"/>
                          <pic:cNvPicPr/>
                        </pic:nvPicPr>
                        <pic:blipFill>
                          <a:blip r:embed="rId36">
                            <a:extLst>
                              <a:ext uri="{28A0092B-C50C-407E-A947-70E740481C1C}">
                                <a14:useLocalDpi xmlns:a14="http://schemas.microsoft.com/office/drawing/2010/main" val="0"/>
                              </a:ext>
                            </a:extLst>
                          </a:blip>
                          <a:stretch>
                            <a:fillRect/>
                          </a:stretch>
                        </pic:blipFill>
                        <pic:spPr>
                          <a:xfrm>
                            <a:off x="0" y="0"/>
                            <a:ext cx="1323975" cy="18707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sidRPr="001A3BA9">
              <w:rPr>
                <w:b/>
                <w:lang w:val="en-GB"/>
              </w:rPr>
              <w:t>European Union Agency for Fundamental Rights (FRA) –</w:t>
            </w:r>
            <w:r w:rsidRPr="001A3BA9">
              <w:rPr>
                <w:lang w:val="en-GB"/>
              </w:rPr>
              <w:t xml:space="preserve"> </w:t>
            </w:r>
            <w:hyperlink r:id="rId37" w:history="1">
              <w:r w:rsidRPr="001A3BA9">
                <w:rPr>
                  <w:rStyle w:val="Hyperlink"/>
                  <w:lang w:val="en-GB"/>
                </w:rPr>
                <w:t>New LGBT report</w:t>
              </w:r>
            </w:hyperlink>
          </w:p>
          <w:p w14:paraId="70A8E096" w14:textId="77777777" w:rsidR="00842C67" w:rsidRPr="001A3BA9" w:rsidRDefault="00842C67" w:rsidP="005A59E4">
            <w:pPr>
              <w:rPr>
                <w:rFonts w:cs="Arial"/>
                <w:shd w:val="clear" w:color="auto" w:fill="FFFFFF"/>
                <w:lang w:val="en-GB"/>
              </w:rPr>
            </w:pPr>
          </w:p>
          <w:p w14:paraId="3BEA2100" w14:textId="77777777" w:rsidR="00842C67" w:rsidRDefault="00842C67" w:rsidP="005A59E4">
            <w:pPr>
              <w:jc w:val="both"/>
              <w:rPr>
                <w:rFonts w:cs="Arial"/>
                <w:shd w:val="clear" w:color="auto" w:fill="FFFFFF"/>
                <w:lang w:val="en-GB"/>
              </w:rPr>
            </w:pPr>
            <w:r w:rsidRPr="001A3BA9">
              <w:rPr>
                <w:rFonts w:cs="Arial"/>
                <w:shd w:val="clear" w:color="auto" w:fill="FFFFFF"/>
                <w:lang w:val="en-GB"/>
              </w:rPr>
              <w:t xml:space="preserve">FRA published its </w:t>
            </w:r>
            <w:r w:rsidRPr="00842C67">
              <w:rPr>
                <w:rFonts w:cs="Arial"/>
                <w:b/>
                <w:shd w:val="clear" w:color="auto" w:fill="FFFFFF"/>
                <w:lang w:val="en-GB"/>
              </w:rPr>
              <w:t>report “Professionally speaking: challenges to achieving equality for LGBT people</w:t>
            </w:r>
            <w:r w:rsidRPr="001A3BA9">
              <w:rPr>
                <w:rFonts w:cs="Arial"/>
                <w:shd w:val="clear" w:color="auto" w:fill="FFFFFF"/>
                <w:lang w:val="en-GB"/>
              </w:rPr>
              <w:t>” revealing how wrong and outdated views towards lesbian, gay, bisexual and trans people could endanger their fundamental rights.</w:t>
            </w:r>
            <w:r w:rsidRPr="001A3BA9">
              <w:rPr>
                <w:lang w:val="en-GB"/>
              </w:rPr>
              <w:t xml:space="preserve"> </w:t>
            </w:r>
            <w:r w:rsidRPr="001A3BA9">
              <w:rPr>
                <w:rFonts w:cs="Arial"/>
                <w:shd w:val="clear" w:color="auto" w:fill="FFFFFF"/>
                <w:lang w:val="en-GB"/>
              </w:rPr>
              <w:t xml:space="preserve">Among the various opinions, FRA also advises that the "EU Member States should ensure that competent public authorities, such as </w:t>
            </w:r>
            <w:r w:rsidRPr="00842C67">
              <w:rPr>
                <w:rFonts w:cs="Arial"/>
                <w:b/>
                <w:shd w:val="clear" w:color="auto" w:fill="FFFFFF"/>
                <w:lang w:val="en-GB"/>
              </w:rPr>
              <w:t>equality bodies</w:t>
            </w:r>
            <w:r w:rsidRPr="001A3BA9">
              <w:rPr>
                <w:rFonts w:cs="Arial"/>
                <w:shd w:val="clear" w:color="auto" w:fill="FFFFFF"/>
                <w:lang w:val="en-GB"/>
              </w:rPr>
              <w:t>, national human rights institutions and children’s ombudspersons, are properly mandated, resourced and encouraged to deal with bullying and discrimination on grounds of sexual orientation and/or gender identity in education."</w:t>
            </w:r>
            <w:r w:rsidRPr="00B22B3F">
              <w:rPr>
                <w:rFonts w:cs="Arial"/>
                <w:noProof/>
                <w:shd w:val="clear" w:color="auto" w:fill="FFFFFF"/>
                <w:lang w:val="en-GB" w:eastAsia="en-GB"/>
              </w:rPr>
              <w:t xml:space="preserve"> </w:t>
            </w:r>
          </w:p>
          <w:p w14:paraId="5A0416CA" w14:textId="134D2ECF" w:rsidR="00842C67" w:rsidRDefault="00842C67" w:rsidP="005A59E4">
            <w:pPr>
              <w:rPr>
                <w:b/>
                <w:color w:val="FFFFFF" w:themeColor="background1"/>
                <w:shd w:val="clear" w:color="auto" w:fill="7030A0"/>
                <w:lang w:val="en-GB"/>
              </w:rPr>
            </w:pPr>
          </w:p>
        </w:tc>
      </w:tr>
    </w:tbl>
    <w:p w14:paraId="19BCD5AD" w14:textId="77777777" w:rsidR="00842C67" w:rsidRDefault="00842C67" w:rsidP="005A59E4">
      <w:pPr>
        <w:spacing w:line="240" w:lineRule="auto"/>
        <w:rPr>
          <w:rFonts w:cs="Arial"/>
          <w:shd w:val="clear" w:color="auto" w:fill="FFFFFF"/>
          <w:lang w:val="en-GB"/>
        </w:rPr>
      </w:pPr>
    </w:p>
    <w:p w14:paraId="0F974723" w14:textId="6302A2A6" w:rsidR="003A3173" w:rsidRPr="001A3BA9" w:rsidRDefault="003A3173" w:rsidP="005A59E4">
      <w:pPr>
        <w:spacing w:line="240" w:lineRule="auto"/>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sidR="000124F1" w:rsidRPr="001A3BA9">
        <w:rPr>
          <w:rFonts w:ascii="Calibri" w:eastAsia="Calibri" w:hAnsi="Calibri" w:cs="Times New Roman"/>
          <w:lang w:val="en-GB"/>
        </w:rPr>
        <w:t>–</w:t>
      </w:r>
      <w:r w:rsidRPr="001A3BA9">
        <w:rPr>
          <w:rFonts w:ascii="Calibri" w:eastAsia="Calibri" w:hAnsi="Calibri" w:cs="Times New Roman"/>
          <w:lang w:val="en-GB"/>
        </w:rPr>
        <w:t xml:space="preserve"> </w:t>
      </w:r>
      <w:r w:rsidR="000124F1" w:rsidRPr="001A3BA9">
        <w:rPr>
          <w:rFonts w:ascii="Calibri" w:eastAsia="Calibri" w:hAnsi="Calibri" w:cs="Times New Roman"/>
          <w:b/>
          <w:lang w:val="en-GB"/>
        </w:rPr>
        <w:t>Transgender Europe</w:t>
      </w:r>
      <w:r w:rsidR="002D35C4" w:rsidRPr="001A3BA9">
        <w:rPr>
          <w:rFonts w:ascii="Calibri" w:eastAsia="Calibri" w:hAnsi="Calibri" w:cs="Times New Roman"/>
          <w:b/>
          <w:lang w:val="en-GB"/>
        </w:rPr>
        <w:t xml:space="preserve"> </w:t>
      </w:r>
      <w:r w:rsidR="002D35C4" w:rsidRPr="001A3BA9">
        <w:rPr>
          <w:b/>
          <w:lang w:val="en-GB"/>
        </w:rPr>
        <w:t>(TGEU)</w:t>
      </w:r>
      <w:r w:rsidR="002D35C4" w:rsidRPr="001A3BA9">
        <w:rPr>
          <w:lang w:val="en-GB"/>
        </w:rPr>
        <w:t xml:space="preserve"> </w:t>
      </w:r>
      <w:r w:rsidR="000124F1" w:rsidRPr="001A3BA9">
        <w:rPr>
          <w:rFonts w:ascii="Calibri" w:eastAsia="Calibri" w:hAnsi="Calibri" w:cs="Times New Roman"/>
          <w:lang w:val="en-GB"/>
        </w:rPr>
        <w:t xml:space="preserve">– </w:t>
      </w:r>
      <w:hyperlink r:id="rId38" w:history="1">
        <w:r w:rsidR="000124F1" w:rsidRPr="001A3BA9">
          <w:rPr>
            <w:rStyle w:val="Hyperlink"/>
            <w:rFonts w:ascii="Calibri" w:eastAsia="Calibri" w:hAnsi="Calibri" w:cs="Times New Roman"/>
            <w:lang w:val="en-GB"/>
          </w:rPr>
          <w:t>Trans Murder Monitoring Update</w:t>
        </w:r>
      </w:hyperlink>
    </w:p>
    <w:p w14:paraId="5943024F" w14:textId="4B440F89" w:rsidR="002D35C4" w:rsidRPr="001A3BA9" w:rsidRDefault="002D35C4" w:rsidP="005A59E4">
      <w:pPr>
        <w:spacing w:line="240" w:lineRule="auto"/>
        <w:jc w:val="both"/>
        <w:rPr>
          <w:lang w:val="en-GB"/>
        </w:rPr>
      </w:pPr>
      <w:r w:rsidRPr="001A3BA9">
        <w:rPr>
          <w:lang w:val="en-GB"/>
        </w:rPr>
        <w:t xml:space="preserve">On occasion of the International Transgender Day of Visibility held on the 31st of March every year, </w:t>
      </w:r>
      <w:hyperlink r:id="rId39" w:history="1">
        <w:r w:rsidRPr="00A64F44">
          <w:rPr>
            <w:rStyle w:val="Hyperlink"/>
            <w:lang w:val="en-GB"/>
          </w:rPr>
          <w:t>Transgender Europe (TGEU)</w:t>
        </w:r>
      </w:hyperlink>
      <w:r w:rsidRPr="001A3BA9">
        <w:rPr>
          <w:lang w:val="en-GB"/>
        </w:rPr>
        <w:t xml:space="preserve"> published the Trans </w:t>
      </w:r>
      <w:r w:rsidR="00B328C5" w:rsidRPr="001A3BA9">
        <w:rPr>
          <w:lang w:val="en-GB"/>
        </w:rPr>
        <w:t xml:space="preserve">Murder Monitoring </w:t>
      </w:r>
      <w:r w:rsidRPr="001A3BA9">
        <w:rPr>
          <w:lang w:val="en-GB"/>
        </w:rPr>
        <w:t>project.</w:t>
      </w:r>
    </w:p>
    <w:p w14:paraId="298670E3" w14:textId="77777777" w:rsidR="0034362B" w:rsidRPr="001A3BA9" w:rsidRDefault="0034362B" w:rsidP="005A59E4">
      <w:pPr>
        <w:spacing w:line="240" w:lineRule="auto"/>
        <w:jc w:val="both"/>
        <w:rPr>
          <w:lang w:val="en-GB"/>
        </w:rPr>
      </w:pPr>
    </w:p>
    <w:p w14:paraId="11326F81" w14:textId="13EE774E" w:rsidR="00EF446F" w:rsidRPr="001A3BA9" w:rsidRDefault="004A7771" w:rsidP="005A59E4">
      <w:pPr>
        <w:pStyle w:val="Heading1"/>
        <w:pBdr>
          <w:top w:val="dotted" w:sz="4" w:space="1" w:color="auto"/>
          <w:bottom w:val="dotted" w:sz="4" w:space="1" w:color="auto"/>
        </w:pBdr>
        <w:spacing w:line="240" w:lineRule="auto"/>
        <w:rPr>
          <w:lang w:val="en-GB"/>
        </w:rPr>
      </w:pPr>
      <w:bookmarkStart w:id="21" w:name="_Disability"/>
      <w:bookmarkStart w:id="22" w:name="_Toc418770750"/>
      <w:bookmarkStart w:id="23" w:name="_Ref418784334"/>
      <w:bookmarkStart w:id="24" w:name="_Ref421267538"/>
      <w:bookmarkEnd w:id="21"/>
      <w:r w:rsidRPr="001A3BA9">
        <w:rPr>
          <w:lang w:val="en-GB"/>
        </w:rPr>
        <w:t>Disability</w:t>
      </w:r>
      <w:bookmarkEnd w:id="22"/>
      <w:bookmarkEnd w:id="23"/>
      <w:bookmarkEnd w:id="24"/>
    </w:p>
    <w:p w14:paraId="0D7C94EB" w14:textId="77777777" w:rsidR="00FE5DDF" w:rsidRPr="001A3BA9" w:rsidRDefault="00FE5DDF" w:rsidP="005A59E4">
      <w:pPr>
        <w:spacing w:line="240" w:lineRule="auto"/>
        <w:rPr>
          <w:lang w:val="en-GB"/>
        </w:rPr>
      </w:pPr>
    </w:p>
    <w:p w14:paraId="7C5E18FF" w14:textId="1D7593A5" w:rsidR="00842C67" w:rsidRPr="00842C67" w:rsidRDefault="00FE5DDF" w:rsidP="005A59E4">
      <w:pPr>
        <w:pStyle w:val="Heading2"/>
        <w:spacing w:line="240" w:lineRule="auto"/>
        <w:jc w:val="both"/>
        <w:rPr>
          <w:lang w:val="en-GB"/>
        </w:rPr>
      </w:pPr>
      <w:r w:rsidRPr="001A3BA9">
        <w:rPr>
          <w:lang w:val="en-GB"/>
        </w:rPr>
        <w:t>Publications, fu</w:t>
      </w:r>
      <w:r w:rsidR="002A17B3" w:rsidRPr="001A3BA9">
        <w:rPr>
          <w:lang w:val="en-GB"/>
        </w:rPr>
        <w:t>nding opportunities and events</w:t>
      </w:r>
      <w:r w:rsidR="002A17B3" w:rsidRPr="001A3BA9">
        <w:rPr>
          <w:lang w:val="en-GB"/>
        </w:rPr>
        <w:tab/>
      </w:r>
      <w:r w:rsidR="00842C67">
        <w:rPr>
          <w:lang w:val="en-GB"/>
        </w:rPr>
        <w:br/>
      </w:r>
    </w:p>
    <w:p w14:paraId="1EBABD00" w14:textId="77777777" w:rsidR="00677CCA" w:rsidRDefault="00677CCA" w:rsidP="00677CCA">
      <w:pPr>
        <w:spacing w:line="240" w:lineRule="auto"/>
        <w:jc w:val="both"/>
        <w:rPr>
          <w:lang w:val="en-GB"/>
        </w:rPr>
      </w:pPr>
      <w:r>
        <w:rPr>
          <w:b/>
          <w:shd w:val="clear" w:color="auto" w:fill="FFFF00"/>
          <w:lang w:val="en-GB"/>
        </w:rPr>
        <w:t>EVENT</w:t>
      </w:r>
      <w:r>
        <w:rPr>
          <w:b/>
          <w:lang w:val="en-GB"/>
        </w:rPr>
        <w:t xml:space="preserve"> – </w:t>
      </w:r>
      <w:r w:rsidRPr="00486E96">
        <w:rPr>
          <w:b/>
          <w:lang w:val="en-GB"/>
        </w:rPr>
        <w:t>European Economic and Social Committee (EESC)</w:t>
      </w:r>
      <w:r>
        <w:rPr>
          <w:b/>
          <w:lang w:val="en-GB"/>
        </w:rPr>
        <w:t xml:space="preserve"> – </w:t>
      </w:r>
      <w:hyperlink r:id="rId40" w:history="1">
        <w:r w:rsidRPr="00842C67">
          <w:rPr>
            <w:rStyle w:val="Hyperlink"/>
            <w:lang w:val="en-GB"/>
          </w:rPr>
          <w:t>Public hearing on the European Accessibility Act</w:t>
        </w:r>
      </w:hyperlink>
      <w:r>
        <w:rPr>
          <w:b/>
          <w:lang w:val="en-GB"/>
        </w:rPr>
        <w:t xml:space="preserve"> (13</w:t>
      </w:r>
      <w:r w:rsidRPr="00842C67">
        <w:rPr>
          <w:b/>
          <w:vertAlign w:val="superscript"/>
          <w:lang w:val="en-GB"/>
        </w:rPr>
        <w:t>th</w:t>
      </w:r>
      <w:r>
        <w:rPr>
          <w:b/>
          <w:lang w:val="en-GB"/>
        </w:rPr>
        <w:t xml:space="preserve"> April 2016, 09:30 – 13:00, EESC, Brussels)</w:t>
      </w:r>
    </w:p>
    <w:p w14:paraId="3EC8734E" w14:textId="61BC0122" w:rsidR="000A426F" w:rsidRPr="001A3BA9" w:rsidRDefault="000A426F" w:rsidP="005A59E4">
      <w:pPr>
        <w:spacing w:line="240" w:lineRule="auto"/>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002D1695" w:rsidRPr="001A3BA9">
        <w:rPr>
          <w:rFonts w:ascii="Calibri" w:eastAsia="Calibri" w:hAnsi="Calibri" w:cs="Times New Roman"/>
          <w:b/>
          <w:lang w:val="en-GB"/>
        </w:rPr>
        <w:t>European network of legal experts in gender equality and non-discrimination</w:t>
      </w:r>
      <w:r w:rsidRPr="001A3BA9">
        <w:rPr>
          <w:rFonts w:ascii="Calibri" w:eastAsia="Calibri" w:hAnsi="Calibri" w:cs="Times New Roman"/>
          <w:lang w:val="en-GB"/>
        </w:rPr>
        <w:t>–</w:t>
      </w:r>
      <w:r w:rsidR="002D1695" w:rsidRPr="001A3BA9">
        <w:rPr>
          <w:lang w:val="en-GB"/>
        </w:rPr>
        <w:t xml:space="preserve"> </w:t>
      </w:r>
      <w:hyperlink r:id="rId41" w:history="1">
        <w:r w:rsidR="002D1695" w:rsidRPr="001A3BA9">
          <w:rPr>
            <w:rStyle w:val="Hyperlink"/>
            <w:lang w:val="en-GB"/>
          </w:rPr>
          <w:t>Reasonable accommodation for disabled people in employment contexts</w:t>
        </w:r>
      </w:hyperlink>
    </w:p>
    <w:p w14:paraId="5998CE1C" w14:textId="77777777" w:rsidR="00842C67" w:rsidRPr="001A3BA9" w:rsidRDefault="00842C67" w:rsidP="005A59E4">
      <w:pPr>
        <w:spacing w:line="240" w:lineRule="auto"/>
        <w:rPr>
          <w:lang w:val="en-GB"/>
        </w:rPr>
      </w:pPr>
    </w:p>
    <w:p w14:paraId="16F13B09" w14:textId="355DCE5B" w:rsidR="00D05673" w:rsidRPr="001A3BA9" w:rsidRDefault="00AB116C" w:rsidP="005A59E4">
      <w:pPr>
        <w:pStyle w:val="Heading1"/>
        <w:pBdr>
          <w:top w:val="dotted" w:sz="4" w:space="1" w:color="auto"/>
          <w:bottom w:val="dotted" w:sz="4" w:space="1" w:color="auto"/>
        </w:pBdr>
        <w:spacing w:line="240" w:lineRule="auto"/>
        <w:rPr>
          <w:lang w:val="en-GB"/>
        </w:rPr>
      </w:pPr>
      <w:bookmarkStart w:id="25" w:name="_Age"/>
      <w:bookmarkStart w:id="26" w:name="_Ref421267547"/>
      <w:bookmarkEnd w:id="25"/>
      <w:r w:rsidRPr="001A3BA9">
        <w:rPr>
          <w:lang w:val="en-GB"/>
        </w:rPr>
        <w:t>Age</w:t>
      </w:r>
      <w:bookmarkEnd w:id="26"/>
    </w:p>
    <w:p w14:paraId="34F20C56" w14:textId="77777777" w:rsidR="00FE5DDF" w:rsidRPr="001A3BA9" w:rsidRDefault="00FE5DDF" w:rsidP="005A59E4">
      <w:pPr>
        <w:spacing w:line="240" w:lineRule="auto"/>
        <w:rPr>
          <w:lang w:val="en-GB"/>
        </w:rPr>
      </w:pPr>
    </w:p>
    <w:p w14:paraId="3AB18B60" w14:textId="483CA443" w:rsidR="00EF446F" w:rsidRDefault="00EF446F" w:rsidP="005A59E4">
      <w:pPr>
        <w:pStyle w:val="Heading2"/>
        <w:spacing w:line="240" w:lineRule="auto"/>
        <w:jc w:val="both"/>
        <w:rPr>
          <w:lang w:val="en-GB"/>
        </w:rPr>
      </w:pPr>
      <w:r w:rsidRPr="001A3BA9">
        <w:rPr>
          <w:lang w:val="en-GB"/>
        </w:rPr>
        <w:t>Publications, funding opportunities and events</w:t>
      </w:r>
    </w:p>
    <w:p w14:paraId="19D4C500" w14:textId="77777777" w:rsidR="00842C67" w:rsidRPr="00842C67" w:rsidRDefault="00842C67" w:rsidP="005A59E4">
      <w:pPr>
        <w:spacing w:line="240" w:lineRule="auto"/>
        <w:rPr>
          <w:lang w:val="en-GB"/>
        </w:rPr>
      </w:pPr>
    </w:p>
    <w:p w14:paraId="52FFBF23" w14:textId="7563D859" w:rsidR="00486E96" w:rsidRDefault="00486E96" w:rsidP="005A59E4">
      <w:pPr>
        <w:spacing w:line="240" w:lineRule="auto"/>
        <w:jc w:val="both"/>
        <w:rPr>
          <w:b/>
          <w:lang w:val="en-GB"/>
        </w:rPr>
      </w:pPr>
      <w:r>
        <w:rPr>
          <w:b/>
          <w:shd w:val="clear" w:color="auto" w:fill="FFFF00"/>
          <w:lang w:val="en-GB"/>
        </w:rPr>
        <w:t>EVENT</w:t>
      </w:r>
      <w:r>
        <w:rPr>
          <w:b/>
          <w:lang w:val="en-GB"/>
        </w:rPr>
        <w:t xml:space="preserve"> – European Parliament – </w:t>
      </w:r>
      <w:r w:rsidRPr="00486E96">
        <w:rPr>
          <w:b/>
          <w:lang w:val="en-GB"/>
        </w:rPr>
        <w:t>Fighting ageism and age discrimination</w:t>
      </w:r>
      <w:r w:rsidR="00842C67">
        <w:rPr>
          <w:b/>
          <w:lang w:val="en-GB"/>
        </w:rPr>
        <w:t xml:space="preserve"> (26</w:t>
      </w:r>
      <w:r w:rsidR="00842C67" w:rsidRPr="00842C67">
        <w:rPr>
          <w:b/>
          <w:vertAlign w:val="superscript"/>
          <w:lang w:val="en-GB"/>
        </w:rPr>
        <w:t>th</w:t>
      </w:r>
      <w:r w:rsidR="00842C67">
        <w:rPr>
          <w:b/>
          <w:lang w:val="en-GB"/>
        </w:rPr>
        <w:t xml:space="preserve"> April 2016, 14:00 – 16:00, European Parliament, Brussels)</w:t>
      </w:r>
    </w:p>
    <w:p w14:paraId="38AD042C" w14:textId="77777777" w:rsidR="00A64F44" w:rsidRDefault="00486E96" w:rsidP="005A59E4">
      <w:pPr>
        <w:spacing w:line="240" w:lineRule="auto"/>
        <w:jc w:val="both"/>
        <w:rPr>
          <w:lang w:val="en-GB"/>
        </w:rPr>
      </w:pPr>
      <w:r w:rsidRPr="00486E96">
        <w:rPr>
          <w:lang w:val="en-GB"/>
        </w:rPr>
        <w:t>The</w:t>
      </w:r>
      <w:r w:rsidR="00A64F44">
        <w:rPr>
          <w:lang w:val="en-GB"/>
        </w:rPr>
        <w:t xml:space="preserve"> European Parliament</w:t>
      </w:r>
      <w:r w:rsidRPr="00486E96">
        <w:rPr>
          <w:lang w:val="en-GB"/>
        </w:rPr>
        <w:t xml:space="preserve"> Intergroup's sub-group on Active Ageing is organising, with the cooperation of </w:t>
      </w:r>
      <w:hyperlink r:id="rId42" w:history="1">
        <w:r w:rsidRPr="00842C67">
          <w:rPr>
            <w:rStyle w:val="Hyperlink"/>
            <w:lang w:val="en-GB"/>
          </w:rPr>
          <w:t>AGE Platform Europe</w:t>
        </w:r>
      </w:hyperlink>
      <w:r w:rsidRPr="00486E96">
        <w:rPr>
          <w:lang w:val="en-GB"/>
        </w:rPr>
        <w:t>, an event at the Europea</w:t>
      </w:r>
      <w:r>
        <w:rPr>
          <w:lang w:val="en-GB"/>
        </w:rPr>
        <w:t>n Parliament in Brussels on 26</w:t>
      </w:r>
      <w:r w:rsidRPr="00486E96">
        <w:rPr>
          <w:lang w:val="en-GB"/>
        </w:rPr>
        <w:t xml:space="preserve"> April to mark the </w:t>
      </w:r>
      <w:r w:rsidRPr="00A64F44">
        <w:rPr>
          <w:b/>
          <w:lang w:val="en-GB"/>
        </w:rPr>
        <w:t>European Day of Solidarity between Generations</w:t>
      </w:r>
      <w:r w:rsidRPr="00486E96">
        <w:rPr>
          <w:lang w:val="en-GB"/>
        </w:rPr>
        <w:t>.</w:t>
      </w:r>
      <w:r>
        <w:rPr>
          <w:lang w:val="en-GB"/>
        </w:rPr>
        <w:t xml:space="preserve"> More information can be found </w:t>
      </w:r>
      <w:hyperlink r:id="rId43" w:history="1">
        <w:r w:rsidRPr="00486E96">
          <w:rPr>
            <w:rStyle w:val="Hyperlink"/>
            <w:lang w:val="en-GB"/>
          </w:rPr>
          <w:t>here</w:t>
        </w:r>
      </w:hyperlink>
      <w:r>
        <w:rPr>
          <w:lang w:val="en-GB"/>
        </w:rPr>
        <w:t>.</w:t>
      </w:r>
      <w:r w:rsidR="00842C67">
        <w:rPr>
          <w:lang w:val="en-GB"/>
        </w:rPr>
        <w:tab/>
      </w:r>
    </w:p>
    <w:p w14:paraId="0B62EE09" w14:textId="5578D3F2" w:rsidR="00486E96" w:rsidRPr="00A64F44" w:rsidRDefault="00A64F44" w:rsidP="005A59E4">
      <w:pPr>
        <w:spacing w:line="240" w:lineRule="auto"/>
        <w:jc w:val="both"/>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Pr="001A3BA9">
        <w:rPr>
          <w:rFonts w:ascii="Calibri" w:eastAsia="Calibri" w:hAnsi="Calibri" w:cs="Times New Roman"/>
          <w:b/>
          <w:lang w:val="en-GB"/>
        </w:rPr>
        <w:t>Child Rights International Network (CRIN)</w:t>
      </w:r>
      <w:r w:rsidRPr="001A3BA9">
        <w:rPr>
          <w:rFonts w:ascii="Calibri" w:eastAsia="Calibri" w:hAnsi="Calibri" w:cs="Times New Roman"/>
          <w:lang w:val="en-GB"/>
        </w:rPr>
        <w:t xml:space="preserve"> – </w:t>
      </w:r>
      <w:hyperlink r:id="rId44" w:history="1">
        <w:r w:rsidRPr="001A3BA9">
          <w:rPr>
            <w:rStyle w:val="Hyperlink"/>
            <w:rFonts w:ascii="Calibri" w:eastAsia="Calibri" w:hAnsi="Calibri" w:cs="Times New Roman"/>
            <w:lang w:val="en-GB"/>
          </w:rPr>
          <w:t>Rights, Remedies and Representation: A global report on access to justice for children</w:t>
        </w:r>
      </w:hyperlink>
      <w:r>
        <w:rPr>
          <w:rFonts w:ascii="Calibri" w:eastAsia="Calibri" w:hAnsi="Calibri" w:cs="Times New Roman"/>
          <w:lang w:val="en-GB"/>
        </w:rPr>
        <w:tab/>
      </w:r>
      <w:r w:rsidR="00486E96">
        <w:rPr>
          <w:lang w:val="en-GB"/>
        </w:rPr>
        <w:br/>
      </w:r>
    </w:p>
    <w:p w14:paraId="37A35064" w14:textId="280F6441" w:rsidR="00EF446F" w:rsidRPr="001A3BA9" w:rsidRDefault="00EF446F" w:rsidP="005A59E4">
      <w:pPr>
        <w:pStyle w:val="Heading1"/>
        <w:pBdr>
          <w:top w:val="dotted" w:sz="4" w:space="1" w:color="auto"/>
          <w:bottom w:val="dotted" w:sz="4" w:space="1" w:color="auto"/>
        </w:pBdr>
        <w:spacing w:line="240" w:lineRule="auto"/>
        <w:rPr>
          <w:lang w:val="en-GB"/>
        </w:rPr>
      </w:pPr>
      <w:bookmarkStart w:id="27" w:name="_Other"/>
      <w:bookmarkEnd w:id="27"/>
      <w:r w:rsidRPr="001A3BA9">
        <w:rPr>
          <w:lang w:val="en-GB"/>
        </w:rPr>
        <w:t>Other</w:t>
      </w:r>
      <w:r w:rsidR="005F29CB">
        <w:rPr>
          <w:lang w:val="en-GB"/>
        </w:rPr>
        <w:t xml:space="preserve"> </w:t>
      </w:r>
      <w:r w:rsidR="00A64F44">
        <w:rPr>
          <w:lang w:val="en-GB"/>
        </w:rPr>
        <w:t xml:space="preserve">policy areas and </w:t>
      </w:r>
      <w:r w:rsidR="005F29CB">
        <w:rPr>
          <w:lang w:val="en-GB"/>
        </w:rPr>
        <w:t>grounds of discrimination</w:t>
      </w:r>
    </w:p>
    <w:p w14:paraId="53B3EFDB" w14:textId="77777777" w:rsidR="00FE5DDF" w:rsidRDefault="00FE5DDF" w:rsidP="005A59E4">
      <w:pPr>
        <w:spacing w:line="240" w:lineRule="auto"/>
        <w:rPr>
          <w:lang w:val="en-GB"/>
        </w:rPr>
      </w:pPr>
    </w:p>
    <w:p w14:paraId="73021848" w14:textId="5E4BC614" w:rsidR="00A64F44" w:rsidRPr="001A3BA9" w:rsidRDefault="00A64F44" w:rsidP="005A59E4">
      <w:pPr>
        <w:pStyle w:val="Heading2"/>
        <w:spacing w:line="240" w:lineRule="auto"/>
        <w:rPr>
          <w:lang w:val="en-GB"/>
        </w:rPr>
      </w:pPr>
      <w:r w:rsidRPr="001A3BA9">
        <w:rPr>
          <w:lang w:val="en-GB"/>
        </w:rPr>
        <w:t>Policy developments</w:t>
      </w:r>
      <w:r>
        <w:rPr>
          <w:lang w:val="en-GB"/>
        </w:rPr>
        <w:br/>
      </w:r>
    </w:p>
    <w:p w14:paraId="49A65ACD" w14:textId="6E5A0ABF" w:rsidR="001252F9" w:rsidRPr="001A3BA9" w:rsidRDefault="00A64F44" w:rsidP="005A59E4">
      <w:pPr>
        <w:pStyle w:val="ListParagraph"/>
        <w:numPr>
          <w:ilvl w:val="0"/>
          <w:numId w:val="4"/>
        </w:numPr>
        <w:spacing w:line="240" w:lineRule="auto"/>
        <w:jc w:val="both"/>
        <w:rPr>
          <w:b/>
          <w:color w:val="002060"/>
          <w:lang w:val="en-GB"/>
        </w:rPr>
      </w:pPr>
      <w:r>
        <w:rPr>
          <w:b/>
          <w:color w:val="002060"/>
          <w:lang w:val="en-GB"/>
        </w:rPr>
        <w:t>Asylum: European Union Agency for Fundamental Rights (</w:t>
      </w:r>
      <w:r w:rsidR="001252F9" w:rsidRPr="001A3BA9">
        <w:rPr>
          <w:b/>
          <w:color w:val="002060"/>
          <w:lang w:val="en-GB"/>
        </w:rPr>
        <w:t>FRA</w:t>
      </w:r>
      <w:r>
        <w:rPr>
          <w:b/>
          <w:color w:val="002060"/>
          <w:lang w:val="en-GB"/>
        </w:rPr>
        <w:t>) publishes o</w:t>
      </w:r>
      <w:r w:rsidR="001252F9" w:rsidRPr="001A3BA9">
        <w:rPr>
          <w:b/>
          <w:color w:val="002060"/>
          <w:lang w:val="en-GB"/>
        </w:rPr>
        <w:t>pinion concerning an EU common list of safe countries of origin</w:t>
      </w:r>
    </w:p>
    <w:p w14:paraId="0CEBAD72" w14:textId="77777777" w:rsidR="00A64F44" w:rsidRDefault="001252F9" w:rsidP="005A59E4">
      <w:pPr>
        <w:spacing w:line="240" w:lineRule="auto"/>
        <w:jc w:val="both"/>
        <w:rPr>
          <w:lang w:val="en-GB"/>
        </w:rPr>
      </w:pPr>
      <w:r w:rsidRPr="001A3BA9">
        <w:rPr>
          <w:lang w:val="en-GB"/>
        </w:rPr>
        <w:t xml:space="preserve">FRA’s </w:t>
      </w:r>
      <w:hyperlink r:id="rId45" w:history="1">
        <w:r w:rsidRPr="001A3BA9">
          <w:rPr>
            <w:rStyle w:val="Hyperlink"/>
            <w:lang w:val="en-GB"/>
          </w:rPr>
          <w:t>opinion</w:t>
        </w:r>
      </w:hyperlink>
      <w:r w:rsidRPr="001A3BA9">
        <w:rPr>
          <w:lang w:val="en-GB"/>
        </w:rPr>
        <w:t xml:space="preserve"> highlights </w:t>
      </w:r>
      <w:r w:rsidRPr="00A64F44">
        <w:rPr>
          <w:b/>
          <w:lang w:val="en-GB"/>
        </w:rPr>
        <w:t>general fundamental rights implications to be considered when applying the safe countries of origin concept</w:t>
      </w:r>
      <w:r w:rsidRPr="001A3BA9">
        <w:rPr>
          <w:lang w:val="en-GB"/>
        </w:rPr>
        <w:t>. They should be read together with the relevant safeguards the Asylum Procedures Directive establishes. These safeguards provide for minimum guarantees that must also fully apply to applicants originating from countries on the proposed EU common list of safe countries of origin.</w:t>
      </w:r>
    </w:p>
    <w:p w14:paraId="165AC62D" w14:textId="77777777" w:rsidR="00A64F44" w:rsidRDefault="00A64F44" w:rsidP="005A59E4">
      <w:pPr>
        <w:spacing w:line="240" w:lineRule="auto"/>
        <w:jc w:val="both"/>
        <w:rPr>
          <w:lang w:val="en-GB"/>
        </w:rPr>
      </w:pPr>
    </w:p>
    <w:p w14:paraId="3B0B36B4" w14:textId="48699A8C" w:rsidR="003547E8" w:rsidRPr="001A3BA9" w:rsidRDefault="003547E8" w:rsidP="005A59E4">
      <w:pPr>
        <w:pStyle w:val="Heading2"/>
        <w:spacing w:line="240" w:lineRule="auto"/>
        <w:rPr>
          <w:lang w:val="en-GB"/>
        </w:rPr>
      </w:pPr>
      <w:r w:rsidRPr="001A3BA9">
        <w:rPr>
          <w:lang w:val="en-GB"/>
        </w:rPr>
        <w:t>Publications, funding opportunities and events</w:t>
      </w:r>
    </w:p>
    <w:p w14:paraId="43A1C3AD" w14:textId="77777777" w:rsidR="00A64F44" w:rsidRDefault="00A64F44" w:rsidP="005A59E4">
      <w:pPr>
        <w:spacing w:line="240" w:lineRule="auto"/>
        <w:jc w:val="both"/>
        <w:rPr>
          <w:b/>
          <w:color w:val="FFFFFF" w:themeColor="background1"/>
          <w:shd w:val="clear" w:color="auto" w:fill="7030A0"/>
          <w:lang w:val="en-GB"/>
        </w:rPr>
      </w:pPr>
    </w:p>
    <w:p w14:paraId="183B7377" w14:textId="77777777" w:rsidR="00A64F44" w:rsidRPr="00A64F44" w:rsidRDefault="00A64F44" w:rsidP="005A59E4">
      <w:pPr>
        <w:spacing w:line="240" w:lineRule="auto"/>
        <w:jc w:val="both"/>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Pr="001A3BA9">
        <w:rPr>
          <w:rFonts w:ascii="Calibri" w:eastAsia="Calibri" w:hAnsi="Calibri" w:cs="Times New Roman"/>
          <w:b/>
          <w:lang w:val="en-GB"/>
        </w:rPr>
        <w:t>European Parliament</w:t>
      </w:r>
      <w:r w:rsidRPr="001A3BA9">
        <w:rPr>
          <w:rFonts w:ascii="Calibri" w:eastAsia="Calibri" w:hAnsi="Calibri" w:cs="Times New Roman"/>
          <w:lang w:val="en-GB"/>
        </w:rPr>
        <w:t xml:space="preserve"> – </w:t>
      </w:r>
      <w:hyperlink r:id="rId46" w:history="1">
        <w:r w:rsidRPr="001A3BA9">
          <w:rPr>
            <w:rStyle w:val="Hyperlink"/>
            <w:rFonts w:ascii="Calibri" w:eastAsia="Calibri" w:hAnsi="Calibri" w:cs="Times New Roman"/>
            <w:lang w:val="en-GB"/>
          </w:rPr>
          <w:t>Labour Market Integration of Refugees: Strategies and Good Practices</w:t>
        </w:r>
      </w:hyperlink>
    </w:p>
    <w:p w14:paraId="4D66FEBC" w14:textId="38F81CFF" w:rsidR="003547E8" w:rsidRPr="001A3BA9" w:rsidRDefault="003547E8" w:rsidP="005A59E4">
      <w:pPr>
        <w:spacing w:line="240" w:lineRule="auto"/>
        <w:jc w:val="both"/>
        <w:rPr>
          <w:lang w:val="en-GB"/>
        </w:rPr>
      </w:pPr>
      <w:r w:rsidRPr="001A3BA9">
        <w:rPr>
          <w:b/>
          <w:color w:val="FFFFFF" w:themeColor="background1"/>
          <w:shd w:val="clear" w:color="auto" w:fill="7030A0"/>
          <w:lang w:val="en-GB"/>
        </w:rPr>
        <w:t>PUBLICATION</w:t>
      </w:r>
      <w:r w:rsidR="00336FE1" w:rsidRPr="001A3BA9">
        <w:rPr>
          <w:rFonts w:ascii="Calibri" w:eastAsia="Calibri" w:hAnsi="Calibri" w:cs="Times New Roman"/>
          <w:lang w:val="en-GB"/>
        </w:rPr>
        <w:t xml:space="preserve"> – </w:t>
      </w:r>
      <w:r w:rsidRPr="001A3BA9">
        <w:rPr>
          <w:rFonts w:ascii="Calibri" w:eastAsia="Calibri" w:hAnsi="Calibri" w:cs="Times New Roman"/>
          <w:b/>
          <w:lang w:val="en-GB"/>
        </w:rPr>
        <w:t>European Union Agency for Fundamental Rights (FRA)</w:t>
      </w:r>
      <w:r w:rsidRPr="001A3BA9">
        <w:rPr>
          <w:rFonts w:ascii="Calibri" w:eastAsia="Calibri" w:hAnsi="Calibri" w:cs="Times New Roman"/>
          <w:lang w:val="en-GB"/>
        </w:rPr>
        <w:t xml:space="preserve"> </w:t>
      </w:r>
      <w:r w:rsidR="00336FE1" w:rsidRPr="001A3BA9">
        <w:rPr>
          <w:lang w:val="en-GB"/>
        </w:rPr>
        <w:t>–</w:t>
      </w:r>
      <w:r w:rsidRPr="001A3BA9">
        <w:rPr>
          <w:lang w:val="en-GB"/>
        </w:rPr>
        <w:t xml:space="preserve"> Monthly updates on fundamental rights and migration</w:t>
      </w:r>
    </w:p>
    <w:p w14:paraId="03474373" w14:textId="19BA3740" w:rsidR="003547E8" w:rsidRDefault="003547E8" w:rsidP="005A59E4">
      <w:pPr>
        <w:spacing w:line="240" w:lineRule="auto"/>
        <w:jc w:val="both"/>
        <w:rPr>
          <w:lang w:val="en-GB"/>
        </w:rPr>
      </w:pPr>
      <w:r w:rsidRPr="001A3BA9">
        <w:rPr>
          <w:lang w:val="en-GB"/>
        </w:rPr>
        <w:t xml:space="preserve">FRA publishes the </w:t>
      </w:r>
      <w:hyperlink r:id="rId47" w:history="1">
        <w:r w:rsidRPr="001A3BA9">
          <w:rPr>
            <w:rStyle w:val="Hyperlink"/>
            <w:lang w:val="en-GB"/>
          </w:rPr>
          <w:t>third</w:t>
        </w:r>
      </w:hyperlink>
      <w:r w:rsidRPr="001A3BA9">
        <w:rPr>
          <w:lang w:val="en-GB"/>
        </w:rPr>
        <w:t xml:space="preserve"> monthly update on fundamental rights and migration in EU Member States, with a specific thematic focus on </w:t>
      </w:r>
      <w:hyperlink r:id="rId48" w:history="1">
        <w:r w:rsidRPr="001A3BA9">
          <w:rPr>
            <w:rStyle w:val="Hyperlink"/>
            <w:lang w:val="en-GB"/>
          </w:rPr>
          <w:t>children</w:t>
        </w:r>
      </w:hyperlink>
      <w:r w:rsidRPr="001A3BA9">
        <w:rPr>
          <w:lang w:val="en-GB"/>
        </w:rPr>
        <w:t>.</w:t>
      </w:r>
    </w:p>
    <w:p w14:paraId="4E49799A" w14:textId="77777777" w:rsidR="001252F9" w:rsidRPr="001A3BA9" w:rsidRDefault="001252F9" w:rsidP="005A59E4">
      <w:pPr>
        <w:spacing w:line="240" w:lineRule="auto"/>
        <w:jc w:val="both"/>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Pr="001A3BA9">
        <w:rPr>
          <w:rFonts w:ascii="Calibri" w:eastAsia="Calibri" w:hAnsi="Calibri" w:cs="Times New Roman"/>
          <w:b/>
          <w:lang w:val="en-GB"/>
        </w:rPr>
        <w:t>Organisation for Economic Co-operation and Development (OECD)</w:t>
      </w:r>
      <w:r w:rsidRPr="001A3BA9">
        <w:rPr>
          <w:rFonts w:ascii="Calibri" w:eastAsia="Calibri" w:hAnsi="Calibri" w:cs="Times New Roman"/>
          <w:lang w:val="en-GB"/>
        </w:rPr>
        <w:t xml:space="preserve"> – </w:t>
      </w:r>
      <w:hyperlink r:id="rId49" w:history="1">
        <w:r w:rsidRPr="001A3BA9">
          <w:rPr>
            <w:rStyle w:val="Hyperlink"/>
            <w:rFonts w:ascii="Calibri" w:eastAsia="Calibri" w:hAnsi="Calibri" w:cs="Times New Roman"/>
            <w:lang w:val="en-GB"/>
          </w:rPr>
          <w:t>Making Integration Work</w:t>
        </w:r>
      </w:hyperlink>
      <w:r w:rsidRPr="001A3BA9">
        <w:rPr>
          <w:rFonts w:ascii="Calibri" w:eastAsia="Calibri" w:hAnsi="Calibri" w:cs="Times New Roman"/>
          <w:lang w:val="en-GB"/>
        </w:rPr>
        <w:t xml:space="preserve"> </w:t>
      </w:r>
    </w:p>
    <w:p w14:paraId="73CAF55D" w14:textId="77777777" w:rsidR="001252F9" w:rsidRDefault="001252F9" w:rsidP="005A59E4">
      <w:pPr>
        <w:spacing w:line="240" w:lineRule="auto"/>
        <w:jc w:val="both"/>
        <w:rPr>
          <w:lang w:val="en-GB"/>
        </w:rPr>
      </w:pPr>
      <w:r w:rsidRPr="001A3BA9">
        <w:rPr>
          <w:lang w:val="en-GB"/>
        </w:rPr>
        <w:t>The OECD recently published a </w:t>
      </w:r>
      <w:hyperlink r:id="rId50" w:history="1">
        <w:r w:rsidRPr="001A3BA9">
          <w:rPr>
            <w:lang w:val="en-GB"/>
          </w:rPr>
          <w:t>policy-oriented booklet</w:t>
        </w:r>
      </w:hyperlink>
      <w:r w:rsidRPr="001A3BA9">
        <w:rPr>
          <w:lang w:val="en-GB"/>
        </w:rPr>
        <w:t xml:space="preserve"> reviewing OECD countries' experiences with the </w:t>
      </w:r>
      <w:r w:rsidRPr="001252F9">
        <w:rPr>
          <w:b/>
          <w:lang w:val="en-GB"/>
        </w:rPr>
        <w:t>integration of refugees and humanitarian migrants</w:t>
      </w:r>
      <w:r w:rsidRPr="001A3BA9">
        <w:rPr>
          <w:lang w:val="en-GB"/>
        </w:rPr>
        <w:t xml:space="preserve">. </w:t>
      </w:r>
    </w:p>
    <w:p w14:paraId="6C53EA1D" w14:textId="77777777" w:rsidR="00B07813" w:rsidRPr="001A3BA9" w:rsidRDefault="00B07813" w:rsidP="005A59E4">
      <w:pPr>
        <w:pBdr>
          <w:bottom w:val="dotted" w:sz="36" w:space="1" w:color="auto"/>
        </w:pBdr>
        <w:spacing w:line="240" w:lineRule="auto"/>
        <w:rPr>
          <w:lang w:val="en-GB"/>
        </w:rPr>
      </w:pPr>
    </w:p>
    <w:p w14:paraId="6A49563D" w14:textId="77777777" w:rsidR="00B07813" w:rsidRPr="001A3BA9" w:rsidRDefault="00B07813" w:rsidP="005A59E4">
      <w:pPr>
        <w:pStyle w:val="Heading1"/>
        <w:pBdr>
          <w:top w:val="dotted" w:sz="4" w:space="1" w:color="auto"/>
          <w:bottom w:val="dotted" w:sz="4" w:space="1" w:color="auto"/>
        </w:pBdr>
        <w:spacing w:line="240" w:lineRule="auto"/>
        <w:rPr>
          <w:lang w:val="en-GB"/>
        </w:rPr>
      </w:pPr>
      <w:bookmarkStart w:id="28" w:name="_Recent_case-law"/>
      <w:bookmarkStart w:id="29" w:name="_Toc418770756"/>
      <w:bookmarkStart w:id="30" w:name="_Ref418784375"/>
      <w:bookmarkStart w:id="31" w:name="_Ref421267634"/>
      <w:bookmarkEnd w:id="28"/>
      <w:r w:rsidRPr="001A3BA9">
        <w:rPr>
          <w:lang w:val="en-GB"/>
        </w:rPr>
        <w:t>Recent case-law</w:t>
      </w:r>
      <w:bookmarkEnd w:id="29"/>
      <w:bookmarkEnd w:id="30"/>
      <w:bookmarkEnd w:id="31"/>
    </w:p>
    <w:p w14:paraId="1A7E5E2B" w14:textId="77777777" w:rsidR="00AB116C" w:rsidRPr="001A3BA9" w:rsidRDefault="00AB116C" w:rsidP="005A59E4">
      <w:pPr>
        <w:spacing w:line="240" w:lineRule="auto"/>
        <w:rPr>
          <w:lang w:val="en-GB"/>
        </w:rPr>
      </w:pPr>
      <w:bookmarkStart w:id="32" w:name="_Toc418770757"/>
      <w:bookmarkStart w:id="33" w:name="_Ref418784385"/>
    </w:p>
    <w:p w14:paraId="5E641C49" w14:textId="74B1E422" w:rsidR="00542158" w:rsidRDefault="00B07813" w:rsidP="005A59E4">
      <w:pPr>
        <w:pStyle w:val="Heading2"/>
        <w:spacing w:line="240" w:lineRule="auto"/>
        <w:rPr>
          <w:lang w:val="en-GB"/>
        </w:rPr>
      </w:pPr>
      <w:bookmarkStart w:id="34" w:name="_Ref421267642"/>
      <w:r w:rsidRPr="001A3BA9">
        <w:rPr>
          <w:lang w:val="en-GB"/>
        </w:rPr>
        <w:t>European Court of Justice (ECJ)</w:t>
      </w:r>
      <w:bookmarkEnd w:id="32"/>
      <w:bookmarkEnd w:id="33"/>
      <w:bookmarkEnd w:id="34"/>
    </w:p>
    <w:p w14:paraId="1EAA568C" w14:textId="77777777" w:rsidR="00A64F44" w:rsidRPr="00A64F44" w:rsidRDefault="00A64F44" w:rsidP="005A59E4">
      <w:pPr>
        <w:spacing w:line="240" w:lineRule="auto"/>
        <w:rPr>
          <w:lang w:val="en-GB"/>
        </w:rPr>
      </w:pPr>
    </w:p>
    <w:p w14:paraId="6789F518" w14:textId="680D4C62" w:rsidR="0034362B" w:rsidRPr="00A11060" w:rsidRDefault="00901387" w:rsidP="005A59E4">
      <w:pPr>
        <w:pStyle w:val="ListParagraph"/>
        <w:numPr>
          <w:ilvl w:val="0"/>
          <w:numId w:val="16"/>
        </w:numPr>
        <w:spacing w:line="240" w:lineRule="auto"/>
        <w:jc w:val="both"/>
        <w:rPr>
          <w:b/>
          <w:lang w:val="en-GB"/>
        </w:rPr>
      </w:pPr>
      <w:r w:rsidRPr="00A11060">
        <w:rPr>
          <w:b/>
          <w:lang w:val="en-GB"/>
        </w:rPr>
        <w:t xml:space="preserve">Case C-695/15 PPU – Shiraz Baig Mirza v Bevándorlási és Állampolgársági Hivatal </w:t>
      </w:r>
      <w:r w:rsidR="0073740D" w:rsidRPr="00A11060">
        <w:rPr>
          <w:b/>
          <w:lang w:val="en-GB"/>
        </w:rPr>
        <w:t>(1</w:t>
      </w:r>
      <w:r w:rsidRPr="00A11060">
        <w:rPr>
          <w:b/>
          <w:lang w:val="en-GB"/>
        </w:rPr>
        <w:t>7</w:t>
      </w:r>
      <w:r w:rsidR="0073740D" w:rsidRPr="00A11060">
        <w:rPr>
          <w:b/>
          <w:lang w:val="en-GB"/>
        </w:rPr>
        <w:t xml:space="preserve"> March 2016)</w:t>
      </w:r>
    </w:p>
    <w:p w14:paraId="61383EB1" w14:textId="75FF4ADD" w:rsidR="00901387" w:rsidRPr="00901387" w:rsidRDefault="00901387" w:rsidP="005A59E4">
      <w:pPr>
        <w:spacing w:line="240" w:lineRule="auto"/>
        <w:jc w:val="both"/>
        <w:rPr>
          <w:lang w:val="en-GB"/>
        </w:rPr>
      </w:pPr>
      <w:r>
        <w:rPr>
          <w:lang w:val="en-GB"/>
        </w:rPr>
        <w:t xml:space="preserve">The Court convened that </w:t>
      </w:r>
      <w:r w:rsidRPr="00901387">
        <w:rPr>
          <w:lang w:val="en-GB"/>
        </w:rPr>
        <w:t>Dublin III Regulation allows Member States to send an applicant for</w:t>
      </w:r>
      <w:r>
        <w:rPr>
          <w:lang w:val="en-GB"/>
        </w:rPr>
        <w:t xml:space="preserve"> </w:t>
      </w:r>
      <w:r w:rsidRPr="00901387">
        <w:rPr>
          <w:lang w:val="en-GB"/>
        </w:rPr>
        <w:t>international protection to a safe third country, irrespective of whether it is the</w:t>
      </w:r>
      <w:r>
        <w:rPr>
          <w:lang w:val="en-GB"/>
        </w:rPr>
        <w:t xml:space="preserve"> </w:t>
      </w:r>
      <w:r w:rsidRPr="00901387">
        <w:rPr>
          <w:lang w:val="en-GB"/>
        </w:rPr>
        <w:t>Member State responsible for processing the application or another Member State</w:t>
      </w:r>
      <w:r>
        <w:rPr>
          <w:lang w:val="en-GB"/>
        </w:rPr>
        <w:t xml:space="preserve">. More information can be found </w:t>
      </w:r>
      <w:hyperlink r:id="rId51" w:history="1">
        <w:r w:rsidRPr="00901387">
          <w:rPr>
            <w:rStyle w:val="Hyperlink"/>
            <w:lang w:val="en-GB"/>
          </w:rPr>
          <w:t>here</w:t>
        </w:r>
      </w:hyperlink>
      <w:r>
        <w:rPr>
          <w:lang w:val="en-GB"/>
        </w:rPr>
        <w:t>.</w:t>
      </w:r>
    </w:p>
    <w:p w14:paraId="5D47226F" w14:textId="02A29B64" w:rsidR="0073740D" w:rsidRPr="00B01F61" w:rsidRDefault="0045538F" w:rsidP="005A59E4">
      <w:pPr>
        <w:pStyle w:val="ListParagraph"/>
        <w:numPr>
          <w:ilvl w:val="0"/>
          <w:numId w:val="16"/>
        </w:numPr>
        <w:spacing w:line="240" w:lineRule="auto"/>
        <w:jc w:val="both"/>
        <w:rPr>
          <w:b/>
          <w:lang w:val="en-GB"/>
        </w:rPr>
      </w:pPr>
      <w:r w:rsidRPr="00B01F61">
        <w:rPr>
          <w:b/>
          <w:lang w:val="en-GB"/>
        </w:rPr>
        <w:t>Joined Cases C-404/15 and C-659/15 PPU – Pál Aranyosi and Robert Căldăraru (</w:t>
      </w:r>
      <w:r w:rsidR="0073740D" w:rsidRPr="00B01F61">
        <w:rPr>
          <w:b/>
          <w:lang w:val="en-GB"/>
        </w:rPr>
        <w:t xml:space="preserve">5 </w:t>
      </w:r>
      <w:r w:rsidRPr="00B01F61">
        <w:rPr>
          <w:b/>
          <w:lang w:val="en-GB"/>
        </w:rPr>
        <w:t>April</w:t>
      </w:r>
      <w:r w:rsidR="0073740D" w:rsidRPr="00B01F61">
        <w:rPr>
          <w:b/>
          <w:lang w:val="en-GB"/>
        </w:rPr>
        <w:t xml:space="preserve"> 2016)</w:t>
      </w:r>
    </w:p>
    <w:p w14:paraId="2C0582FD" w14:textId="5B749118" w:rsidR="00AC40EF" w:rsidRDefault="0045538F" w:rsidP="005A59E4">
      <w:pPr>
        <w:spacing w:line="240" w:lineRule="auto"/>
        <w:jc w:val="both"/>
        <w:rPr>
          <w:lang w:val="en-GB"/>
        </w:rPr>
      </w:pPr>
      <w:r>
        <w:rPr>
          <w:lang w:val="en-GB"/>
        </w:rPr>
        <w:t>The Court decided that the</w:t>
      </w:r>
      <w:r w:rsidRPr="0045538F">
        <w:rPr>
          <w:lang w:val="en-GB"/>
        </w:rPr>
        <w:t xml:space="preserve"> execution of a European arrest warrant must be deferred if there is a real risk of</w:t>
      </w:r>
      <w:r>
        <w:rPr>
          <w:lang w:val="en-GB"/>
        </w:rPr>
        <w:t xml:space="preserve"> </w:t>
      </w:r>
      <w:r w:rsidRPr="0045538F">
        <w:rPr>
          <w:lang w:val="en-GB"/>
        </w:rPr>
        <w:t>inhuman or degrading treatment because of the conditions of detention of the</w:t>
      </w:r>
      <w:r>
        <w:rPr>
          <w:lang w:val="en-GB"/>
        </w:rPr>
        <w:t xml:space="preserve"> </w:t>
      </w:r>
      <w:r w:rsidRPr="0045538F">
        <w:rPr>
          <w:lang w:val="en-GB"/>
        </w:rPr>
        <w:t>person concerned in the Member Sta</w:t>
      </w:r>
      <w:r>
        <w:rPr>
          <w:lang w:val="en-GB"/>
        </w:rPr>
        <w:t xml:space="preserve">te where the warrant was issued. </w:t>
      </w:r>
      <w:r w:rsidRPr="0045538F">
        <w:rPr>
          <w:lang w:val="en-GB"/>
        </w:rPr>
        <w:t xml:space="preserve">More information can be found </w:t>
      </w:r>
      <w:hyperlink r:id="rId52" w:history="1">
        <w:r w:rsidRPr="0045538F">
          <w:rPr>
            <w:rStyle w:val="Hyperlink"/>
            <w:lang w:val="en-GB"/>
          </w:rPr>
          <w:t>here</w:t>
        </w:r>
      </w:hyperlink>
      <w:r w:rsidRPr="0045538F">
        <w:rPr>
          <w:lang w:val="en-GB"/>
        </w:rPr>
        <w:t>.</w:t>
      </w:r>
    </w:p>
    <w:p w14:paraId="21EF3344" w14:textId="77777777" w:rsidR="0045538F" w:rsidRPr="001A3BA9" w:rsidRDefault="0045538F" w:rsidP="005A59E4">
      <w:pPr>
        <w:spacing w:line="240" w:lineRule="auto"/>
        <w:jc w:val="both"/>
        <w:rPr>
          <w:lang w:val="en-GB"/>
        </w:rPr>
      </w:pPr>
    </w:p>
    <w:p w14:paraId="7B10DD56" w14:textId="4A11A56F" w:rsidR="009913B6" w:rsidRPr="001A3BA9" w:rsidRDefault="00AB116C" w:rsidP="005A59E4">
      <w:pPr>
        <w:pStyle w:val="Heading2"/>
        <w:spacing w:line="240" w:lineRule="auto"/>
        <w:rPr>
          <w:lang w:val="en-GB"/>
        </w:rPr>
      </w:pPr>
      <w:bookmarkStart w:id="35" w:name="_Ref421267644"/>
      <w:r w:rsidRPr="001A3BA9">
        <w:rPr>
          <w:lang w:val="en-GB"/>
        </w:rPr>
        <w:t>European Court of Human Rights (EC</w:t>
      </w:r>
      <w:r w:rsidR="00880B15" w:rsidRPr="001A3BA9">
        <w:rPr>
          <w:lang w:val="en-GB"/>
        </w:rPr>
        <w:t>t</w:t>
      </w:r>
      <w:r w:rsidRPr="001A3BA9">
        <w:rPr>
          <w:lang w:val="en-GB"/>
        </w:rPr>
        <w:t>HR)</w:t>
      </w:r>
      <w:bookmarkEnd w:id="35"/>
      <w:r w:rsidR="009913B6" w:rsidRPr="001A3BA9">
        <w:rPr>
          <w:lang w:val="en-GB"/>
        </w:rPr>
        <w:br/>
      </w:r>
    </w:p>
    <w:p w14:paraId="4977C3AA" w14:textId="4A6190F8" w:rsidR="00F97FCF" w:rsidRPr="00B154D6" w:rsidRDefault="00F97FCF" w:rsidP="005A59E4">
      <w:pPr>
        <w:pStyle w:val="ListParagraph"/>
        <w:numPr>
          <w:ilvl w:val="0"/>
          <w:numId w:val="16"/>
        </w:numPr>
        <w:spacing w:line="240" w:lineRule="auto"/>
        <w:rPr>
          <w:b/>
          <w:lang w:val="en-GB"/>
        </w:rPr>
      </w:pPr>
      <w:r w:rsidRPr="00B154D6">
        <w:rPr>
          <w:b/>
          <w:lang w:val="en-GB"/>
        </w:rPr>
        <w:t>Application no. 16899/13 –</w:t>
      </w:r>
      <w:r w:rsidR="00BF1E90" w:rsidRPr="00B154D6">
        <w:rPr>
          <w:b/>
          <w:lang w:val="en-GB"/>
        </w:rPr>
        <w:t xml:space="preserve"> </w:t>
      </w:r>
      <w:r w:rsidRPr="00B154D6">
        <w:rPr>
          <w:b/>
          <w:lang w:val="en-GB"/>
        </w:rPr>
        <w:t>Kocherov And Sergeyeva v. Russia (29 March 2016)</w:t>
      </w:r>
    </w:p>
    <w:p w14:paraId="129A267B" w14:textId="79FE4B7F" w:rsidR="00F97FCF" w:rsidRPr="001A3BA9" w:rsidRDefault="00F46D1B" w:rsidP="005A59E4">
      <w:pPr>
        <w:spacing w:line="240" w:lineRule="auto"/>
        <w:jc w:val="both"/>
        <w:rPr>
          <w:lang w:val="en-GB"/>
        </w:rPr>
      </w:pPr>
      <w:r w:rsidRPr="001A3BA9">
        <w:rPr>
          <w:lang w:val="en-GB"/>
        </w:rPr>
        <w:t xml:space="preserve">The case concerned the restriction of Mr Kocherov’s parental authority on account of his disability. The Court found a violation of Article 8 (Right to respect for private and family life). More information can be found </w:t>
      </w:r>
      <w:hyperlink r:id="rId53" w:anchor="{&quot;itemid&quot;:[&quot;001-161760&quot;]}" w:history="1">
        <w:r w:rsidRPr="001A3BA9">
          <w:rPr>
            <w:rStyle w:val="Hyperlink"/>
            <w:lang w:val="en-GB"/>
          </w:rPr>
          <w:t>here</w:t>
        </w:r>
      </w:hyperlink>
      <w:r w:rsidRPr="001A3BA9">
        <w:rPr>
          <w:lang w:val="en-GB"/>
        </w:rPr>
        <w:t>.</w:t>
      </w:r>
      <w:r w:rsidR="008C045F" w:rsidRPr="001A3BA9">
        <w:rPr>
          <w:lang w:val="en-GB"/>
        </w:rPr>
        <w:t xml:space="preserve"> Since the ECtHR found a violation of Article 8, it refused to adjudicate on Article 14 (non-discrimination), despite the latter being referred to by the applicants.</w:t>
      </w:r>
    </w:p>
    <w:p w14:paraId="3DB9D143" w14:textId="55A93C9F" w:rsidR="00BF1E90" w:rsidRPr="00B154D6" w:rsidRDefault="00BF1E90" w:rsidP="005A59E4">
      <w:pPr>
        <w:pStyle w:val="ListParagraph"/>
        <w:numPr>
          <w:ilvl w:val="0"/>
          <w:numId w:val="16"/>
        </w:numPr>
        <w:spacing w:line="240" w:lineRule="auto"/>
        <w:rPr>
          <w:b/>
          <w:lang w:val="en-GB"/>
        </w:rPr>
      </w:pPr>
      <w:r w:rsidRPr="00B154D6">
        <w:rPr>
          <w:b/>
          <w:lang w:val="en-GB"/>
        </w:rPr>
        <w:t>Application no. 23682/13 – Guberina v. Croatia (22 March 2016)</w:t>
      </w:r>
    </w:p>
    <w:p w14:paraId="1C9DBB74" w14:textId="1748F070" w:rsidR="00BF1E90" w:rsidRDefault="00E37537" w:rsidP="005A59E4">
      <w:pPr>
        <w:spacing w:line="240" w:lineRule="auto"/>
        <w:jc w:val="both"/>
        <w:rPr>
          <w:lang w:val="en-GB"/>
        </w:rPr>
      </w:pPr>
      <w:r w:rsidRPr="001A3BA9">
        <w:rPr>
          <w:lang w:val="en-GB"/>
        </w:rPr>
        <w:t>The case concerned the complaint by the father of a severely handicapped child about the tax authorities’ failure to take account of the needs of his child when determining his eligibility for tax exemption on the purchase of property adapted to his child’s needs.</w:t>
      </w:r>
      <w:r w:rsidR="001E6A3C" w:rsidRPr="001A3BA9">
        <w:rPr>
          <w:lang w:val="en-GB"/>
        </w:rPr>
        <w:t xml:space="preserve"> The Court considered that, by failing to recognise the factual difference of Mr Guberina’s situation with regard to basic infrastructure requirements meeting the housing needs of his family in comparison with other persons seeking tax exemption, the domestic authorities had taken an overly restrictive approach when applying the relevant tax legislation. The Court found a violation of Article 14 in conjunction with Article 1 of Protocol No. 1 (protection of property) to the Convention. More information can be found </w:t>
      </w:r>
      <w:hyperlink r:id="rId54" w:anchor="{&quot;itemid&quot;:[&quot;001-161530&quot;]}" w:history="1">
        <w:r w:rsidR="001E6A3C" w:rsidRPr="001A3BA9">
          <w:rPr>
            <w:rStyle w:val="Hyperlink"/>
            <w:lang w:val="en-GB"/>
          </w:rPr>
          <w:t>here</w:t>
        </w:r>
      </w:hyperlink>
      <w:r w:rsidR="001E6A3C" w:rsidRPr="001A3BA9">
        <w:rPr>
          <w:lang w:val="en-GB"/>
        </w:rPr>
        <w:t>.</w:t>
      </w:r>
    </w:p>
    <w:p w14:paraId="3B353445" w14:textId="77777777" w:rsidR="00FD527A" w:rsidRPr="001A3BA9" w:rsidRDefault="00FD527A" w:rsidP="005A59E4">
      <w:pPr>
        <w:spacing w:line="240" w:lineRule="auto"/>
        <w:jc w:val="both"/>
        <w:rPr>
          <w:lang w:val="en-GB"/>
        </w:rPr>
      </w:pPr>
    </w:p>
    <w:p w14:paraId="653B414F" w14:textId="216F4C6A" w:rsidR="004D1EB3" w:rsidRPr="005A59E4" w:rsidRDefault="004D1EB3" w:rsidP="005A59E4">
      <w:pPr>
        <w:pStyle w:val="ListParagraph"/>
        <w:numPr>
          <w:ilvl w:val="0"/>
          <w:numId w:val="16"/>
        </w:numPr>
        <w:spacing w:line="240" w:lineRule="auto"/>
        <w:jc w:val="both"/>
        <w:rPr>
          <w:b/>
          <w:lang w:val="en-GB"/>
        </w:rPr>
      </w:pPr>
      <w:r w:rsidRPr="005A59E4">
        <w:rPr>
          <w:b/>
          <w:lang w:val="en-GB"/>
        </w:rPr>
        <w:t xml:space="preserve">Application no. </w:t>
      </w:r>
      <w:r w:rsidR="000B440E" w:rsidRPr="005A59E4">
        <w:rPr>
          <w:b/>
          <w:lang w:val="en-GB"/>
        </w:rPr>
        <w:t xml:space="preserve">61495/11 </w:t>
      </w:r>
      <w:r w:rsidRPr="005A59E4">
        <w:rPr>
          <w:b/>
          <w:lang w:val="en-GB"/>
        </w:rPr>
        <w:t xml:space="preserve">– </w:t>
      </w:r>
      <w:r w:rsidR="000B440E" w:rsidRPr="005A59E4">
        <w:rPr>
          <w:b/>
          <w:lang w:val="en-GB"/>
        </w:rPr>
        <w:t xml:space="preserve">M. G. C. v. </w:t>
      </w:r>
      <w:r w:rsidR="00BF1E90" w:rsidRPr="005A59E4">
        <w:rPr>
          <w:b/>
          <w:lang w:val="en-GB"/>
        </w:rPr>
        <w:t xml:space="preserve">Romania </w:t>
      </w:r>
      <w:r w:rsidR="000B440E" w:rsidRPr="005A59E4">
        <w:rPr>
          <w:b/>
          <w:lang w:val="en-GB"/>
        </w:rPr>
        <w:t>(15</w:t>
      </w:r>
      <w:r w:rsidRPr="005A59E4">
        <w:rPr>
          <w:b/>
          <w:lang w:val="en-GB"/>
        </w:rPr>
        <w:t xml:space="preserve"> </w:t>
      </w:r>
      <w:r w:rsidR="000B440E" w:rsidRPr="005A59E4">
        <w:rPr>
          <w:b/>
          <w:lang w:val="en-GB"/>
        </w:rPr>
        <w:t>March</w:t>
      </w:r>
      <w:r w:rsidRPr="005A59E4">
        <w:rPr>
          <w:b/>
          <w:lang w:val="en-GB"/>
        </w:rPr>
        <w:t xml:space="preserve"> 2016)</w:t>
      </w:r>
    </w:p>
    <w:p w14:paraId="3167A6CC" w14:textId="0745390E" w:rsidR="00445DEE" w:rsidRPr="001A3BA9" w:rsidRDefault="002D0D1E" w:rsidP="005A59E4">
      <w:pPr>
        <w:spacing w:line="240" w:lineRule="auto"/>
        <w:jc w:val="both"/>
        <w:rPr>
          <w:lang w:val="en-GB"/>
        </w:rPr>
      </w:pPr>
      <w:r w:rsidRPr="001A3BA9">
        <w:rPr>
          <w:lang w:val="en-GB"/>
        </w:rPr>
        <w:t xml:space="preserve">The case concerned defective legislation for the prosecution of rape and/or sexual abuse of children in Romania. The ECtHR concluded that there was a violation of the respondent State’s positive obligations under both Articles 3 (Prohibition of torture) and 8 of the Convention. More information can be found </w:t>
      </w:r>
      <w:hyperlink r:id="rId55" w:anchor="{&quot;languageisocode&quot;:[&quot;ENG&quot;],&quot;documentcollectionid2&quot;:[&quot;JUDGMENTS&quot;],&quot;itemid&quot;:[&quot;001-161380&quot;]}" w:history="1">
        <w:r w:rsidRPr="001A3BA9">
          <w:rPr>
            <w:rStyle w:val="Hyperlink"/>
            <w:lang w:val="en-GB"/>
          </w:rPr>
          <w:t>here</w:t>
        </w:r>
      </w:hyperlink>
      <w:r w:rsidRPr="001A3BA9">
        <w:rPr>
          <w:lang w:val="en-GB"/>
        </w:rPr>
        <w:t>.</w:t>
      </w:r>
    </w:p>
    <w:p w14:paraId="19B75935" w14:textId="0EF76D86" w:rsidR="00D97678" w:rsidRPr="005A59E4" w:rsidRDefault="00F46D1B" w:rsidP="005A59E4">
      <w:pPr>
        <w:pStyle w:val="ListParagraph"/>
        <w:numPr>
          <w:ilvl w:val="0"/>
          <w:numId w:val="16"/>
        </w:numPr>
        <w:spacing w:line="240" w:lineRule="auto"/>
        <w:jc w:val="both"/>
        <w:rPr>
          <w:b/>
          <w:lang w:val="en-GB"/>
        </w:rPr>
      </w:pPr>
      <w:r w:rsidRPr="005A59E4">
        <w:rPr>
          <w:b/>
          <w:lang w:val="en-GB"/>
        </w:rPr>
        <w:t xml:space="preserve">Application </w:t>
      </w:r>
      <w:r w:rsidR="00D97678" w:rsidRPr="005A59E4">
        <w:rPr>
          <w:b/>
          <w:lang w:val="en-GB"/>
        </w:rPr>
        <w:t>no. 31039/11, 48511/11, 76810/12, 14618/13 and 13817/14 – Novruk and Others v. Russia (15 March 2016)</w:t>
      </w:r>
    </w:p>
    <w:p w14:paraId="22E57E93" w14:textId="03422D46" w:rsidR="004424A6" w:rsidRPr="001A3BA9" w:rsidRDefault="00D97678" w:rsidP="005A59E4">
      <w:pPr>
        <w:spacing w:line="240" w:lineRule="auto"/>
        <w:jc w:val="both"/>
        <w:rPr>
          <w:lang w:val="en-GB"/>
        </w:rPr>
      </w:pPr>
      <w:r w:rsidRPr="001A3BA9">
        <w:rPr>
          <w:lang w:val="en-GB"/>
        </w:rPr>
        <w:t>The Court f</w:t>
      </w:r>
      <w:r w:rsidR="008C045F" w:rsidRPr="001A3BA9">
        <w:rPr>
          <w:lang w:val="en-GB"/>
        </w:rPr>
        <w:t>ound a violation of Article 14</w:t>
      </w:r>
      <w:r w:rsidRPr="001A3BA9">
        <w:rPr>
          <w:lang w:val="en-GB"/>
        </w:rPr>
        <w:t xml:space="preserve"> in conjunction with Article 8. The case concerned non-Russian nationals who were prevented from entering and residing in Russia because HIV-positive. The Court found that the applicants have been victims of discrimination on the ground of their health because the Russian legislation aimed at preventing HIV transmission had been based on an unwarranted assumption that they would engage in unsafe behaviour, without carrying out a balancing exercise involving an individualised assessment in each case. The ruling summary can be found </w:t>
      </w:r>
      <w:hyperlink r:id="rId56" w:history="1">
        <w:r w:rsidRPr="001A3BA9">
          <w:rPr>
            <w:rStyle w:val="Hyperlink"/>
            <w:lang w:val="en-GB"/>
          </w:rPr>
          <w:t>here</w:t>
        </w:r>
      </w:hyperlink>
      <w:r w:rsidRPr="001A3BA9">
        <w:rPr>
          <w:lang w:val="en-GB"/>
        </w:rPr>
        <w:t>.</w:t>
      </w:r>
    </w:p>
    <w:sectPr w:rsidR="004424A6" w:rsidRPr="001A3BA9" w:rsidSect="006415D5">
      <w:footerReference w:type="default" r:id="rId5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1DD77DD1" w:rsidR="00B07813" w:rsidRDefault="00B07813">
        <w:pPr>
          <w:pStyle w:val="Footer"/>
          <w:jc w:val="center"/>
        </w:pPr>
        <w:r>
          <w:fldChar w:fldCharType="begin"/>
        </w:r>
        <w:r>
          <w:instrText xml:space="preserve"> PAGE   \* MERGEFORMAT </w:instrText>
        </w:r>
        <w:r>
          <w:fldChar w:fldCharType="separate"/>
        </w:r>
        <w:r w:rsidR="0071202A">
          <w:rPr>
            <w:noProof/>
          </w:rPr>
          <w:t>7</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5FC"/>
    <w:multiLevelType w:val="hybridMultilevel"/>
    <w:tmpl w:val="842A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6C88"/>
    <w:multiLevelType w:val="hybridMultilevel"/>
    <w:tmpl w:val="B9A8DE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127922"/>
    <w:multiLevelType w:val="hybridMultilevel"/>
    <w:tmpl w:val="C09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C089D"/>
    <w:multiLevelType w:val="hybridMultilevel"/>
    <w:tmpl w:val="A1DE2B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0BF6B42"/>
    <w:multiLevelType w:val="hybridMultilevel"/>
    <w:tmpl w:val="B3F0B3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C56813"/>
    <w:multiLevelType w:val="hybridMultilevel"/>
    <w:tmpl w:val="44141072"/>
    <w:lvl w:ilvl="0" w:tplc="50EE1F2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D736E"/>
    <w:multiLevelType w:val="hybridMultilevel"/>
    <w:tmpl w:val="02D859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FA62188"/>
    <w:multiLevelType w:val="hybridMultilevel"/>
    <w:tmpl w:val="34F860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6702B39"/>
    <w:multiLevelType w:val="hybridMultilevel"/>
    <w:tmpl w:val="CEF291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68D4DFE"/>
    <w:multiLevelType w:val="hybridMultilevel"/>
    <w:tmpl w:val="BD145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CA81278"/>
    <w:multiLevelType w:val="hybridMultilevel"/>
    <w:tmpl w:val="B6DCB5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0434772"/>
    <w:multiLevelType w:val="hybridMultilevel"/>
    <w:tmpl w:val="3DCC0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03468"/>
    <w:multiLevelType w:val="hybridMultilevel"/>
    <w:tmpl w:val="8E38934E"/>
    <w:lvl w:ilvl="0" w:tplc="2DB03E0E">
      <w:numFmt w:val="bullet"/>
      <w:lvlText w:val="•"/>
      <w:lvlJc w:val="left"/>
      <w:pPr>
        <w:ind w:left="1065" w:hanging="705"/>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77721D03"/>
    <w:multiLevelType w:val="hybridMultilevel"/>
    <w:tmpl w:val="94169BD0"/>
    <w:lvl w:ilvl="0" w:tplc="0A3CF0E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89E0A68"/>
    <w:multiLevelType w:val="hybridMultilevel"/>
    <w:tmpl w:val="F4BC56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DC53976"/>
    <w:multiLevelType w:val="hybridMultilevel"/>
    <w:tmpl w:val="5CE2A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13"/>
  </w:num>
  <w:num w:numId="5">
    <w:abstractNumId w:val="3"/>
  </w:num>
  <w:num w:numId="6">
    <w:abstractNumId w:val="7"/>
  </w:num>
  <w:num w:numId="7">
    <w:abstractNumId w:val="15"/>
  </w:num>
  <w:num w:numId="8">
    <w:abstractNumId w:val="6"/>
  </w:num>
  <w:num w:numId="9">
    <w:abstractNumId w:val="11"/>
  </w:num>
  <w:num w:numId="10">
    <w:abstractNumId w:val="5"/>
  </w:num>
  <w:num w:numId="11">
    <w:abstractNumId w:val="0"/>
  </w:num>
  <w:num w:numId="12">
    <w:abstractNumId w:val="2"/>
  </w:num>
  <w:num w:numId="13">
    <w:abstractNumId w:val="8"/>
  </w:num>
  <w:num w:numId="14">
    <w:abstractNumId w:val="9"/>
  </w:num>
  <w:num w:numId="15">
    <w:abstractNumId w:val="4"/>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5CDB"/>
    <w:rsid w:val="000124F1"/>
    <w:rsid w:val="000263B4"/>
    <w:rsid w:val="00032B4D"/>
    <w:rsid w:val="00033C74"/>
    <w:rsid w:val="000348AB"/>
    <w:rsid w:val="00036CEA"/>
    <w:rsid w:val="000515A0"/>
    <w:rsid w:val="00060AE9"/>
    <w:rsid w:val="00070718"/>
    <w:rsid w:val="00071CE6"/>
    <w:rsid w:val="00074333"/>
    <w:rsid w:val="00094672"/>
    <w:rsid w:val="000A426F"/>
    <w:rsid w:val="000B22AC"/>
    <w:rsid w:val="000B440E"/>
    <w:rsid w:val="000B784B"/>
    <w:rsid w:val="000C7863"/>
    <w:rsid w:val="000D5978"/>
    <w:rsid w:val="000E1235"/>
    <w:rsid w:val="000F46D8"/>
    <w:rsid w:val="000F79AC"/>
    <w:rsid w:val="001140DC"/>
    <w:rsid w:val="00114F97"/>
    <w:rsid w:val="001252F9"/>
    <w:rsid w:val="00126C6E"/>
    <w:rsid w:val="00135F22"/>
    <w:rsid w:val="0014109E"/>
    <w:rsid w:val="0016113D"/>
    <w:rsid w:val="00164743"/>
    <w:rsid w:val="00167053"/>
    <w:rsid w:val="00167D2D"/>
    <w:rsid w:val="00175EA1"/>
    <w:rsid w:val="00177C56"/>
    <w:rsid w:val="00181AC5"/>
    <w:rsid w:val="0018390B"/>
    <w:rsid w:val="0018402A"/>
    <w:rsid w:val="001A3BA9"/>
    <w:rsid w:val="001B305F"/>
    <w:rsid w:val="001C172F"/>
    <w:rsid w:val="001D369F"/>
    <w:rsid w:val="001E3467"/>
    <w:rsid w:val="001E6A3C"/>
    <w:rsid w:val="00207FD0"/>
    <w:rsid w:val="00217BAD"/>
    <w:rsid w:val="002257C4"/>
    <w:rsid w:val="0024578B"/>
    <w:rsid w:val="00255FDB"/>
    <w:rsid w:val="00274B8D"/>
    <w:rsid w:val="00290542"/>
    <w:rsid w:val="00291191"/>
    <w:rsid w:val="00291472"/>
    <w:rsid w:val="002A17B3"/>
    <w:rsid w:val="002A226B"/>
    <w:rsid w:val="002B08F4"/>
    <w:rsid w:val="002C2F53"/>
    <w:rsid w:val="002C31FA"/>
    <w:rsid w:val="002C3BF0"/>
    <w:rsid w:val="002D0D1E"/>
    <w:rsid w:val="002D1695"/>
    <w:rsid w:val="002D35C4"/>
    <w:rsid w:val="002E5A0D"/>
    <w:rsid w:val="002F0278"/>
    <w:rsid w:val="00307D94"/>
    <w:rsid w:val="003323C7"/>
    <w:rsid w:val="003334CD"/>
    <w:rsid w:val="00336FE1"/>
    <w:rsid w:val="0034362B"/>
    <w:rsid w:val="00353AB1"/>
    <w:rsid w:val="003547E8"/>
    <w:rsid w:val="003645BF"/>
    <w:rsid w:val="003722A3"/>
    <w:rsid w:val="00376B56"/>
    <w:rsid w:val="00383A1F"/>
    <w:rsid w:val="0038736A"/>
    <w:rsid w:val="003904F8"/>
    <w:rsid w:val="003A3173"/>
    <w:rsid w:val="003C34AB"/>
    <w:rsid w:val="003E5C38"/>
    <w:rsid w:val="003F59DF"/>
    <w:rsid w:val="004141B8"/>
    <w:rsid w:val="004275EC"/>
    <w:rsid w:val="004424A6"/>
    <w:rsid w:val="00445DEE"/>
    <w:rsid w:val="0044701A"/>
    <w:rsid w:val="0045538F"/>
    <w:rsid w:val="0048576D"/>
    <w:rsid w:val="00486E96"/>
    <w:rsid w:val="004A773A"/>
    <w:rsid w:val="004A7771"/>
    <w:rsid w:val="004B0ABE"/>
    <w:rsid w:val="004D1EB3"/>
    <w:rsid w:val="004D52AF"/>
    <w:rsid w:val="004E6851"/>
    <w:rsid w:val="004F608B"/>
    <w:rsid w:val="00501C96"/>
    <w:rsid w:val="005047E4"/>
    <w:rsid w:val="0051290D"/>
    <w:rsid w:val="005165D2"/>
    <w:rsid w:val="005215AF"/>
    <w:rsid w:val="00522381"/>
    <w:rsid w:val="00542158"/>
    <w:rsid w:val="00546EB9"/>
    <w:rsid w:val="00564D83"/>
    <w:rsid w:val="00566380"/>
    <w:rsid w:val="00572EC6"/>
    <w:rsid w:val="005978FA"/>
    <w:rsid w:val="005A59E4"/>
    <w:rsid w:val="005A767B"/>
    <w:rsid w:val="005B04DF"/>
    <w:rsid w:val="005B717A"/>
    <w:rsid w:val="005D0D68"/>
    <w:rsid w:val="005D3458"/>
    <w:rsid w:val="005F001F"/>
    <w:rsid w:val="005F29CB"/>
    <w:rsid w:val="0060251B"/>
    <w:rsid w:val="006075A4"/>
    <w:rsid w:val="00611A6B"/>
    <w:rsid w:val="00617C12"/>
    <w:rsid w:val="00624AFF"/>
    <w:rsid w:val="006415D5"/>
    <w:rsid w:val="0067153F"/>
    <w:rsid w:val="00675A23"/>
    <w:rsid w:val="00677CCA"/>
    <w:rsid w:val="00680705"/>
    <w:rsid w:val="006A0A69"/>
    <w:rsid w:val="006A569F"/>
    <w:rsid w:val="006B7A01"/>
    <w:rsid w:val="006C3CD5"/>
    <w:rsid w:val="006D46DE"/>
    <w:rsid w:val="006E6137"/>
    <w:rsid w:val="006F58CF"/>
    <w:rsid w:val="00702D8C"/>
    <w:rsid w:val="0071202A"/>
    <w:rsid w:val="00735BC7"/>
    <w:rsid w:val="0073740D"/>
    <w:rsid w:val="00754940"/>
    <w:rsid w:val="00757D6D"/>
    <w:rsid w:val="00781677"/>
    <w:rsid w:val="00792C11"/>
    <w:rsid w:val="007A61FC"/>
    <w:rsid w:val="00837FF6"/>
    <w:rsid w:val="008427D7"/>
    <w:rsid w:val="00842C67"/>
    <w:rsid w:val="00844F30"/>
    <w:rsid w:val="00845CD1"/>
    <w:rsid w:val="00845D30"/>
    <w:rsid w:val="00847B78"/>
    <w:rsid w:val="008674A8"/>
    <w:rsid w:val="00871587"/>
    <w:rsid w:val="008719D8"/>
    <w:rsid w:val="00880B15"/>
    <w:rsid w:val="00887B95"/>
    <w:rsid w:val="008B45CB"/>
    <w:rsid w:val="008C045F"/>
    <w:rsid w:val="008F6AB5"/>
    <w:rsid w:val="00901387"/>
    <w:rsid w:val="00922F1E"/>
    <w:rsid w:val="00946FD6"/>
    <w:rsid w:val="0095164B"/>
    <w:rsid w:val="00966A95"/>
    <w:rsid w:val="00975348"/>
    <w:rsid w:val="0097583E"/>
    <w:rsid w:val="0098311A"/>
    <w:rsid w:val="009913B6"/>
    <w:rsid w:val="00997A8C"/>
    <w:rsid w:val="009A27B5"/>
    <w:rsid w:val="009B4DBA"/>
    <w:rsid w:val="009C2CBE"/>
    <w:rsid w:val="009D1056"/>
    <w:rsid w:val="009E42A3"/>
    <w:rsid w:val="009F48FE"/>
    <w:rsid w:val="00A004B5"/>
    <w:rsid w:val="00A076E2"/>
    <w:rsid w:val="00A11060"/>
    <w:rsid w:val="00A111CC"/>
    <w:rsid w:val="00A34EB9"/>
    <w:rsid w:val="00A3740D"/>
    <w:rsid w:val="00A40F5A"/>
    <w:rsid w:val="00A64F44"/>
    <w:rsid w:val="00A73FA9"/>
    <w:rsid w:val="00A74E27"/>
    <w:rsid w:val="00A83053"/>
    <w:rsid w:val="00A86A2F"/>
    <w:rsid w:val="00A91933"/>
    <w:rsid w:val="00A924CE"/>
    <w:rsid w:val="00A965AC"/>
    <w:rsid w:val="00A975CF"/>
    <w:rsid w:val="00AB00D1"/>
    <w:rsid w:val="00AB116C"/>
    <w:rsid w:val="00AC40EF"/>
    <w:rsid w:val="00AC7F4D"/>
    <w:rsid w:val="00AD0C93"/>
    <w:rsid w:val="00AD1C3F"/>
    <w:rsid w:val="00AD3748"/>
    <w:rsid w:val="00B01F61"/>
    <w:rsid w:val="00B05622"/>
    <w:rsid w:val="00B07813"/>
    <w:rsid w:val="00B154D6"/>
    <w:rsid w:val="00B211C5"/>
    <w:rsid w:val="00B21946"/>
    <w:rsid w:val="00B22B3F"/>
    <w:rsid w:val="00B328C5"/>
    <w:rsid w:val="00B33A99"/>
    <w:rsid w:val="00B40C5A"/>
    <w:rsid w:val="00B43DB6"/>
    <w:rsid w:val="00B46448"/>
    <w:rsid w:val="00B81B74"/>
    <w:rsid w:val="00BC522B"/>
    <w:rsid w:val="00BC7E33"/>
    <w:rsid w:val="00BD5727"/>
    <w:rsid w:val="00BD7FB3"/>
    <w:rsid w:val="00BE1F3C"/>
    <w:rsid w:val="00BE506C"/>
    <w:rsid w:val="00BF1E90"/>
    <w:rsid w:val="00BF7D99"/>
    <w:rsid w:val="00C0290D"/>
    <w:rsid w:val="00C07F99"/>
    <w:rsid w:val="00C117CA"/>
    <w:rsid w:val="00C555EA"/>
    <w:rsid w:val="00C70745"/>
    <w:rsid w:val="00C842B1"/>
    <w:rsid w:val="00C91705"/>
    <w:rsid w:val="00C92B6C"/>
    <w:rsid w:val="00CB2E4E"/>
    <w:rsid w:val="00CC57B6"/>
    <w:rsid w:val="00CD5C8D"/>
    <w:rsid w:val="00CF683F"/>
    <w:rsid w:val="00CF7284"/>
    <w:rsid w:val="00D013AD"/>
    <w:rsid w:val="00D05673"/>
    <w:rsid w:val="00D1064D"/>
    <w:rsid w:val="00D1731B"/>
    <w:rsid w:val="00D418BF"/>
    <w:rsid w:val="00D47BC3"/>
    <w:rsid w:val="00D51E65"/>
    <w:rsid w:val="00D52E39"/>
    <w:rsid w:val="00D54367"/>
    <w:rsid w:val="00D80D0E"/>
    <w:rsid w:val="00D926DA"/>
    <w:rsid w:val="00D95D5E"/>
    <w:rsid w:val="00D97678"/>
    <w:rsid w:val="00DA1BD6"/>
    <w:rsid w:val="00DE3EC3"/>
    <w:rsid w:val="00DE4E66"/>
    <w:rsid w:val="00DF2158"/>
    <w:rsid w:val="00E00E14"/>
    <w:rsid w:val="00E014FB"/>
    <w:rsid w:val="00E1239F"/>
    <w:rsid w:val="00E24680"/>
    <w:rsid w:val="00E300D5"/>
    <w:rsid w:val="00E37537"/>
    <w:rsid w:val="00E409BB"/>
    <w:rsid w:val="00E60B0F"/>
    <w:rsid w:val="00E64486"/>
    <w:rsid w:val="00E675E7"/>
    <w:rsid w:val="00E67F9C"/>
    <w:rsid w:val="00E91D96"/>
    <w:rsid w:val="00E92717"/>
    <w:rsid w:val="00EA1275"/>
    <w:rsid w:val="00EF12AD"/>
    <w:rsid w:val="00EF446F"/>
    <w:rsid w:val="00F23218"/>
    <w:rsid w:val="00F31126"/>
    <w:rsid w:val="00F34291"/>
    <w:rsid w:val="00F46D1B"/>
    <w:rsid w:val="00F66D27"/>
    <w:rsid w:val="00F74759"/>
    <w:rsid w:val="00F92C30"/>
    <w:rsid w:val="00F93FE2"/>
    <w:rsid w:val="00F97FCF"/>
    <w:rsid w:val="00FA6B5D"/>
    <w:rsid w:val="00FC2FA9"/>
    <w:rsid w:val="00FC4E2D"/>
    <w:rsid w:val="00FD527A"/>
    <w:rsid w:val="00FE5DDF"/>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47152981-3958-4939-92F1-0D7E64F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46F"/>
  </w:style>
  <w:style w:type="paragraph" w:styleId="Heading1">
    <w:name w:val="heading 1"/>
    <w:basedOn w:val="Normal"/>
    <w:next w:val="Normal"/>
    <w:link w:val="Heading1Char"/>
    <w:uiPriority w:val="9"/>
    <w:qFormat/>
    <w:rsid w:val="002257C4"/>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A924CE"/>
    <w:pPr>
      <w:keepNext/>
      <w:keepLines/>
      <w:spacing w:before="40" w:after="0"/>
      <w:outlineLvl w:val="1"/>
    </w:pPr>
    <w:rPr>
      <w:rFonts w:asciiTheme="majorHAnsi" w:eastAsiaTheme="majorEastAsia" w:hAnsiTheme="majorHAnsi" w:cstheme="majorBidi"/>
      <w:b/>
      <w:color w:val="BF8F00" w:themeColor="accent4" w:themeShade="BF"/>
      <w:sz w:val="26"/>
      <w:szCs w:val="26"/>
    </w:rPr>
  </w:style>
  <w:style w:type="paragraph" w:styleId="Heading3">
    <w:name w:val="heading 3"/>
    <w:basedOn w:val="Normal"/>
    <w:next w:val="Normal"/>
    <w:link w:val="Heading3Char"/>
    <w:uiPriority w:val="9"/>
    <w:unhideWhenUsed/>
    <w:qFormat/>
    <w:rsid w:val="0009467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7C4"/>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A924CE"/>
    <w:rPr>
      <w:rFonts w:asciiTheme="majorHAnsi" w:eastAsiaTheme="majorEastAsia" w:hAnsiTheme="majorHAnsi" w:cstheme="majorBidi"/>
      <w:b/>
      <w:color w:val="BF8F00" w:themeColor="accent4"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Heading3Char">
    <w:name w:val="Heading 3 Char"/>
    <w:basedOn w:val="DefaultParagraphFont"/>
    <w:link w:val="Heading3"/>
    <w:uiPriority w:val="9"/>
    <w:rsid w:val="0009467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0946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D95D5E"/>
    <w:rPr>
      <w:b/>
      <w:bCs/>
    </w:rPr>
  </w:style>
  <w:style w:type="paragraph" w:styleId="NoSpacing">
    <w:name w:val="No Spacing"/>
    <w:uiPriority w:val="1"/>
    <w:qFormat/>
    <w:rsid w:val="00C0290D"/>
    <w:pPr>
      <w:spacing w:after="0" w:line="240" w:lineRule="auto"/>
    </w:pPr>
  </w:style>
  <w:style w:type="character" w:customStyle="1" w:styleId="apple-converted-space">
    <w:name w:val="apple-converted-space"/>
    <w:basedOn w:val="DefaultParagraphFont"/>
    <w:rsid w:val="00B2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4607">
      <w:bodyDiv w:val="1"/>
      <w:marLeft w:val="0"/>
      <w:marRight w:val="0"/>
      <w:marTop w:val="0"/>
      <w:marBottom w:val="0"/>
      <w:divBdr>
        <w:top w:val="none" w:sz="0" w:space="0" w:color="auto"/>
        <w:left w:val="none" w:sz="0" w:space="0" w:color="auto"/>
        <w:bottom w:val="none" w:sz="0" w:space="0" w:color="auto"/>
        <w:right w:val="none" w:sz="0" w:space="0" w:color="auto"/>
      </w:divBdr>
    </w:div>
    <w:div w:id="359625593">
      <w:bodyDiv w:val="1"/>
      <w:marLeft w:val="0"/>
      <w:marRight w:val="0"/>
      <w:marTop w:val="0"/>
      <w:marBottom w:val="0"/>
      <w:divBdr>
        <w:top w:val="none" w:sz="0" w:space="0" w:color="auto"/>
        <w:left w:val="none" w:sz="0" w:space="0" w:color="auto"/>
        <w:bottom w:val="none" w:sz="0" w:space="0" w:color="auto"/>
        <w:right w:val="none" w:sz="0" w:space="0" w:color="auto"/>
      </w:divBdr>
    </w:div>
    <w:div w:id="452869706">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34595415">
      <w:bodyDiv w:val="1"/>
      <w:marLeft w:val="0"/>
      <w:marRight w:val="0"/>
      <w:marTop w:val="0"/>
      <w:marBottom w:val="0"/>
      <w:divBdr>
        <w:top w:val="none" w:sz="0" w:space="0" w:color="auto"/>
        <w:left w:val="none" w:sz="0" w:space="0" w:color="auto"/>
        <w:bottom w:val="none" w:sz="0" w:space="0" w:color="auto"/>
        <w:right w:val="none" w:sz="0" w:space="0" w:color="auto"/>
      </w:divBdr>
    </w:div>
    <w:div w:id="778453894">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810754209">
      <w:bodyDiv w:val="1"/>
      <w:marLeft w:val="0"/>
      <w:marRight w:val="0"/>
      <w:marTop w:val="0"/>
      <w:marBottom w:val="0"/>
      <w:divBdr>
        <w:top w:val="none" w:sz="0" w:space="0" w:color="auto"/>
        <w:left w:val="none" w:sz="0" w:space="0" w:color="auto"/>
        <w:bottom w:val="none" w:sz="0" w:space="0" w:color="auto"/>
        <w:right w:val="none" w:sz="0" w:space="0" w:color="auto"/>
      </w:divBdr>
    </w:div>
    <w:div w:id="1292050035">
      <w:bodyDiv w:val="1"/>
      <w:marLeft w:val="0"/>
      <w:marRight w:val="0"/>
      <w:marTop w:val="0"/>
      <w:marBottom w:val="0"/>
      <w:divBdr>
        <w:top w:val="none" w:sz="0" w:space="0" w:color="auto"/>
        <w:left w:val="none" w:sz="0" w:space="0" w:color="auto"/>
        <w:bottom w:val="none" w:sz="0" w:space="0" w:color="auto"/>
        <w:right w:val="none" w:sz="0" w:space="0" w:color="auto"/>
      </w:divBdr>
    </w:div>
    <w:div w:id="1461726229">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7208509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790278121">
      <w:bodyDiv w:val="1"/>
      <w:marLeft w:val="0"/>
      <w:marRight w:val="0"/>
      <w:marTop w:val="0"/>
      <w:marBottom w:val="0"/>
      <w:divBdr>
        <w:top w:val="none" w:sz="0" w:space="0" w:color="auto"/>
        <w:left w:val="none" w:sz="0" w:space="0" w:color="auto"/>
        <w:bottom w:val="none" w:sz="0" w:space="0" w:color="auto"/>
        <w:right w:val="none" w:sz="0" w:space="0" w:color="auto"/>
      </w:divBdr>
    </w:div>
    <w:div w:id="1872569373">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1921139022">
      <w:bodyDiv w:val="1"/>
      <w:marLeft w:val="0"/>
      <w:marRight w:val="0"/>
      <w:marTop w:val="0"/>
      <w:marBottom w:val="0"/>
      <w:divBdr>
        <w:top w:val="none" w:sz="0" w:space="0" w:color="auto"/>
        <w:left w:val="none" w:sz="0" w:space="0" w:color="auto"/>
        <w:bottom w:val="none" w:sz="0" w:space="0" w:color="auto"/>
        <w:right w:val="none" w:sz="0" w:space="0" w:color="auto"/>
      </w:divBdr>
    </w:div>
    <w:div w:id="1975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social/BlobServlet?docId=15292&amp;langId=en" TargetMode="External"/><Relationship Id="rId18" Type="http://schemas.openxmlformats.org/officeDocument/2006/relationships/hyperlink" Target="http://ec.europa.eu/social/BlobServlet?docId=15141&amp;langId=en" TargetMode="External"/><Relationship Id="rId26" Type="http://schemas.openxmlformats.org/officeDocument/2006/relationships/hyperlink" Target="http://www.equalityhumanrights.com/" TargetMode="External"/><Relationship Id="rId39" Type="http://schemas.openxmlformats.org/officeDocument/2006/relationships/hyperlink" Target="http://tgeu.org/" TargetMode="External"/><Relationship Id="rId21" Type="http://schemas.openxmlformats.org/officeDocument/2006/relationships/hyperlink" Target="http://www.coe.int/en/web/human-rights-rule-of-law/-/committee-of-ministers-published-its-decisions-on-the-execution-of-european-court-of-human-rights-judgments?redirect=http://www.coe.int/en/web/human-rights-rule-of-law/news?p_p_id=101_INSTANCE_qI77sHb3q28L&amp;p_p_lifecycle=0&amp;p_p_state=normal&amp;p_p_mode=view&amp;p_p_col_id=column-1&amp;p_p_col_count=1" TargetMode="External"/><Relationship Id="rId34" Type="http://schemas.openxmlformats.org/officeDocument/2006/relationships/hyperlink" Target="http://fra.europa.eu/en/news/2016/more-action-needed-support-roma-inclusion-and-combat-anti-gypsyism" TargetMode="External"/><Relationship Id="rId42" Type="http://schemas.openxmlformats.org/officeDocument/2006/relationships/hyperlink" Target="http://www.age-platform.eu/" TargetMode="External"/><Relationship Id="rId47" Type="http://schemas.openxmlformats.org/officeDocument/2006/relationships/hyperlink" Target="http://fra.europa.eu/en/theme/asylum-migration-borders/overviews/february-2016" TargetMode="External"/><Relationship Id="rId50" Type="http://schemas.openxmlformats.org/officeDocument/2006/relationships/hyperlink" Target="http://www.oecd.org/migration/making-integration-work-humanitarian-migrants-9789264251236-en.htm" TargetMode="External"/><Relationship Id="rId55" Type="http://schemas.openxmlformats.org/officeDocument/2006/relationships/hyperlink" Target="http://hudoc.echr.coe.int/en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ec.europa.eu/social/BlobServlet?docId=15186&amp;langId=en" TargetMode="External"/><Relationship Id="rId25" Type="http://schemas.openxmlformats.org/officeDocument/2006/relationships/image" Target="media/image3.jpg"/><Relationship Id="rId33" Type="http://schemas.openxmlformats.org/officeDocument/2006/relationships/hyperlink" Target="http://europa.eu/rapid/press-release_STATEMENT-16-1245_en.htm" TargetMode="External"/><Relationship Id="rId38" Type="http://schemas.openxmlformats.org/officeDocument/2006/relationships/hyperlink" Target="http://tgeu.org/transgender-day-of-visibility-2016-trans-murder-monitoring-update/" TargetMode="External"/><Relationship Id="rId46" Type="http://schemas.openxmlformats.org/officeDocument/2006/relationships/hyperlink" Target="http://www.europarl.europa.eu/RegData/etudes/STUD/2016/578956/IPOL_STU%282016%29578956_EN.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opa.eu/rapid/press-release_MEMO-16-545_en.htm" TargetMode="External"/><Relationship Id="rId20" Type="http://schemas.openxmlformats.org/officeDocument/2006/relationships/hyperlink" Target="http://www.equineteurope.org/Equality-Bodies-contributing-to" TargetMode="External"/><Relationship Id="rId29" Type="http://schemas.openxmlformats.org/officeDocument/2006/relationships/hyperlink" Target="http://ec.europa.eu/justice/grants1/calls/2015_action_grants/just_2015_rgen_ag_role_en.htm" TargetMode="External"/><Relationship Id="rId41" Type="http://schemas.openxmlformats.org/officeDocument/2006/relationships/hyperlink" Target="http://www.equalitylaw.eu/downloads/3724-reasonable-accommodation-for-disabled-people-in-employment-contexts" TargetMode="External"/><Relationship Id="rId54" Type="http://schemas.openxmlformats.org/officeDocument/2006/relationships/hyperlink" Target="http://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social/main.jsp?langId=en&amp;catId=699&amp;consultId=22&amp;visib=0&amp;furtherConsult=yes" TargetMode="External"/><Relationship Id="rId24" Type="http://schemas.openxmlformats.org/officeDocument/2006/relationships/hyperlink" Target="http://www.equineteurope.org/States-should-sanction-the-use-of" TargetMode="External"/><Relationship Id="rId32" Type="http://schemas.openxmlformats.org/officeDocument/2006/relationships/hyperlink" Target="http://www.osce.org/odihr/224206" TargetMode="External"/><Relationship Id="rId37" Type="http://schemas.openxmlformats.org/officeDocument/2006/relationships/hyperlink" Target="http://equineteurope.org/FRA-report-Professionally-speaking" TargetMode="External"/><Relationship Id="rId40" Type="http://schemas.openxmlformats.org/officeDocument/2006/relationships/hyperlink" Target="http://www.eesc.europa.eu/?i=portal.en.events-and-activities-eu-accessibility-act" TargetMode="External"/><Relationship Id="rId45" Type="http://schemas.openxmlformats.org/officeDocument/2006/relationships/hyperlink" Target="http://fra.europa.eu/en/opinion/2016/fra-opinion-concerning-eu-common-list-safe-countries-origin?_clde=laura.marchetti%40equineteurope.org&amp;urlid=1" TargetMode="External"/><Relationship Id="rId53" Type="http://schemas.openxmlformats.org/officeDocument/2006/relationships/hyperlink" Target="http://hudoc.echr.coe.int/eng?i=001-16176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priorities/deeper-and-fairer-economic-and-monetary-union/towards-european-pillar-social-rights_en" TargetMode="External"/><Relationship Id="rId23" Type="http://schemas.openxmlformats.org/officeDocument/2006/relationships/hyperlink" Target="http://fra.europa.eu/en/publication/2016/how-eu-charter-fundamental-rights-used-national-level" TargetMode="External"/><Relationship Id="rId28" Type="http://schemas.openxmlformats.org/officeDocument/2006/relationships/hyperlink" Target="ww.enar-eu.org/26-May-2016-Symposium-Muslim-women-forgotten-women-Understanding-the-gender" TargetMode="External"/><Relationship Id="rId36" Type="http://schemas.openxmlformats.org/officeDocument/2006/relationships/image" Target="media/image4.jpg"/><Relationship Id="rId49" Type="http://schemas.openxmlformats.org/officeDocument/2006/relationships/hyperlink" Target="http://www.oecd.org/migration/making-integration-work-humanitarian-migrants-9789264251236-en.htm" TargetMode="External"/><Relationship Id="rId57" Type="http://schemas.openxmlformats.org/officeDocument/2006/relationships/footer" Target="footer1.xml"/><Relationship Id="rId10" Type="http://schemas.openxmlformats.org/officeDocument/2006/relationships/hyperlink" Target="http://ec.europa.eu/social/BlobServlet?docId=15274&amp;langId=en" TargetMode="External"/><Relationship Id="rId19" Type="http://schemas.openxmlformats.org/officeDocument/2006/relationships/hyperlink" Target="http://ec.europa.eu/social/BlobServlet?docId=15142&amp;langId=en" TargetMode="External"/><Relationship Id="rId31" Type="http://schemas.openxmlformats.org/officeDocument/2006/relationships/hyperlink" Target="https://ec.europa.eu/anti-trafficking/eu-policy/study-gender-dimension-trafficking-human-beings_en" TargetMode="External"/><Relationship Id="rId44" Type="http://schemas.openxmlformats.org/officeDocument/2006/relationships/hyperlink" Target="https://www.crin.org/en/library/publications/rights-remedies-and-representation-global-report-access-justice-children" TargetMode="External"/><Relationship Id="rId52" Type="http://schemas.openxmlformats.org/officeDocument/2006/relationships/hyperlink" Target="http://curia.europa.eu/jcms/upload/docs/application/pdf/2016-04/cp160036en.pdf"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mailto:katrine.steinfeld@equineteurope.org" TargetMode="External"/><Relationship Id="rId22" Type="http://schemas.openxmlformats.org/officeDocument/2006/relationships/hyperlink" Target="https://ec.europa.eu/migrant-integration/librarydoc/call-for-proposals-for-policy-reform-social-inclusion-through-education-training-and-youth" TargetMode="External"/><Relationship Id="rId27" Type="http://schemas.openxmlformats.org/officeDocument/2006/relationships/hyperlink" Target="http://www.equineteurope.org/Equinet-EHRC-roundtable-event-The" TargetMode="External"/><Relationship Id="rId30" Type="http://schemas.openxmlformats.org/officeDocument/2006/relationships/hyperlink" Target="http://ec.europa.eu/justice/grants1/calls/2015_action_grants/just_2015_rdap_ag_en.htm" TargetMode="External"/><Relationship Id="rId35" Type="http://schemas.openxmlformats.org/officeDocument/2006/relationships/hyperlink" Target="http://www.equineteurope.org/Black-people-in-Europe-report" TargetMode="External"/><Relationship Id="rId43" Type="http://schemas.openxmlformats.org/officeDocument/2006/relationships/hyperlink" Target="http://www.age-platform.eu/images/stories/EN/AGE_events/AGE_Joint_event_April2016_invite.pdf" TargetMode="External"/><Relationship Id="rId48" Type="http://schemas.openxmlformats.org/officeDocument/2006/relationships/hyperlink" Target="http://fra.europa.eu/en/theme/asylum-migration-borders/overviews/focus-children" TargetMode="External"/><Relationship Id="rId56" Type="http://schemas.openxmlformats.org/officeDocument/2006/relationships/hyperlink" Target="file:///C:\Users\lama\Downloads\Judgment%20Novruk%20and%20Others%20v.%20Russia%20-%20unwarranted%20exclusion%20of%20HIV-positive%20foreign%20nationals.pdf" TargetMode="External"/><Relationship Id="rId8" Type="http://schemas.openxmlformats.org/officeDocument/2006/relationships/image" Target="media/image1.png"/><Relationship Id="rId51" Type="http://schemas.openxmlformats.org/officeDocument/2006/relationships/hyperlink" Target="http://curia.europa.eu/jcms/upload/docs/application/pdf/2016-03/cp160032en.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2A29-48D3-42F2-B707-178E098E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7</Pages>
  <Words>3100</Words>
  <Characters>17054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151</cp:revision>
  <cp:lastPrinted>2016-04-08T14:09:00Z</cp:lastPrinted>
  <dcterms:created xsi:type="dcterms:W3CDTF">2015-06-12T12:43:00Z</dcterms:created>
  <dcterms:modified xsi:type="dcterms:W3CDTF">2016-04-11T12:52:00Z</dcterms:modified>
</cp:coreProperties>
</file>