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5A4EE" w14:textId="606FD13A" w:rsidR="009F553C" w:rsidRPr="00F74E8F" w:rsidRDefault="00730F17" w:rsidP="00EF2540">
      <w:pPr>
        <w:pBdr>
          <w:bottom w:val="dotted" w:sz="12" w:space="1" w:color="auto"/>
        </w:pBdr>
        <w:shd w:val="clear" w:color="auto" w:fill="FFFFFF" w:themeFill="background1"/>
        <w:spacing w:line="240" w:lineRule="auto"/>
        <w:jc w:val="both"/>
        <w:rPr>
          <w:sz w:val="20"/>
          <w:lang w:val="en-GB"/>
        </w:rPr>
      </w:pPr>
      <w:r>
        <w:rPr>
          <w:noProof/>
          <w:lang w:eastAsia="fr-BE"/>
        </w:rPr>
        <mc:AlternateContent>
          <mc:Choice Requires="wps">
            <w:drawing>
              <wp:anchor distT="45720" distB="45720" distL="114300" distR="114300" simplePos="0" relativeHeight="251651584" behindDoc="0" locked="0" layoutInCell="1" allowOverlap="1" wp14:anchorId="6EC58A78" wp14:editId="5D204311">
                <wp:simplePos x="0" y="0"/>
                <wp:positionH relativeFrom="margin">
                  <wp:posOffset>51767</wp:posOffset>
                </wp:positionH>
                <wp:positionV relativeFrom="margin">
                  <wp:posOffset>-353060</wp:posOffset>
                </wp:positionV>
                <wp:extent cx="65341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8D2B4E"/>
                        </a:solidFill>
                        <a:ln w="9525">
                          <a:noFill/>
                          <a:miter lim="800000"/>
                          <a:headEnd/>
                          <a:tailEnd/>
                        </a:ln>
                      </wps:spPr>
                      <wps:txbx>
                        <w:txbxContent>
                          <w:p w14:paraId="6F21A0C9" w14:textId="77777777" w:rsidR="00771C15" w:rsidRPr="00C81D5A" w:rsidRDefault="00771C15" w:rsidP="00730F17">
                            <w:pPr>
                              <w:jc w:val="center"/>
                              <w:rPr>
                                <w:rFonts w:ascii="Arial Rounded MT Bold" w:hAnsi="Arial Rounded MT Bold"/>
                                <w:b/>
                                <w:color w:val="FFFFFF" w:themeColor="background1"/>
                                <w:sz w:val="48"/>
                                <w:lang w:val="en-US"/>
                              </w:rPr>
                            </w:pPr>
                            <w:r w:rsidRPr="00C81D5A">
                              <w:rPr>
                                <w:rFonts w:ascii="Arial Rounded MT Bold" w:hAnsi="Arial Rounded MT Bold"/>
                                <w:b/>
                                <w:color w:val="FFFFFF" w:themeColor="background1"/>
                                <w:sz w:val="48"/>
                                <w:lang w:val="en-US"/>
                              </w:rPr>
                              <w:t>Innovating at the Intersections</w:t>
                            </w:r>
                          </w:p>
                          <w:p w14:paraId="78223195" w14:textId="77777777" w:rsidR="00771C15" w:rsidRPr="00C81D5A" w:rsidRDefault="00771C15" w:rsidP="00730F17">
                            <w:pPr>
                              <w:jc w:val="center"/>
                              <w:rPr>
                                <w:rFonts w:ascii="Arial Rounded MT Bold" w:hAnsi="Arial Rounded MT Bold"/>
                                <w:b/>
                                <w:color w:val="FFFFFF" w:themeColor="background1"/>
                                <w:sz w:val="48"/>
                                <w:lang w:val="en-US"/>
                              </w:rPr>
                            </w:pPr>
                            <w:r w:rsidRPr="00C81D5A">
                              <w:rPr>
                                <w:rFonts w:ascii="Arial Rounded MT Bold" w:hAnsi="Arial Rounded MT Bold"/>
                                <w:b/>
                                <w:color w:val="FFFFFF" w:themeColor="background1"/>
                                <w:sz w:val="48"/>
                                <w:lang w:val="en-US"/>
                              </w:rPr>
                              <w:t>An Equinet Perspective (2016)</w:t>
                            </w:r>
                            <w:r w:rsidR="00904212" w:rsidRPr="00C81D5A">
                              <w:rPr>
                                <w:rFonts w:ascii="Arial Rounded MT Bold" w:hAnsi="Arial Rounded MT Bold"/>
                                <w:b/>
                                <w:color w:val="FFFFFF" w:themeColor="background1"/>
                                <w:sz w:val="48"/>
                                <w:lang w:val="en-US"/>
                              </w:rPr>
                              <w:t xml:space="preserve"> -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58A78" id="_x0000_t202" coordsize="21600,21600" o:spt="202" path="m,l,21600r21600,l21600,xe">
                <v:stroke joinstyle="miter"/>
                <v:path gradientshapeok="t" o:connecttype="rect"/>
              </v:shapetype>
              <v:shape id="Text Box 2" o:spid="_x0000_s1026" type="#_x0000_t202" style="position:absolute;left:0;text-align:left;margin-left:4.1pt;margin-top:-27.8pt;width:514.5pt;height:110.6pt;z-index:251651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" fillcolor="#8d2b4e" stroked="f">
                <v:textbox style="mso-fit-shape-to-text:t">
                  <w:txbxContent>
                    <w:p w14:paraId="6F21A0C9" w14:textId="77777777" w:rsidR="00771C15" w:rsidRPr="00C81D5A" w:rsidRDefault="00771C15" w:rsidP="00730F17">
                      <w:pPr>
                        <w:jc w:val="center"/>
                        <w:rPr>
                          <w:rFonts w:ascii="Arial Rounded MT Bold" w:hAnsi="Arial Rounded MT Bold"/>
                          <w:b/>
                          <w:color w:val="FFFFFF" w:themeColor="background1"/>
                          <w:sz w:val="48"/>
                          <w:lang w:val="en-US"/>
                        </w:rPr>
                      </w:pPr>
                      <w:r w:rsidRPr="00C81D5A">
                        <w:rPr>
                          <w:rFonts w:ascii="Arial Rounded MT Bold" w:hAnsi="Arial Rounded MT Bold"/>
                          <w:b/>
                          <w:color w:val="FFFFFF" w:themeColor="background1"/>
                          <w:sz w:val="48"/>
                          <w:lang w:val="en-US"/>
                        </w:rPr>
                        <w:t>Innovating at the Intersections</w:t>
                      </w:r>
                    </w:p>
                    <w:p w14:paraId="78223195" w14:textId="77777777" w:rsidR="00771C15" w:rsidRPr="00C81D5A" w:rsidRDefault="00771C15" w:rsidP="00730F17">
                      <w:pPr>
                        <w:jc w:val="center"/>
                        <w:rPr>
                          <w:rFonts w:ascii="Arial Rounded MT Bold" w:hAnsi="Arial Rounded MT Bold"/>
                          <w:b/>
                          <w:color w:val="FFFFFF" w:themeColor="background1"/>
                          <w:sz w:val="48"/>
                          <w:lang w:val="en-US"/>
                        </w:rPr>
                      </w:pPr>
                      <w:r w:rsidRPr="00C81D5A">
                        <w:rPr>
                          <w:rFonts w:ascii="Arial Rounded MT Bold" w:hAnsi="Arial Rounded MT Bold"/>
                          <w:b/>
                          <w:color w:val="FFFFFF" w:themeColor="background1"/>
                          <w:sz w:val="48"/>
                          <w:lang w:val="en-US"/>
                        </w:rPr>
                        <w:t>An Equinet Perspective (2016)</w:t>
                      </w:r>
                      <w:r w:rsidR="00904212" w:rsidRPr="00C81D5A">
                        <w:rPr>
                          <w:rFonts w:ascii="Arial Rounded MT Bold" w:hAnsi="Arial Rounded MT Bold"/>
                          <w:b/>
                          <w:color w:val="FFFFFF" w:themeColor="background1"/>
                          <w:sz w:val="48"/>
                          <w:lang w:val="en-US"/>
                        </w:rPr>
                        <w:t xml:space="preserve"> - Summary</w:t>
                      </w:r>
                    </w:p>
                  </w:txbxContent>
                </v:textbox>
                <w10:wrap type="square" anchorx="margin" anchory="margin"/>
              </v:shape>
            </w:pict>
          </mc:Fallback>
        </mc:AlternateContent>
      </w:r>
      <w:r w:rsidR="00771C15">
        <w:rPr>
          <w:noProof/>
          <w:lang w:eastAsia="fr-BE"/>
        </w:rPr>
        <mc:AlternateContent>
          <mc:Choice Requires="wps">
            <w:drawing>
              <wp:anchor distT="0" distB="0" distL="114300" distR="114300" simplePos="0" relativeHeight="251649536" behindDoc="0" locked="0" layoutInCell="1" allowOverlap="1" wp14:anchorId="50C479A8" wp14:editId="1C7C05FD">
                <wp:simplePos x="0" y="0"/>
                <wp:positionH relativeFrom="column">
                  <wp:posOffset>-457200</wp:posOffset>
                </wp:positionH>
                <wp:positionV relativeFrom="paragraph">
                  <wp:posOffset>-466724</wp:posOffset>
                </wp:positionV>
                <wp:extent cx="7658100" cy="1220470"/>
                <wp:effectExtent l="0" t="0" r="19050" b="17780"/>
                <wp:wrapNone/>
                <wp:docPr id="1" name="Rectangle 1"/>
                <wp:cNvGraphicFramePr/>
                <a:graphic xmlns:a="http://schemas.openxmlformats.org/drawingml/2006/main">
                  <a:graphicData uri="http://schemas.microsoft.com/office/word/2010/wordprocessingShape">
                    <wps:wsp>
                      <wps:cNvSpPr/>
                      <wps:spPr>
                        <a:xfrm>
                          <a:off x="0" y="0"/>
                          <a:ext cx="7658100" cy="1220470"/>
                        </a:xfrm>
                        <a:prstGeom prst="rect">
                          <a:avLst/>
                        </a:prstGeom>
                        <a:solidFill>
                          <a:srgbClr val="8D2B4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F601C" id="Rectangle 1" o:spid="_x0000_s1026" style="position:absolute;margin-left:-36pt;margin-top:-36.75pt;width:603pt;height:9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" fillcolor="#8d2b4e" strokecolor="#1f4d78 [1604]" strokeweight="1pt"/>
            </w:pict>
          </mc:Fallback>
        </mc:AlternateContent>
      </w:r>
      <w:r w:rsidR="009F553C">
        <w:rPr>
          <w:b/>
          <w:color w:val="0070C0"/>
          <w:lang w:val="en-GB"/>
        </w:rPr>
        <w:br/>
      </w:r>
      <w:r w:rsidR="00771C15">
        <w:rPr>
          <w:b/>
          <w:color w:val="0070C0"/>
          <w:lang w:val="en-GB"/>
        </w:rPr>
        <w:t>EQUINET</w:t>
      </w:r>
      <w:r w:rsidR="00771C15" w:rsidRPr="001948F3">
        <w:rPr>
          <w:sz w:val="20"/>
          <w:lang w:val="en-GB"/>
        </w:rPr>
        <w:t xml:space="preserve">, the European Network of Equality Bodies, brings together </w:t>
      </w:r>
      <w:r w:rsidR="00771C15" w:rsidRPr="001948F3">
        <w:rPr>
          <w:b/>
          <w:sz w:val="20"/>
          <w:lang w:val="en-GB"/>
        </w:rPr>
        <w:t>4</w:t>
      </w:r>
      <w:r w:rsidR="00771C15">
        <w:rPr>
          <w:b/>
          <w:sz w:val="20"/>
          <w:lang w:val="en-GB"/>
        </w:rPr>
        <w:t>6</w:t>
      </w:r>
      <w:r w:rsidR="00771C15" w:rsidRPr="001948F3">
        <w:rPr>
          <w:b/>
          <w:sz w:val="20"/>
          <w:lang w:val="en-GB"/>
        </w:rPr>
        <w:t xml:space="preserve"> equality bodies from 3</w:t>
      </w:r>
      <w:r w:rsidR="00771C15">
        <w:rPr>
          <w:b/>
          <w:sz w:val="20"/>
          <w:lang w:val="en-GB"/>
        </w:rPr>
        <w:t>4</w:t>
      </w:r>
      <w:r w:rsidR="00771C15" w:rsidRPr="001948F3">
        <w:rPr>
          <w:b/>
          <w:sz w:val="20"/>
          <w:lang w:val="en-GB"/>
        </w:rPr>
        <w:t xml:space="preserve"> European countries</w:t>
      </w:r>
      <w:r w:rsidR="00771C15" w:rsidRPr="001948F3">
        <w:rPr>
          <w:sz w:val="20"/>
          <w:lang w:val="en-GB"/>
        </w:rPr>
        <w:t>. Equality bodies are public institutions set up across Europe to promote equality and tackle discrimination on grounds of gender, race, age, sexual orientation, religion and belief, disability or other grounds. They play a fundamental role in the non-discrimination architecture of the EU. As a first point of contact for victims of discrimination, equality bodies have an extensive understanding of how discrimination affects people in Europe.</w:t>
      </w:r>
      <w:r w:rsidR="009F553C">
        <w:rPr>
          <w:sz w:val="20"/>
          <w:lang w:val="en-GB"/>
        </w:rPr>
        <w:tab/>
      </w:r>
      <w:r w:rsidR="009F553C">
        <w:rPr>
          <w:sz w:val="20"/>
          <w:lang w:val="en-GB"/>
        </w:rPr>
        <w:br/>
      </w:r>
    </w:p>
    <w:p w14:paraId="50652BDB" w14:textId="3CBA962E" w:rsidR="001D1908" w:rsidRPr="00F74E8F" w:rsidRDefault="00DF3A62" w:rsidP="00EF2540">
      <w:pPr>
        <w:spacing w:line="240" w:lineRule="auto"/>
        <w:rPr>
          <w:rFonts w:ascii="Arial Rounded MT Bold" w:hAnsi="Arial Rounded MT Bold"/>
          <w:b/>
          <w:sz w:val="32"/>
          <w:lang w:val="en-US"/>
        </w:rPr>
      </w:pPr>
      <w:r w:rsidRPr="00F74E8F">
        <w:rPr>
          <w:rFonts w:ascii="Arial Rounded MT Bold" w:eastAsia="Kozuka Gothic Pr6N EL" w:hAnsi="Arial Rounded MT Bold"/>
          <w:b/>
          <w:noProof/>
          <w:color w:val="0070C0"/>
          <w:sz w:val="32"/>
          <w:lang w:eastAsia="fr-BE"/>
        </w:rPr>
        <mc:AlternateContent>
          <mc:Choice Requires="wps">
            <w:drawing>
              <wp:anchor distT="45720" distB="45720" distL="114300" distR="114300" simplePos="0" relativeHeight="251653632" behindDoc="0" locked="0" layoutInCell="1" allowOverlap="1" wp14:anchorId="5CFE7A39" wp14:editId="35235F1B">
                <wp:simplePos x="0" y="0"/>
                <wp:positionH relativeFrom="margin">
                  <wp:posOffset>-66675</wp:posOffset>
                </wp:positionH>
                <wp:positionV relativeFrom="margin">
                  <wp:posOffset>2105025</wp:posOffset>
                </wp:positionV>
                <wp:extent cx="1647825" cy="2019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19300"/>
                        </a:xfrm>
                        <a:prstGeom prst="rect">
                          <a:avLst/>
                        </a:prstGeom>
                        <a:solidFill>
                          <a:srgbClr val="FFFFFF"/>
                        </a:solidFill>
                        <a:ln w="9525">
                          <a:solidFill>
                            <a:schemeClr val="bg1"/>
                          </a:solidFill>
                          <a:miter lim="800000"/>
                          <a:headEnd/>
                          <a:tailEnd/>
                        </a:ln>
                      </wps:spPr>
                      <wps:txbx>
                        <w:txbxContent>
                          <w:p w14:paraId="53DFDD79" w14:textId="77777777" w:rsidR="00F108DE" w:rsidRPr="00DF3A62" w:rsidRDefault="00F44FB8" w:rsidP="00DF3A62">
                            <w:pPr>
                              <w:shd w:val="clear" w:color="auto" w:fill="FBE4D5" w:themeFill="accent2" w:themeFillTint="33"/>
                              <w:jc w:val="both"/>
                              <w:rPr>
                                <w:b/>
                                <w:sz w:val="24"/>
                                <w:lang w:val="en-GB"/>
                              </w:rPr>
                            </w:pPr>
                            <w:r w:rsidRPr="00DF3A62">
                              <w:rPr>
                                <w:sz w:val="20"/>
                                <w:lang w:val="en-GB"/>
                              </w:rPr>
                              <w:t xml:space="preserve">This Equinet Perspective is based on the contribution of 23 equality bodies </w:t>
                            </w:r>
                            <w:r w:rsidR="00F5170E" w:rsidRPr="00DF3A62">
                              <w:rPr>
                                <w:sz w:val="20"/>
                                <w:lang w:val="en-GB"/>
                              </w:rPr>
                              <w:t xml:space="preserve">from 21 European countries, as well as a roundtable discussion of the Equinet’s Working Group on Policy Formation and the input of Equinet’s Working Group on Gender Equality </w:t>
                            </w:r>
                            <w:r w:rsidR="00F5170E" w:rsidRPr="00DF3A62">
                              <w:rPr>
                                <w:i/>
                                <w:sz w:val="20"/>
                                <w:lang w:val="en-GB"/>
                              </w:rPr>
                              <w:t>(see list of contributors at the end)</w:t>
                            </w:r>
                            <w:r w:rsidR="00F5170E" w:rsidRPr="00DF3A62">
                              <w:rPr>
                                <w:sz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E7A39" id="_x0000_s1027" type="#_x0000_t202" style="position:absolute;margin-left:-5.25pt;margin-top:165.75pt;width:129.75pt;height:159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" strokecolor="white [3212]">
                <v:textbox>
                  <w:txbxContent>
                    <w:p w14:paraId="53DFDD79" w14:textId="77777777" w:rsidR="00F108DE" w:rsidRPr="00DF3A62" w:rsidRDefault="00F44FB8" w:rsidP="00DF3A62">
                      <w:pPr>
                        <w:shd w:val="clear" w:color="auto" w:fill="FBE4D5" w:themeFill="accent2" w:themeFillTint="33"/>
                        <w:jc w:val="both"/>
                        <w:rPr>
                          <w:b/>
                          <w:sz w:val="24"/>
                          <w:lang w:val="en-GB"/>
                        </w:rPr>
                      </w:pPr>
                      <w:r w:rsidRPr="00DF3A62">
                        <w:rPr>
                          <w:sz w:val="20"/>
                          <w:lang w:val="en-GB"/>
                        </w:rPr>
                        <w:t xml:space="preserve">This Equinet Perspective is based on the contribution of 23 equality bodies </w:t>
                      </w:r>
                      <w:r w:rsidR="00F5170E" w:rsidRPr="00DF3A62">
                        <w:rPr>
                          <w:sz w:val="20"/>
                          <w:lang w:val="en-GB"/>
                        </w:rPr>
                        <w:t xml:space="preserve">from 21 European countries, as well as a roundtable discussion of the Equinet’s Working Group on Policy Formation and the input of Equinet’s Working Group on Gender Equality </w:t>
                      </w:r>
                      <w:r w:rsidR="00F5170E" w:rsidRPr="00DF3A62">
                        <w:rPr>
                          <w:i/>
                          <w:sz w:val="20"/>
                          <w:lang w:val="en-GB"/>
                        </w:rPr>
                        <w:t>(see list of contributors at the end)</w:t>
                      </w:r>
                      <w:r w:rsidR="00F5170E" w:rsidRPr="00DF3A62">
                        <w:rPr>
                          <w:sz w:val="20"/>
                          <w:lang w:val="en-GB"/>
                        </w:rPr>
                        <w:t>.</w:t>
                      </w:r>
                    </w:p>
                  </w:txbxContent>
                </v:textbox>
                <w10:wrap type="square" anchorx="margin" anchory="margin"/>
              </v:shape>
            </w:pict>
          </mc:Fallback>
        </mc:AlternateContent>
      </w:r>
      <w:r w:rsidR="00730F17" w:rsidRPr="00F74E8F">
        <w:rPr>
          <w:rFonts w:ascii="Arial Rounded MT Bold" w:hAnsi="Arial Rounded MT Bold"/>
          <w:b/>
          <w:sz w:val="32"/>
          <w:lang w:val="en-US"/>
        </w:rPr>
        <w:t>Why a Pe</w:t>
      </w:r>
      <w:r w:rsidR="00DE139B" w:rsidRPr="00F74E8F">
        <w:rPr>
          <w:rFonts w:ascii="Arial Rounded MT Bold" w:hAnsi="Arial Rounded MT Bold"/>
          <w:b/>
          <w:sz w:val="32"/>
          <w:lang w:val="en-US"/>
        </w:rPr>
        <w:t>rspective on Intersectionality?</w:t>
      </w:r>
    </w:p>
    <w:p w14:paraId="545051E4" w14:textId="77777777" w:rsidR="000B0ED6" w:rsidRPr="00F74E8F" w:rsidRDefault="000B0ED6" w:rsidP="00EF2540">
      <w:pPr>
        <w:spacing w:line="240" w:lineRule="auto"/>
        <w:jc w:val="both"/>
        <w:rPr>
          <w:rFonts w:ascii="Arial Rounded MT Bold" w:hAnsi="Arial Rounded MT Bold"/>
          <w:lang w:val="en-US"/>
        </w:rPr>
        <w:sectPr w:rsidR="000B0ED6" w:rsidRPr="00F74E8F" w:rsidSect="004B30E0">
          <w:pgSz w:w="11906" w:h="16838"/>
          <w:pgMar w:top="720" w:right="720" w:bottom="720" w:left="720" w:header="708" w:footer="708" w:gutter="0"/>
          <w:cols w:space="708"/>
          <w:docGrid w:linePitch="360"/>
        </w:sectPr>
      </w:pPr>
    </w:p>
    <w:p w14:paraId="28626FCC" w14:textId="281705C4" w:rsidR="00730F17" w:rsidRPr="00DF3A62" w:rsidRDefault="00730F17" w:rsidP="00EF2540">
      <w:pPr>
        <w:spacing w:line="240" w:lineRule="auto"/>
        <w:jc w:val="both"/>
        <w:rPr>
          <w:sz w:val="20"/>
          <w:lang w:val="en-US"/>
        </w:rPr>
      </w:pPr>
      <w:r w:rsidRPr="00DF3A62">
        <w:rPr>
          <w:sz w:val="20"/>
          <w:lang w:val="en-US"/>
        </w:rPr>
        <w:t>The different grounds covered by equal treatment legislation intersect. P</w:t>
      </w:r>
      <w:r w:rsidR="00DE139B" w:rsidRPr="00DF3A62">
        <w:rPr>
          <w:sz w:val="20"/>
          <w:lang w:val="en-US"/>
        </w:rPr>
        <w:t xml:space="preserve">eople hold more than one of the personal characteristics that are used in defining each of the different grounds of </w:t>
      </w:r>
      <w:r w:rsidR="00DE139B" w:rsidRPr="00DF3A62">
        <w:rPr>
          <w:b/>
          <w:sz w:val="20"/>
          <w:lang w:val="en-US"/>
        </w:rPr>
        <w:t>gender, age, sexual orientation, racial or ethnic origin, religion or belief or disability</w:t>
      </w:r>
      <w:r w:rsidR="00DE139B" w:rsidRPr="00DF3A62">
        <w:rPr>
          <w:sz w:val="20"/>
          <w:lang w:val="en-US"/>
        </w:rPr>
        <w:t>.</w:t>
      </w:r>
      <w:r w:rsidR="00481011" w:rsidRPr="00DF3A62">
        <w:rPr>
          <w:sz w:val="20"/>
          <w:lang w:val="en-US"/>
        </w:rPr>
        <w:t xml:space="preserve"> The issue of inter</w:t>
      </w:r>
      <w:r w:rsidR="00CB6E3D" w:rsidRPr="00DF3A62">
        <w:rPr>
          <w:sz w:val="20"/>
          <w:lang w:val="en-US"/>
        </w:rPr>
        <w:t xml:space="preserve">secting grounds is a </w:t>
      </w:r>
      <w:r w:rsidR="00481011" w:rsidRPr="00DF3A62">
        <w:rPr>
          <w:sz w:val="20"/>
          <w:lang w:val="en-US"/>
        </w:rPr>
        <w:t>recent focus for anti-di</w:t>
      </w:r>
      <w:r w:rsidR="00866864" w:rsidRPr="00DF3A62">
        <w:rPr>
          <w:sz w:val="20"/>
          <w:lang w:val="en-US"/>
        </w:rPr>
        <w:t xml:space="preserve">scrimination and equality work. It </w:t>
      </w:r>
      <w:r w:rsidR="00481011" w:rsidRPr="00DF3A62">
        <w:rPr>
          <w:sz w:val="20"/>
          <w:lang w:val="en-US"/>
        </w:rPr>
        <w:t>is</w:t>
      </w:r>
      <w:r w:rsidR="00CB6E3D" w:rsidRPr="00DF3A62">
        <w:rPr>
          <w:sz w:val="20"/>
          <w:lang w:val="en-US"/>
        </w:rPr>
        <w:t xml:space="preserve"> </w:t>
      </w:r>
      <w:r w:rsidR="00481011" w:rsidRPr="00DF3A62">
        <w:rPr>
          <w:b/>
          <w:sz w:val="20"/>
          <w:lang w:val="en-US"/>
        </w:rPr>
        <w:t>underdeveloped</w:t>
      </w:r>
      <w:r w:rsidR="00481011" w:rsidRPr="00DF3A62">
        <w:rPr>
          <w:sz w:val="20"/>
          <w:lang w:val="en-US"/>
        </w:rPr>
        <w:t xml:space="preserve"> in theory, policy and practice</w:t>
      </w:r>
      <w:r w:rsidR="00224E91" w:rsidRPr="00DF3A62">
        <w:rPr>
          <w:sz w:val="20"/>
          <w:lang w:val="en-US"/>
        </w:rPr>
        <w:t>, despite being a key challenge to the future of equality and non-discrimination</w:t>
      </w:r>
      <w:r w:rsidR="00481011" w:rsidRPr="00DF3A62">
        <w:rPr>
          <w:sz w:val="20"/>
          <w:lang w:val="en-US"/>
        </w:rPr>
        <w:t xml:space="preserve">. </w:t>
      </w:r>
    </w:p>
    <w:p w14:paraId="6367A206" w14:textId="77777777" w:rsidR="00EF2540" w:rsidRPr="00DF3A62" w:rsidRDefault="000B0ED6" w:rsidP="00EF2540">
      <w:pPr>
        <w:pStyle w:val="NoSpacing"/>
        <w:jc w:val="both"/>
        <w:rPr>
          <w:sz w:val="20"/>
          <w:lang w:val="en-US"/>
        </w:rPr>
      </w:pPr>
      <w:r w:rsidRPr="00DF3A62">
        <w:rPr>
          <w:b/>
          <w:sz w:val="20"/>
          <w:lang w:val="en-US"/>
        </w:rPr>
        <w:t>Equality bodies</w:t>
      </w:r>
      <w:r w:rsidRPr="00DF3A62">
        <w:rPr>
          <w:sz w:val="20"/>
          <w:lang w:val="en-US"/>
        </w:rPr>
        <w:t xml:space="preserve"> are valuable actors in developing work on intersectionality. </w:t>
      </w:r>
      <w:r w:rsidR="00DB27ED" w:rsidRPr="00DF3A62">
        <w:rPr>
          <w:sz w:val="20"/>
          <w:lang w:val="en-US"/>
        </w:rPr>
        <w:t xml:space="preserve">Their role in supporting casework on multiple discrimination or in hearing and deciding on cases of multiple discrimination were extensively explored in various researches and reports. </w:t>
      </w:r>
      <w:r w:rsidR="00CB6E3D" w:rsidRPr="00DF3A62">
        <w:rPr>
          <w:sz w:val="20"/>
          <w:lang w:val="en-US"/>
        </w:rPr>
        <w:t xml:space="preserve">This Perspective </w:t>
      </w:r>
      <w:r w:rsidR="00181D3F" w:rsidRPr="00DF3A62">
        <w:rPr>
          <w:sz w:val="20"/>
          <w:lang w:val="en-US"/>
        </w:rPr>
        <w:t>aims to set out the contribution of equality bodies to intersectionality issues, as well as suggesting ways forward for further deve</w:t>
      </w:r>
      <w:r w:rsidR="00B843E7" w:rsidRPr="00DF3A62">
        <w:rPr>
          <w:sz w:val="20"/>
          <w:lang w:val="en-US"/>
        </w:rPr>
        <w:t xml:space="preserve">loping this work </w:t>
      </w:r>
      <w:r w:rsidR="00EF2540" w:rsidRPr="00DF3A62">
        <w:rPr>
          <w:sz w:val="20"/>
          <w:lang w:val="en-US"/>
        </w:rPr>
        <w:t>in the future.</w:t>
      </w:r>
    </w:p>
    <w:p w14:paraId="19BFB3DF" w14:textId="77777777" w:rsidR="00F74E8F" w:rsidRDefault="00F74E8F" w:rsidP="00EF2540">
      <w:pPr>
        <w:pStyle w:val="NoSpacing"/>
        <w:jc w:val="both"/>
        <w:rPr>
          <w:lang w:val="en-US"/>
        </w:rPr>
        <w:sectPr w:rsidR="00F74E8F" w:rsidSect="00F108DE">
          <w:type w:val="continuous"/>
          <w:pgSz w:w="11906" w:h="16838"/>
          <w:pgMar w:top="720" w:right="720" w:bottom="720" w:left="720" w:header="708" w:footer="708" w:gutter="0"/>
          <w:cols w:space="708"/>
          <w:docGrid w:linePitch="360"/>
        </w:sectPr>
      </w:pPr>
    </w:p>
    <w:p w14:paraId="6A6436DE" w14:textId="77777777" w:rsidR="00F108DE" w:rsidRPr="00EF2540" w:rsidRDefault="00F108DE" w:rsidP="00EF2540">
      <w:pPr>
        <w:pStyle w:val="NoSpacing"/>
        <w:rPr>
          <w:lang w:val="en-US"/>
        </w:rPr>
        <w:sectPr w:rsidR="00F108DE" w:rsidRPr="00EF2540" w:rsidSect="000B0ED6">
          <w:type w:val="continuous"/>
          <w:pgSz w:w="11906" w:h="16838"/>
          <w:pgMar w:top="720" w:right="720" w:bottom="720" w:left="720" w:header="708" w:footer="708" w:gutter="0"/>
          <w:cols w:space="708"/>
          <w:docGrid w:linePitch="360"/>
        </w:sectPr>
      </w:pPr>
    </w:p>
    <w:p w14:paraId="2199E015" w14:textId="77777777" w:rsidR="008E7A94" w:rsidRPr="00F74E8F" w:rsidRDefault="005D77EB" w:rsidP="00EF2540">
      <w:pPr>
        <w:pStyle w:val="NoSpacing"/>
        <w:rPr>
          <w:rFonts w:ascii="Arial Rounded MT Bold" w:hAnsi="Arial Rounded MT Bold"/>
          <w:b/>
          <w:sz w:val="32"/>
          <w:szCs w:val="32"/>
          <w:lang w:val="en-US"/>
        </w:rPr>
      </w:pPr>
      <w:r w:rsidRPr="00F74E8F">
        <w:rPr>
          <w:rFonts w:ascii="Arial Rounded MT Bold" w:hAnsi="Arial Rounded MT Bold"/>
          <w:b/>
          <w:sz w:val="32"/>
          <w:szCs w:val="32"/>
          <w:lang w:val="en-US"/>
        </w:rPr>
        <w:t>Equality bodies &amp; Intersectionality</w:t>
      </w:r>
    </w:p>
    <w:p w14:paraId="27363BA7" w14:textId="77777777" w:rsidR="00EF2540" w:rsidRPr="00B843E7" w:rsidRDefault="00EF2540" w:rsidP="00EF2540">
      <w:pPr>
        <w:pStyle w:val="NoSpacing"/>
        <w:rPr>
          <w:b/>
          <w:sz w:val="32"/>
          <w:szCs w:val="3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A1A6F" w:rsidRPr="00F74E8F" w14:paraId="0ECF6571" w14:textId="77777777" w:rsidTr="00AA1A6F">
        <w:tc>
          <w:tcPr>
            <w:tcW w:w="3485" w:type="dxa"/>
          </w:tcPr>
          <w:p w14:paraId="669B4E15" w14:textId="77777777" w:rsidR="00B843E7" w:rsidRPr="00F74E8F" w:rsidRDefault="00B843E7" w:rsidP="00EF2540">
            <w:pPr>
              <w:jc w:val="center"/>
              <w:rPr>
                <w:rFonts w:ascii="Arial Rounded MT Bold" w:hAnsi="Arial Rounded MT Bold"/>
                <w:b/>
                <w:color w:val="990000"/>
                <w:sz w:val="44"/>
                <w:lang w:val="en-US"/>
              </w:rPr>
            </w:pPr>
            <w:r w:rsidRPr="00F74E8F">
              <w:rPr>
                <w:rFonts w:ascii="Arial Rounded MT Bold" w:hAnsi="Arial Rounded MT Bold"/>
                <w:b/>
                <w:color w:val="990000"/>
                <w:sz w:val="44"/>
                <w:lang w:val="en-US"/>
              </w:rPr>
              <w:t>6</w:t>
            </w:r>
          </w:p>
        </w:tc>
        <w:tc>
          <w:tcPr>
            <w:tcW w:w="3485" w:type="dxa"/>
          </w:tcPr>
          <w:p w14:paraId="6F0F625A" w14:textId="77777777" w:rsidR="00B843E7" w:rsidRPr="00F74E8F" w:rsidRDefault="00B843E7" w:rsidP="00EF2540">
            <w:pPr>
              <w:jc w:val="center"/>
              <w:rPr>
                <w:rFonts w:ascii="Arial Rounded MT Bold" w:hAnsi="Arial Rounded MT Bold"/>
                <w:b/>
                <w:color w:val="990000"/>
                <w:sz w:val="44"/>
                <w:lang w:val="en-US"/>
              </w:rPr>
            </w:pPr>
            <w:r w:rsidRPr="00F74E8F">
              <w:rPr>
                <w:rFonts w:ascii="Arial Rounded MT Bold" w:hAnsi="Arial Rounded MT Bold"/>
                <w:b/>
                <w:color w:val="990000"/>
                <w:sz w:val="44"/>
                <w:lang w:val="en-US"/>
              </w:rPr>
              <w:t>18</w:t>
            </w:r>
          </w:p>
        </w:tc>
        <w:tc>
          <w:tcPr>
            <w:tcW w:w="3486" w:type="dxa"/>
          </w:tcPr>
          <w:p w14:paraId="3C3D1806" w14:textId="77777777" w:rsidR="00B843E7" w:rsidRPr="00F74E8F" w:rsidRDefault="00B843E7" w:rsidP="00EF2540">
            <w:pPr>
              <w:jc w:val="center"/>
              <w:rPr>
                <w:rFonts w:ascii="Arial Rounded MT Bold" w:hAnsi="Arial Rounded MT Bold"/>
                <w:b/>
                <w:color w:val="990000"/>
                <w:sz w:val="44"/>
                <w:lang w:val="en-US"/>
              </w:rPr>
            </w:pPr>
            <w:r w:rsidRPr="00F74E8F">
              <w:rPr>
                <w:rFonts w:ascii="Arial Rounded MT Bold" w:hAnsi="Arial Rounded MT Bold"/>
                <w:b/>
                <w:color w:val="990000"/>
                <w:sz w:val="44"/>
                <w:lang w:val="en-US"/>
              </w:rPr>
              <w:t>6</w:t>
            </w:r>
          </w:p>
        </w:tc>
      </w:tr>
      <w:tr w:rsidR="00B843E7" w:rsidRPr="00DF3A62" w14:paraId="24E6ECD7" w14:textId="77777777" w:rsidTr="00AA1A6F">
        <w:tc>
          <w:tcPr>
            <w:tcW w:w="3485" w:type="dxa"/>
            <w:vAlign w:val="center"/>
          </w:tcPr>
          <w:p w14:paraId="45734990" w14:textId="77777777" w:rsidR="00D93EB6" w:rsidRDefault="00BB027E" w:rsidP="00EF2540">
            <w:pPr>
              <w:jc w:val="center"/>
              <w:rPr>
                <w:sz w:val="20"/>
                <w:lang w:val="en-US"/>
              </w:rPr>
            </w:pPr>
            <w:r>
              <w:rPr>
                <w:sz w:val="20"/>
                <w:lang w:val="en-US"/>
              </w:rPr>
              <w:t>6 e</w:t>
            </w:r>
            <w:r w:rsidR="00B843E7" w:rsidRPr="00D93EB6">
              <w:rPr>
                <w:sz w:val="20"/>
                <w:lang w:val="en-US"/>
              </w:rPr>
              <w:t xml:space="preserve">quality bodies in </w:t>
            </w:r>
          </w:p>
          <w:p w14:paraId="72D9E4EA" w14:textId="77777777" w:rsidR="00B843E7" w:rsidRPr="00D93EB6" w:rsidRDefault="00B843E7" w:rsidP="00EF2540">
            <w:pPr>
              <w:jc w:val="center"/>
              <w:rPr>
                <w:sz w:val="20"/>
                <w:lang w:val="en-US"/>
              </w:rPr>
            </w:pPr>
            <w:r w:rsidRPr="00D93EB6">
              <w:rPr>
                <w:sz w:val="20"/>
                <w:lang w:val="en-US"/>
              </w:rPr>
              <w:t>6 countries reported provisions</w:t>
            </w:r>
            <w:r w:rsidR="00BB027E">
              <w:rPr>
                <w:sz w:val="20"/>
                <w:lang w:val="en-US"/>
              </w:rPr>
              <w:t xml:space="preserve"> on multiple discrimination</w:t>
            </w:r>
            <w:r w:rsidRPr="00D93EB6">
              <w:rPr>
                <w:sz w:val="20"/>
                <w:lang w:val="en-US"/>
              </w:rPr>
              <w:t xml:space="preserve"> in their legislation</w:t>
            </w:r>
          </w:p>
        </w:tc>
        <w:tc>
          <w:tcPr>
            <w:tcW w:w="3485" w:type="dxa"/>
            <w:vAlign w:val="center"/>
          </w:tcPr>
          <w:p w14:paraId="2C2FC96A" w14:textId="77777777" w:rsidR="00B843E7" w:rsidRPr="00D93EB6" w:rsidRDefault="00B843E7" w:rsidP="00EF2540">
            <w:pPr>
              <w:jc w:val="center"/>
              <w:rPr>
                <w:sz w:val="20"/>
                <w:lang w:val="en-US"/>
              </w:rPr>
            </w:pPr>
            <w:r w:rsidRPr="00D93EB6">
              <w:rPr>
                <w:sz w:val="20"/>
                <w:lang w:val="en-US"/>
              </w:rPr>
              <w:t>18 equality bodies in 17 countries work or have worked on intersectionality issues</w:t>
            </w:r>
          </w:p>
        </w:tc>
        <w:tc>
          <w:tcPr>
            <w:tcW w:w="3486" w:type="dxa"/>
            <w:vAlign w:val="center"/>
          </w:tcPr>
          <w:p w14:paraId="404EAA45" w14:textId="77777777" w:rsidR="00B843E7" w:rsidRPr="00D93EB6" w:rsidRDefault="00B843E7" w:rsidP="00EF2540">
            <w:pPr>
              <w:jc w:val="center"/>
              <w:rPr>
                <w:sz w:val="20"/>
                <w:lang w:val="en-US"/>
              </w:rPr>
            </w:pPr>
            <w:r w:rsidRPr="00D93EB6">
              <w:rPr>
                <w:sz w:val="20"/>
                <w:lang w:val="en-US"/>
              </w:rPr>
              <w:t>6 equality bodies</w:t>
            </w:r>
            <w:r w:rsidR="0034084F" w:rsidRPr="00D93EB6">
              <w:rPr>
                <w:sz w:val="20"/>
                <w:lang w:val="en-US"/>
              </w:rPr>
              <w:t xml:space="preserve"> </w:t>
            </w:r>
            <w:r w:rsidR="00785ED9" w:rsidRPr="00D93EB6">
              <w:rPr>
                <w:sz w:val="20"/>
                <w:lang w:val="en-US"/>
              </w:rPr>
              <w:t xml:space="preserve">did </w:t>
            </w:r>
            <w:r w:rsidR="0034084F" w:rsidRPr="00D93EB6">
              <w:rPr>
                <w:sz w:val="20"/>
                <w:lang w:val="en-US"/>
              </w:rPr>
              <w:t>enforcement work even if their national legislation does not make reference to multiple discrimination</w:t>
            </w:r>
          </w:p>
        </w:tc>
      </w:tr>
    </w:tbl>
    <w:p w14:paraId="4A18AA6E" w14:textId="77777777" w:rsidR="00B843E7" w:rsidRDefault="00B843E7" w:rsidP="00EF2540">
      <w:pPr>
        <w:spacing w:line="24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074"/>
      </w:tblGrid>
      <w:tr w:rsidR="00D93EB6" w:rsidRPr="00DF3A62" w14:paraId="3AE20A5D" w14:textId="77777777" w:rsidTr="005C7041">
        <w:tc>
          <w:tcPr>
            <w:tcW w:w="5098" w:type="dxa"/>
            <w:shd w:val="clear" w:color="auto" w:fill="222A35" w:themeFill="text2" w:themeFillShade="80"/>
          </w:tcPr>
          <w:p w14:paraId="2F4F0BE3" w14:textId="2C23D4DC" w:rsidR="00D93EB6" w:rsidRPr="00D93EB6" w:rsidRDefault="00DF3A62" w:rsidP="00DF3A62">
            <w:pPr>
              <w:tabs>
                <w:tab w:val="left" w:pos="1815"/>
                <w:tab w:val="center" w:pos="2441"/>
              </w:tabs>
              <w:jc w:val="center"/>
              <w:rPr>
                <w:b/>
                <w:sz w:val="28"/>
                <w:lang w:val="en-US"/>
              </w:rPr>
            </w:pPr>
            <w:r>
              <w:rPr>
                <w:b/>
                <w:sz w:val="28"/>
                <w:lang w:val="en-US"/>
              </w:rPr>
              <w:t>Being Strategic</w:t>
            </w:r>
          </w:p>
        </w:tc>
        <w:tc>
          <w:tcPr>
            <w:tcW w:w="284" w:type="dxa"/>
          </w:tcPr>
          <w:p w14:paraId="0687D9B6" w14:textId="77777777" w:rsidR="00D93EB6" w:rsidRPr="00D93EB6" w:rsidRDefault="00D93EB6" w:rsidP="00EF2540">
            <w:pPr>
              <w:jc w:val="center"/>
              <w:rPr>
                <w:b/>
                <w:sz w:val="28"/>
                <w:lang w:val="en-US"/>
              </w:rPr>
            </w:pPr>
          </w:p>
        </w:tc>
        <w:tc>
          <w:tcPr>
            <w:tcW w:w="5074" w:type="dxa"/>
            <w:shd w:val="clear" w:color="auto" w:fill="222A35" w:themeFill="text2" w:themeFillShade="80"/>
          </w:tcPr>
          <w:p w14:paraId="24B7D138" w14:textId="4C06C0EF" w:rsidR="00D93EB6" w:rsidRPr="00D93EB6" w:rsidRDefault="00DF3A62" w:rsidP="00DF3A62">
            <w:pPr>
              <w:tabs>
                <w:tab w:val="left" w:pos="480"/>
                <w:tab w:val="center" w:pos="2429"/>
              </w:tabs>
              <w:rPr>
                <w:b/>
                <w:sz w:val="28"/>
                <w:lang w:val="en-US"/>
              </w:rPr>
            </w:pPr>
            <w:r>
              <w:rPr>
                <w:b/>
                <w:sz w:val="28"/>
                <w:lang w:val="en-US"/>
              </w:rPr>
              <w:tab/>
            </w:r>
            <w:r>
              <w:rPr>
                <w:b/>
                <w:sz w:val="28"/>
                <w:lang w:val="en-US"/>
              </w:rPr>
              <w:tab/>
            </w:r>
            <w:r w:rsidR="00D93EB6" w:rsidRPr="00D93EB6">
              <w:rPr>
                <w:b/>
                <w:sz w:val="28"/>
                <w:lang w:val="en-US"/>
              </w:rPr>
              <w:t>Making it visible</w:t>
            </w:r>
          </w:p>
        </w:tc>
      </w:tr>
      <w:tr w:rsidR="00D93EB6" w:rsidRPr="00DF3A62" w14:paraId="4088FD74" w14:textId="77777777" w:rsidTr="00B47E47">
        <w:tc>
          <w:tcPr>
            <w:tcW w:w="5098" w:type="dxa"/>
            <w:shd w:val="clear" w:color="auto" w:fill="F2F2F2" w:themeFill="background1" w:themeFillShade="F2"/>
          </w:tcPr>
          <w:p w14:paraId="0CB47465" w14:textId="4E65F129" w:rsidR="00D93EB6" w:rsidRDefault="00DF3A62" w:rsidP="001154BE">
            <w:pPr>
              <w:jc w:val="both"/>
              <w:rPr>
                <w:lang w:val="en-US"/>
              </w:rPr>
            </w:pPr>
            <w:r w:rsidRPr="00DF3A62">
              <w:rPr>
                <w:sz w:val="20"/>
                <w:lang w:val="en-US"/>
              </w:rPr>
              <w:t xml:space="preserve">Equality bodies reported a number of strategic approaches to bringing intersectionality onto their own and other agenda, </w:t>
            </w:r>
            <w:r w:rsidRPr="00DF3A62">
              <w:rPr>
                <w:b/>
                <w:sz w:val="20"/>
                <w:lang w:val="en-US"/>
              </w:rPr>
              <w:t>from informing policy makers, research and pursuing legislative change</w:t>
            </w:r>
            <w:r w:rsidRPr="00DF3A62">
              <w:rPr>
                <w:sz w:val="20"/>
                <w:lang w:val="en-US"/>
              </w:rPr>
              <w:t>.</w:t>
            </w:r>
          </w:p>
        </w:tc>
        <w:tc>
          <w:tcPr>
            <w:tcW w:w="284" w:type="dxa"/>
          </w:tcPr>
          <w:p w14:paraId="01E1FBAB" w14:textId="77777777" w:rsidR="00D93EB6" w:rsidRDefault="00D93EB6" w:rsidP="00EF2540">
            <w:pPr>
              <w:jc w:val="both"/>
              <w:rPr>
                <w:lang w:val="en-US"/>
              </w:rPr>
            </w:pPr>
          </w:p>
        </w:tc>
        <w:tc>
          <w:tcPr>
            <w:tcW w:w="5074" w:type="dxa"/>
            <w:shd w:val="clear" w:color="auto" w:fill="F2F2F2" w:themeFill="background1" w:themeFillShade="F2"/>
          </w:tcPr>
          <w:p w14:paraId="558092B5" w14:textId="1E5EACB0" w:rsidR="00D93EB6" w:rsidRDefault="00DF3A62" w:rsidP="00EF2540">
            <w:pPr>
              <w:jc w:val="both"/>
              <w:rPr>
                <w:lang w:val="en-US"/>
              </w:rPr>
            </w:pPr>
            <w:r w:rsidRPr="00DF3A62">
              <w:rPr>
                <w:b/>
                <w:sz w:val="20"/>
                <w:lang w:val="en-US"/>
              </w:rPr>
              <w:t>Research dominates in the work of equality bodies on intersectionality</w:t>
            </w:r>
            <w:r w:rsidRPr="00DF3A62">
              <w:rPr>
                <w:sz w:val="20"/>
                <w:lang w:val="en-US"/>
              </w:rPr>
              <w:t>. This is building a knowledge base about intersectionality and bringing this into public and political debate in a manner that contributes to an informed awareness of the concept and the issues.</w:t>
            </w:r>
          </w:p>
        </w:tc>
      </w:tr>
      <w:tr w:rsidR="00D93EB6" w:rsidRPr="00DF3A62" w14:paraId="44A197C9" w14:textId="77777777" w:rsidTr="00B47E47">
        <w:tc>
          <w:tcPr>
            <w:tcW w:w="5098" w:type="dxa"/>
          </w:tcPr>
          <w:p w14:paraId="6270117F" w14:textId="77777777" w:rsidR="00D93EB6" w:rsidRDefault="00D93EB6" w:rsidP="00EF2540">
            <w:pPr>
              <w:jc w:val="both"/>
              <w:rPr>
                <w:lang w:val="en-US"/>
              </w:rPr>
            </w:pPr>
          </w:p>
        </w:tc>
        <w:tc>
          <w:tcPr>
            <w:tcW w:w="284" w:type="dxa"/>
          </w:tcPr>
          <w:p w14:paraId="005C247C" w14:textId="77777777" w:rsidR="00D93EB6" w:rsidRDefault="00D93EB6" w:rsidP="00EF2540">
            <w:pPr>
              <w:jc w:val="both"/>
              <w:rPr>
                <w:lang w:val="en-US"/>
              </w:rPr>
            </w:pPr>
          </w:p>
        </w:tc>
        <w:tc>
          <w:tcPr>
            <w:tcW w:w="5074" w:type="dxa"/>
          </w:tcPr>
          <w:p w14:paraId="69F05960" w14:textId="77777777" w:rsidR="00D93EB6" w:rsidRDefault="00D93EB6" w:rsidP="00EF2540">
            <w:pPr>
              <w:jc w:val="both"/>
              <w:rPr>
                <w:lang w:val="en-US"/>
              </w:rPr>
            </w:pPr>
          </w:p>
        </w:tc>
      </w:tr>
      <w:tr w:rsidR="00D93EB6" w:rsidRPr="00DF3A62" w14:paraId="765D31EB" w14:textId="77777777" w:rsidTr="005C7041">
        <w:tc>
          <w:tcPr>
            <w:tcW w:w="5098" w:type="dxa"/>
            <w:shd w:val="clear" w:color="auto" w:fill="222A35" w:themeFill="text2" w:themeFillShade="80"/>
          </w:tcPr>
          <w:p w14:paraId="0648CF11" w14:textId="77777777" w:rsidR="00D93EB6" w:rsidRPr="00AB3EF5" w:rsidRDefault="00D93EB6" w:rsidP="00EF2540">
            <w:pPr>
              <w:jc w:val="center"/>
              <w:rPr>
                <w:b/>
                <w:sz w:val="28"/>
                <w:lang w:val="en-US"/>
              </w:rPr>
            </w:pPr>
            <w:r w:rsidRPr="00AB3EF5">
              <w:rPr>
                <w:b/>
                <w:sz w:val="28"/>
                <w:lang w:val="en-US"/>
              </w:rPr>
              <w:t>Enforcing or promoting</w:t>
            </w:r>
          </w:p>
        </w:tc>
        <w:tc>
          <w:tcPr>
            <w:tcW w:w="284" w:type="dxa"/>
            <w:shd w:val="clear" w:color="auto" w:fill="FFFFFF" w:themeFill="background1"/>
          </w:tcPr>
          <w:p w14:paraId="323C78DF" w14:textId="77777777" w:rsidR="00D93EB6" w:rsidRPr="00AB3EF5" w:rsidRDefault="00D93EB6" w:rsidP="00EF2540">
            <w:pPr>
              <w:jc w:val="center"/>
              <w:rPr>
                <w:b/>
                <w:sz w:val="28"/>
                <w:lang w:val="en-US"/>
              </w:rPr>
            </w:pPr>
          </w:p>
        </w:tc>
        <w:tc>
          <w:tcPr>
            <w:tcW w:w="5074" w:type="dxa"/>
            <w:shd w:val="clear" w:color="auto" w:fill="222A35" w:themeFill="text2" w:themeFillShade="80"/>
          </w:tcPr>
          <w:p w14:paraId="54F5D79B" w14:textId="77777777" w:rsidR="00D93EB6" w:rsidRPr="00AB3EF5" w:rsidRDefault="00D93EB6" w:rsidP="00EF2540">
            <w:pPr>
              <w:jc w:val="center"/>
              <w:rPr>
                <w:b/>
                <w:sz w:val="28"/>
                <w:lang w:val="en-US"/>
              </w:rPr>
            </w:pPr>
            <w:r w:rsidRPr="00AB3EF5">
              <w:rPr>
                <w:b/>
                <w:sz w:val="28"/>
                <w:lang w:val="en-US"/>
              </w:rPr>
              <w:t>Engaging with others on the matter</w:t>
            </w:r>
          </w:p>
        </w:tc>
      </w:tr>
      <w:tr w:rsidR="00D93EB6" w:rsidRPr="00DF3A62" w14:paraId="2BA88136" w14:textId="77777777" w:rsidTr="00B47E47">
        <w:tc>
          <w:tcPr>
            <w:tcW w:w="5098" w:type="dxa"/>
            <w:shd w:val="clear" w:color="auto" w:fill="F2F2F2" w:themeFill="background1" w:themeFillShade="F2"/>
          </w:tcPr>
          <w:p w14:paraId="7050F1B0" w14:textId="719979EF" w:rsidR="00D93EB6" w:rsidRDefault="00DF3A62" w:rsidP="00EF2540">
            <w:pPr>
              <w:jc w:val="both"/>
              <w:rPr>
                <w:lang w:val="en-US"/>
              </w:rPr>
            </w:pPr>
            <w:r w:rsidRPr="00DF3A62">
              <w:rPr>
                <w:sz w:val="20"/>
                <w:lang w:val="en-US"/>
              </w:rPr>
              <w:t xml:space="preserve">Equality bodies report </w:t>
            </w:r>
            <w:r w:rsidRPr="00DF3A62">
              <w:rPr>
                <w:b/>
                <w:sz w:val="20"/>
                <w:lang w:val="en-US"/>
              </w:rPr>
              <w:t>limited promotion of good practice or communication work on intersectionality</w:t>
            </w:r>
            <w:r w:rsidRPr="00DF3A62">
              <w:rPr>
                <w:sz w:val="20"/>
                <w:lang w:val="en-US"/>
              </w:rPr>
              <w:t>. While under-reporting is noted as a significant problem, equality bodies report a significant amount of enforcement work in this field, particularly where there is legislative provision.</w:t>
            </w:r>
          </w:p>
        </w:tc>
        <w:tc>
          <w:tcPr>
            <w:tcW w:w="284" w:type="dxa"/>
          </w:tcPr>
          <w:p w14:paraId="6C54EDBD" w14:textId="77777777" w:rsidR="00D93EB6" w:rsidRDefault="00D93EB6" w:rsidP="00EF2540">
            <w:pPr>
              <w:jc w:val="both"/>
              <w:rPr>
                <w:lang w:val="en-US"/>
              </w:rPr>
            </w:pPr>
          </w:p>
        </w:tc>
        <w:tc>
          <w:tcPr>
            <w:tcW w:w="5074" w:type="dxa"/>
            <w:shd w:val="clear" w:color="auto" w:fill="F2F2F2" w:themeFill="background1" w:themeFillShade="F2"/>
          </w:tcPr>
          <w:p w14:paraId="11314ECB" w14:textId="146950CD" w:rsidR="00D93EB6" w:rsidRDefault="00DF3A62" w:rsidP="00EF2540">
            <w:pPr>
              <w:jc w:val="both"/>
              <w:rPr>
                <w:lang w:val="en-US"/>
              </w:rPr>
            </w:pPr>
            <w:r w:rsidRPr="00DF3A62">
              <w:rPr>
                <w:sz w:val="20"/>
                <w:lang w:val="en-US"/>
              </w:rPr>
              <w:t>The engagement of equality bodies with civil society organisations has been pursued in a manner that supports an intersectional perspective by both, in particular by civil society organisations representing a single discrimination ground.</w:t>
            </w:r>
          </w:p>
        </w:tc>
      </w:tr>
    </w:tbl>
    <w:p w14:paraId="7A71C8AF" w14:textId="705E7CC9" w:rsidR="008E7A94" w:rsidRDefault="00DF3A62" w:rsidP="00EF2540">
      <w:pPr>
        <w:spacing w:line="240" w:lineRule="auto"/>
        <w:jc w:val="both"/>
        <w:rPr>
          <w:lang w:val="en-US"/>
        </w:rPr>
      </w:pPr>
      <w:r w:rsidRPr="00976EDF">
        <w:rPr>
          <w:rFonts w:eastAsia="Kozuka Gothic Pr6N EL"/>
          <w:b/>
          <w:noProof/>
          <w:color w:val="0070C0"/>
          <w:lang w:eastAsia="fr-BE"/>
        </w:rPr>
        <w:drawing>
          <wp:anchor distT="0" distB="0" distL="114300" distR="114300" simplePos="0" relativeHeight="251660800" behindDoc="0" locked="0" layoutInCell="1" allowOverlap="1" wp14:anchorId="0B6AAA55" wp14:editId="5BB9ADA2">
            <wp:simplePos x="0" y="0"/>
            <wp:positionH relativeFrom="margin">
              <wp:posOffset>-89535</wp:posOffset>
            </wp:positionH>
            <wp:positionV relativeFrom="margin">
              <wp:posOffset>9380220</wp:posOffset>
            </wp:positionV>
            <wp:extent cx="1692275" cy="581025"/>
            <wp:effectExtent l="0" t="0" r="3175" b="9525"/>
            <wp:wrapSquare wrapText="bothSides"/>
            <wp:docPr id="3" name="Picture 3" descr="K:\Communications\Logos\EQUINET LOGO\Equine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QUINET LOGO\Equinet_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22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06"/>
      </w:tblGrid>
      <w:tr w:rsidR="00DF3A62" w14:paraId="5D02B10E" w14:textId="77777777" w:rsidTr="00DF3A62">
        <w:tc>
          <w:tcPr>
            <w:tcW w:w="10606" w:type="dxa"/>
            <w:shd w:val="clear" w:color="auto" w:fill="FBE4D5" w:themeFill="accent2" w:themeFillTint="33"/>
          </w:tcPr>
          <w:p w14:paraId="2CD1C2E1" w14:textId="77777777" w:rsidR="00DF3A62" w:rsidRPr="00DF3A62" w:rsidRDefault="00DF3A62" w:rsidP="00DF3A62">
            <w:pPr>
              <w:rPr>
                <w:b/>
                <w:sz w:val="24"/>
                <w:lang w:val="en-US"/>
              </w:rPr>
            </w:pPr>
            <w:r w:rsidRPr="00DF3A62">
              <w:rPr>
                <w:b/>
                <w:sz w:val="24"/>
                <w:lang w:val="en-US"/>
              </w:rPr>
              <w:t>Three Strands</w:t>
            </w:r>
          </w:p>
          <w:p w14:paraId="7E8C0758" w14:textId="062E0AC2" w:rsidR="00DF3A62" w:rsidRDefault="00DF3A62" w:rsidP="00DF3A62">
            <w:pPr>
              <w:jc w:val="both"/>
              <w:rPr>
                <w:lang w:val="en-US"/>
              </w:rPr>
            </w:pPr>
            <w:r w:rsidRPr="00DF3A62">
              <w:rPr>
                <w:sz w:val="20"/>
                <w:lang w:val="en-US"/>
              </w:rPr>
              <w:t xml:space="preserve">Three strands are evident in this work: </w:t>
            </w:r>
            <w:r w:rsidRPr="00DF3A62">
              <w:rPr>
                <w:b/>
                <w:sz w:val="20"/>
                <w:lang w:val="en-US"/>
              </w:rPr>
              <w:t>Multiple discrimination</w:t>
            </w:r>
            <w:r w:rsidRPr="00DF3A62">
              <w:rPr>
                <w:sz w:val="20"/>
                <w:lang w:val="en-US"/>
              </w:rPr>
              <w:t xml:space="preserve"> approach concerned with addressing discrimination on a combination of grounds. </w:t>
            </w:r>
            <w:r w:rsidRPr="00DF3A62">
              <w:rPr>
                <w:b/>
                <w:sz w:val="20"/>
                <w:lang w:val="en-US"/>
              </w:rPr>
              <w:t>Multiple identity</w:t>
            </w:r>
            <w:r w:rsidRPr="00DF3A62">
              <w:rPr>
                <w:sz w:val="20"/>
                <w:lang w:val="en-US"/>
              </w:rPr>
              <w:t xml:space="preserve"> approach that seeks to respond to the specific identity, situation and experience of intersectional groups of people. </w:t>
            </w:r>
            <w:r w:rsidRPr="00DF3A62">
              <w:rPr>
                <w:b/>
                <w:sz w:val="20"/>
                <w:lang w:val="en-US"/>
              </w:rPr>
              <w:t>Intersectionality</w:t>
            </w:r>
            <w:r w:rsidRPr="00DF3A62">
              <w:rPr>
                <w:sz w:val="20"/>
                <w:lang w:val="en-US"/>
              </w:rPr>
              <w:t xml:space="preserve"> approach that sees different grounds interacting in a manner that makes them inseparable and involves action on structures of power and exclusion.</w:t>
            </w:r>
          </w:p>
        </w:tc>
      </w:tr>
    </w:tbl>
    <w:p w14:paraId="7A2CDA21" w14:textId="73E60E26" w:rsidR="00F44FB8" w:rsidRDefault="00DF3A62" w:rsidP="00EF2540">
      <w:pPr>
        <w:spacing w:line="240" w:lineRule="auto"/>
        <w:rPr>
          <w:lang w:val="en-US"/>
        </w:rPr>
      </w:pPr>
      <w:r>
        <w:rPr>
          <w:noProof/>
          <w:lang w:eastAsia="fr-BE"/>
        </w:rPr>
        <w:drawing>
          <wp:anchor distT="0" distB="0" distL="114300" distR="114300" simplePos="0" relativeHeight="251666944" behindDoc="0" locked="0" layoutInCell="1" allowOverlap="1" wp14:anchorId="479B2ED3" wp14:editId="0DEE8A7F">
            <wp:simplePos x="0" y="0"/>
            <wp:positionH relativeFrom="margin">
              <wp:posOffset>2085975</wp:posOffset>
            </wp:positionH>
            <wp:positionV relativeFrom="margin">
              <wp:posOffset>9432925</wp:posOffset>
            </wp:positionV>
            <wp:extent cx="4589145" cy="481965"/>
            <wp:effectExtent l="0" t="0" r="1905"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7">
                      <a:extLst>
                        <a:ext uri="{28A0092B-C50C-407E-A947-70E740481C1C}">
                          <a14:useLocalDpi xmlns:a14="http://schemas.microsoft.com/office/drawing/2010/main" val="0"/>
                        </a:ext>
                      </a:extLst>
                    </a:blip>
                    <a:srcRect l="2145" t="33068"/>
                    <a:stretch/>
                  </pic:blipFill>
                  <pic:spPr bwMode="auto">
                    <a:xfrm>
                      <a:off x="0" y="0"/>
                      <a:ext cx="4589145" cy="481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4FB8">
        <w:rPr>
          <w:lang w:val="en-US"/>
        </w:rPr>
        <w:br w:type="page"/>
      </w:r>
    </w:p>
    <w:p w14:paraId="25B92E3C" w14:textId="77777777" w:rsidR="000324B4" w:rsidRPr="00F74E8F" w:rsidRDefault="000324B4" w:rsidP="00EF2540">
      <w:pPr>
        <w:spacing w:line="240" w:lineRule="auto"/>
        <w:jc w:val="both"/>
        <w:rPr>
          <w:rFonts w:ascii="Arial Rounded MT Bold" w:hAnsi="Arial Rounded MT Bold"/>
          <w:b/>
          <w:sz w:val="32"/>
          <w:szCs w:val="28"/>
          <w:lang w:val="en-US"/>
        </w:rPr>
      </w:pPr>
      <w:r w:rsidRPr="00F74E8F">
        <w:rPr>
          <w:rFonts w:ascii="Arial Rounded MT Bold" w:hAnsi="Arial Rounded MT Bold"/>
          <w:b/>
          <w:sz w:val="32"/>
          <w:szCs w:val="28"/>
          <w:lang w:val="en-US"/>
        </w:rPr>
        <w:lastRenderedPageBreak/>
        <w:t>Gender intersections leading the way</w:t>
      </w:r>
    </w:p>
    <w:p w14:paraId="4C2F6C38" w14:textId="77777777" w:rsidR="00BE654B" w:rsidRPr="00DF3A62" w:rsidRDefault="00AD4B1F" w:rsidP="00EF2540">
      <w:pPr>
        <w:spacing w:line="240" w:lineRule="auto"/>
        <w:jc w:val="both"/>
        <w:rPr>
          <w:sz w:val="20"/>
          <w:lang w:val="en-US"/>
        </w:rPr>
      </w:pPr>
      <w:r w:rsidRPr="00DF3A62">
        <w:rPr>
          <w:sz w:val="20"/>
          <w:lang w:val="en-US"/>
        </w:rPr>
        <w:t xml:space="preserve">Intersectionality involving the ground of gender is a </w:t>
      </w:r>
      <w:r w:rsidRPr="00DF3A62">
        <w:rPr>
          <w:b/>
          <w:sz w:val="20"/>
          <w:lang w:val="en-US"/>
        </w:rPr>
        <w:t>particular and dominant focus</w:t>
      </w:r>
      <w:r w:rsidRPr="00DF3A62">
        <w:rPr>
          <w:sz w:val="20"/>
          <w:lang w:val="en-US"/>
        </w:rPr>
        <w:t xml:space="preserve"> of the work of equality bodies. </w:t>
      </w:r>
      <w:r w:rsidR="00032B43" w:rsidRPr="00DF3A62">
        <w:rPr>
          <w:sz w:val="20"/>
          <w:lang w:val="en-US"/>
        </w:rPr>
        <w:t xml:space="preserve">Gender stereotypes </w:t>
      </w:r>
      <w:r w:rsidR="00CB321A" w:rsidRPr="00DF3A62">
        <w:rPr>
          <w:sz w:val="20"/>
          <w:lang w:val="en-US"/>
        </w:rPr>
        <w:t>combi</w:t>
      </w:r>
      <w:r w:rsidR="00A611AD" w:rsidRPr="00DF3A62">
        <w:rPr>
          <w:sz w:val="20"/>
          <w:lang w:val="en-US"/>
        </w:rPr>
        <w:t>ni</w:t>
      </w:r>
      <w:r w:rsidR="00CB321A" w:rsidRPr="00DF3A62">
        <w:rPr>
          <w:sz w:val="20"/>
          <w:lang w:val="en-US"/>
        </w:rPr>
        <w:t xml:space="preserve">ng </w:t>
      </w:r>
      <w:r w:rsidR="00CB321A" w:rsidRPr="00DF3A62">
        <w:rPr>
          <w:b/>
          <w:sz w:val="20"/>
          <w:lang w:val="en-US"/>
        </w:rPr>
        <w:t>religious stereotypes</w:t>
      </w:r>
      <w:r w:rsidR="00CB321A" w:rsidRPr="00DF3A62">
        <w:rPr>
          <w:sz w:val="20"/>
          <w:lang w:val="en-US"/>
        </w:rPr>
        <w:t xml:space="preserve"> and </w:t>
      </w:r>
      <w:r w:rsidR="00CB321A" w:rsidRPr="00DF3A62">
        <w:rPr>
          <w:b/>
          <w:sz w:val="20"/>
          <w:lang w:val="en-US"/>
        </w:rPr>
        <w:t>stereotypes against Black people</w:t>
      </w:r>
      <w:r w:rsidR="00CB321A" w:rsidRPr="00DF3A62">
        <w:rPr>
          <w:sz w:val="20"/>
          <w:lang w:val="en-US"/>
        </w:rPr>
        <w:t xml:space="preserve"> </w:t>
      </w:r>
      <w:r w:rsidR="00A611AD" w:rsidRPr="00DF3A62">
        <w:rPr>
          <w:sz w:val="20"/>
          <w:lang w:val="en-US"/>
        </w:rPr>
        <w:t>are</w:t>
      </w:r>
      <w:r w:rsidR="00CB321A" w:rsidRPr="00DF3A62">
        <w:rPr>
          <w:sz w:val="20"/>
          <w:lang w:val="en-US"/>
        </w:rPr>
        <w:t xml:space="preserve"> of particular concern. </w:t>
      </w:r>
      <w:r w:rsidR="00646A9A" w:rsidRPr="00DF3A62">
        <w:rPr>
          <w:sz w:val="20"/>
          <w:lang w:val="en-US"/>
        </w:rPr>
        <w:t>In particular, the labour</w:t>
      </w:r>
      <w:r w:rsidR="00F151EC" w:rsidRPr="00DF3A62">
        <w:rPr>
          <w:sz w:val="20"/>
          <w:lang w:val="en-US"/>
        </w:rPr>
        <w:t xml:space="preserve"> market is a key site for </w:t>
      </w:r>
      <w:r w:rsidR="00646A9A" w:rsidRPr="00DF3A62">
        <w:rPr>
          <w:sz w:val="20"/>
          <w:lang w:val="en-US"/>
        </w:rPr>
        <w:t>equality bodies on gender intersections.</w:t>
      </w:r>
      <w:r w:rsidR="006113F8" w:rsidRPr="00DF3A62">
        <w:rPr>
          <w:sz w:val="20"/>
          <w:lang w:val="en-US"/>
        </w:rPr>
        <w:t xml:space="preserve"> Access to justice</w:t>
      </w:r>
      <w:r w:rsidR="00485E31" w:rsidRPr="00DF3A62">
        <w:rPr>
          <w:sz w:val="20"/>
          <w:lang w:val="en-US"/>
        </w:rPr>
        <w:t xml:space="preserve"> and</w:t>
      </w:r>
      <w:r w:rsidR="006113F8" w:rsidRPr="00DF3A62">
        <w:rPr>
          <w:sz w:val="20"/>
          <w:lang w:val="en-US"/>
        </w:rPr>
        <w:t xml:space="preserve"> </w:t>
      </w:r>
      <w:r w:rsidR="00B013B2" w:rsidRPr="00DF3A62">
        <w:rPr>
          <w:sz w:val="20"/>
          <w:lang w:val="en-US"/>
        </w:rPr>
        <w:t>including gender and intersectionality in policies and programmes are two other focuses reported by equality bodies.</w:t>
      </w:r>
      <w:r w:rsidR="00646A9A" w:rsidRPr="00DF3A62">
        <w:rPr>
          <w:sz w:val="20"/>
          <w:lang w:val="en-US"/>
        </w:rPr>
        <w:t xml:space="preserve"> Education has however not been significantly addressed yet by equality bodies. </w:t>
      </w:r>
    </w:p>
    <w:p w14:paraId="52577191" w14:textId="77777777" w:rsidR="005D77EB" w:rsidRPr="00BE654B" w:rsidRDefault="00BE654B" w:rsidP="00EF2540">
      <w:pPr>
        <w:spacing w:line="240" w:lineRule="auto"/>
        <w:jc w:val="both"/>
        <w:rPr>
          <w:lang w:val="en-US"/>
        </w:rPr>
      </w:pPr>
      <w:r>
        <w:rPr>
          <w:lang w:val="en-US"/>
        </w:rPr>
        <w:br/>
      </w:r>
      <w:r w:rsidR="000324B4" w:rsidRPr="00F74E8F">
        <w:rPr>
          <w:rFonts w:ascii="Arial Rounded MT Bold" w:hAnsi="Arial Rounded MT Bold"/>
          <w:b/>
          <w:sz w:val="32"/>
          <w:lang w:val="en-US"/>
        </w:rPr>
        <w:t>Factors that influence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36"/>
        <w:gridCol w:w="4980"/>
      </w:tblGrid>
      <w:tr w:rsidR="000F00E1" w:rsidRPr="00BE654B" w14:paraId="570CF860" w14:textId="77777777" w:rsidTr="00C81D5A">
        <w:tc>
          <w:tcPr>
            <w:tcW w:w="5240" w:type="dxa"/>
            <w:shd w:val="clear" w:color="auto" w:fill="8D2B4E"/>
          </w:tcPr>
          <w:p w14:paraId="7FAC9D9D" w14:textId="77777777" w:rsidR="000F00E1" w:rsidRPr="000F00E1" w:rsidRDefault="000F00E1" w:rsidP="000F00E1">
            <w:pPr>
              <w:jc w:val="center"/>
              <w:rPr>
                <w:b/>
                <w:sz w:val="28"/>
                <w:lang w:val="en-US"/>
              </w:rPr>
            </w:pPr>
            <w:r w:rsidRPr="00C81D5A">
              <w:rPr>
                <w:b/>
                <w:color w:val="FFFFFF" w:themeColor="background1"/>
                <w:sz w:val="28"/>
                <w:lang w:val="en-US"/>
              </w:rPr>
              <w:t>Enabling factors</w:t>
            </w:r>
          </w:p>
        </w:tc>
        <w:tc>
          <w:tcPr>
            <w:tcW w:w="236" w:type="dxa"/>
          </w:tcPr>
          <w:p w14:paraId="1C279D5A" w14:textId="77777777" w:rsidR="000F00E1" w:rsidRPr="000F00E1" w:rsidRDefault="000F00E1" w:rsidP="000F00E1">
            <w:pPr>
              <w:jc w:val="center"/>
              <w:rPr>
                <w:b/>
                <w:sz w:val="28"/>
                <w:lang w:val="en-US"/>
              </w:rPr>
            </w:pPr>
          </w:p>
        </w:tc>
        <w:tc>
          <w:tcPr>
            <w:tcW w:w="4980" w:type="dxa"/>
            <w:shd w:val="clear" w:color="auto" w:fill="8D2B4E"/>
          </w:tcPr>
          <w:p w14:paraId="36CC4F5A" w14:textId="77777777" w:rsidR="000F00E1" w:rsidRPr="000F00E1" w:rsidRDefault="000F00E1" w:rsidP="000F00E1">
            <w:pPr>
              <w:jc w:val="center"/>
              <w:rPr>
                <w:b/>
                <w:sz w:val="28"/>
                <w:lang w:val="en-US"/>
              </w:rPr>
            </w:pPr>
            <w:r w:rsidRPr="00C81D5A">
              <w:rPr>
                <w:b/>
                <w:color w:val="FFFFFF" w:themeColor="background1"/>
                <w:sz w:val="28"/>
                <w:lang w:val="en-US"/>
              </w:rPr>
              <w:t>Factors that block</w:t>
            </w:r>
          </w:p>
        </w:tc>
      </w:tr>
      <w:tr w:rsidR="000F00E1" w:rsidRPr="00DF3A62" w14:paraId="3290AE9C" w14:textId="77777777" w:rsidTr="00E3066B">
        <w:tc>
          <w:tcPr>
            <w:tcW w:w="5240" w:type="dxa"/>
            <w:shd w:val="clear" w:color="auto" w:fill="F2F2F2" w:themeFill="background1" w:themeFillShade="F2"/>
          </w:tcPr>
          <w:p w14:paraId="27A15C0F" w14:textId="76A28E9E" w:rsidR="000F00E1" w:rsidRPr="00DF3A62" w:rsidRDefault="000F00E1" w:rsidP="000F00E1">
            <w:pPr>
              <w:pStyle w:val="ListParagraph"/>
              <w:numPr>
                <w:ilvl w:val="0"/>
                <w:numId w:val="1"/>
              </w:numPr>
              <w:jc w:val="both"/>
              <w:rPr>
                <w:sz w:val="20"/>
                <w:lang w:val="en-US"/>
              </w:rPr>
            </w:pPr>
            <w:r w:rsidRPr="00DF3A62">
              <w:rPr>
                <w:b/>
                <w:sz w:val="20"/>
                <w:lang w:val="en-US"/>
              </w:rPr>
              <w:t>Potential</w:t>
            </w:r>
            <w:r w:rsidRPr="00DF3A62">
              <w:rPr>
                <w:sz w:val="20"/>
                <w:lang w:val="en-US"/>
              </w:rPr>
              <w:t xml:space="preserve"> </w:t>
            </w:r>
            <w:r w:rsidRPr="00DF3A62">
              <w:rPr>
                <w:b/>
                <w:sz w:val="20"/>
                <w:lang w:val="en-US"/>
              </w:rPr>
              <w:t>held by intersectionality</w:t>
            </w:r>
            <w:r w:rsidRPr="00DF3A62">
              <w:rPr>
                <w:sz w:val="20"/>
                <w:lang w:val="en-US"/>
              </w:rPr>
              <w:t xml:space="preserve">: </w:t>
            </w:r>
            <w:r w:rsidR="001B32B0" w:rsidRPr="00DF3A62">
              <w:rPr>
                <w:sz w:val="20"/>
                <w:lang w:val="en-US"/>
              </w:rPr>
              <w:t xml:space="preserve">captures the </w:t>
            </w:r>
            <w:r w:rsidR="00FC2F62" w:rsidRPr="00DF3A62">
              <w:rPr>
                <w:sz w:val="20"/>
                <w:lang w:val="en-US"/>
              </w:rPr>
              <w:t xml:space="preserve">real life </w:t>
            </w:r>
            <w:r w:rsidR="001B32B0" w:rsidRPr="00DF3A62">
              <w:rPr>
                <w:sz w:val="20"/>
                <w:lang w:val="en-US"/>
              </w:rPr>
              <w:t>situation of people, relations of powers and help</w:t>
            </w:r>
            <w:r w:rsidR="00FC2F62" w:rsidRPr="00DF3A62">
              <w:rPr>
                <w:sz w:val="20"/>
                <w:lang w:val="en-US"/>
              </w:rPr>
              <w:t>s</w:t>
            </w:r>
            <w:r w:rsidR="001B32B0" w:rsidRPr="00DF3A62">
              <w:rPr>
                <w:sz w:val="20"/>
                <w:lang w:val="en-US"/>
              </w:rPr>
              <w:t xml:space="preserve"> equality bodies to form more effective responses to discrimination</w:t>
            </w:r>
          </w:p>
          <w:p w14:paraId="7455757A" w14:textId="55462CAC" w:rsidR="000F00E1" w:rsidRPr="00DF3A62" w:rsidRDefault="000F00E1" w:rsidP="000F00E1">
            <w:pPr>
              <w:pStyle w:val="ListParagraph"/>
              <w:numPr>
                <w:ilvl w:val="0"/>
                <w:numId w:val="1"/>
              </w:numPr>
              <w:jc w:val="both"/>
              <w:rPr>
                <w:sz w:val="20"/>
                <w:lang w:val="en-US"/>
              </w:rPr>
            </w:pPr>
            <w:r w:rsidRPr="00DF3A62">
              <w:rPr>
                <w:sz w:val="20"/>
                <w:lang w:val="en-US"/>
              </w:rPr>
              <w:t xml:space="preserve">Allows </w:t>
            </w:r>
            <w:r w:rsidRPr="00DF3A62">
              <w:rPr>
                <w:b/>
                <w:sz w:val="20"/>
                <w:lang w:val="en-US"/>
              </w:rPr>
              <w:t>focus on structural discrimination</w:t>
            </w:r>
            <w:r w:rsidR="00A5470D" w:rsidRPr="00DF3A62">
              <w:rPr>
                <w:sz w:val="20"/>
                <w:lang w:val="en-US"/>
              </w:rPr>
              <w:t xml:space="preserve"> and gives a better understanding of complex and hidden realities</w:t>
            </w:r>
          </w:p>
        </w:tc>
        <w:tc>
          <w:tcPr>
            <w:tcW w:w="236" w:type="dxa"/>
          </w:tcPr>
          <w:p w14:paraId="0D88B4D9" w14:textId="77777777" w:rsidR="000F00E1" w:rsidRPr="00DF3A62" w:rsidRDefault="000F00E1" w:rsidP="00EF2540">
            <w:pPr>
              <w:jc w:val="both"/>
              <w:rPr>
                <w:sz w:val="20"/>
                <w:lang w:val="en-US"/>
              </w:rPr>
            </w:pPr>
          </w:p>
        </w:tc>
        <w:tc>
          <w:tcPr>
            <w:tcW w:w="4980" w:type="dxa"/>
            <w:shd w:val="clear" w:color="auto" w:fill="F2F2F2" w:themeFill="background1" w:themeFillShade="F2"/>
          </w:tcPr>
          <w:p w14:paraId="508E8F1F" w14:textId="77777777" w:rsidR="000F00E1" w:rsidRPr="00DF3A62" w:rsidRDefault="00E3066B" w:rsidP="00E3066B">
            <w:pPr>
              <w:pStyle w:val="ListParagraph"/>
              <w:numPr>
                <w:ilvl w:val="0"/>
                <w:numId w:val="1"/>
              </w:numPr>
              <w:jc w:val="both"/>
              <w:rPr>
                <w:sz w:val="20"/>
                <w:lang w:val="en-US"/>
              </w:rPr>
            </w:pPr>
            <w:r w:rsidRPr="00DF3A62">
              <w:rPr>
                <w:b/>
                <w:sz w:val="20"/>
                <w:lang w:val="en-US"/>
              </w:rPr>
              <w:t>Difficult concept</w:t>
            </w:r>
            <w:r w:rsidRPr="00DF3A62">
              <w:rPr>
                <w:sz w:val="20"/>
                <w:lang w:val="en-US"/>
              </w:rPr>
              <w:t xml:space="preserve"> to engage with</w:t>
            </w:r>
          </w:p>
          <w:p w14:paraId="08156B23" w14:textId="77777777" w:rsidR="00E3066B" w:rsidRPr="00DF3A62" w:rsidRDefault="00E3066B" w:rsidP="00E3066B">
            <w:pPr>
              <w:pStyle w:val="ListParagraph"/>
              <w:numPr>
                <w:ilvl w:val="0"/>
                <w:numId w:val="1"/>
              </w:numPr>
              <w:jc w:val="both"/>
              <w:rPr>
                <w:sz w:val="20"/>
                <w:lang w:val="en-US"/>
              </w:rPr>
            </w:pPr>
            <w:r w:rsidRPr="00DF3A62">
              <w:rPr>
                <w:b/>
                <w:sz w:val="20"/>
                <w:lang w:val="en-US"/>
              </w:rPr>
              <w:t>Data gaps</w:t>
            </w:r>
            <w:r w:rsidRPr="00DF3A62">
              <w:rPr>
                <w:sz w:val="20"/>
                <w:lang w:val="en-US"/>
              </w:rPr>
              <w:t xml:space="preserve"> prevent equality bodies from taking effective action</w:t>
            </w:r>
          </w:p>
          <w:p w14:paraId="38BBCD25" w14:textId="77777777" w:rsidR="00E3066B" w:rsidRPr="00DF3A62" w:rsidRDefault="00E3066B" w:rsidP="00E3066B">
            <w:pPr>
              <w:pStyle w:val="ListParagraph"/>
              <w:numPr>
                <w:ilvl w:val="0"/>
                <w:numId w:val="1"/>
              </w:numPr>
              <w:jc w:val="both"/>
              <w:rPr>
                <w:sz w:val="20"/>
                <w:lang w:val="en-US"/>
              </w:rPr>
            </w:pPr>
            <w:r w:rsidRPr="00DF3A62">
              <w:rPr>
                <w:sz w:val="20"/>
                <w:lang w:val="en-US"/>
              </w:rPr>
              <w:t xml:space="preserve">Absence of </w:t>
            </w:r>
            <w:r w:rsidRPr="00DF3A62">
              <w:rPr>
                <w:b/>
                <w:sz w:val="20"/>
                <w:lang w:val="en-US"/>
              </w:rPr>
              <w:t>legal provisions</w:t>
            </w:r>
            <w:r w:rsidRPr="00DF3A62">
              <w:rPr>
                <w:sz w:val="20"/>
                <w:lang w:val="en-US"/>
              </w:rPr>
              <w:t xml:space="preserve"> </w:t>
            </w:r>
          </w:p>
          <w:p w14:paraId="17B9DD76" w14:textId="77777777" w:rsidR="00E3066B" w:rsidRPr="00DF3A62" w:rsidRDefault="00E3066B" w:rsidP="00E3066B">
            <w:pPr>
              <w:pStyle w:val="ListParagraph"/>
              <w:numPr>
                <w:ilvl w:val="0"/>
                <w:numId w:val="1"/>
              </w:numPr>
              <w:jc w:val="both"/>
              <w:rPr>
                <w:b/>
                <w:sz w:val="20"/>
                <w:lang w:val="en-US"/>
              </w:rPr>
            </w:pPr>
            <w:r w:rsidRPr="00DF3A62">
              <w:rPr>
                <w:b/>
                <w:sz w:val="20"/>
                <w:lang w:val="en-US"/>
              </w:rPr>
              <w:t>Low number of cases</w:t>
            </w:r>
          </w:p>
          <w:p w14:paraId="5071A340" w14:textId="77777777" w:rsidR="00E3066B" w:rsidRPr="00DF3A62" w:rsidRDefault="00E3066B" w:rsidP="00E3066B">
            <w:pPr>
              <w:pStyle w:val="ListParagraph"/>
              <w:numPr>
                <w:ilvl w:val="0"/>
                <w:numId w:val="1"/>
              </w:numPr>
              <w:jc w:val="both"/>
              <w:rPr>
                <w:sz w:val="20"/>
                <w:lang w:val="en-US"/>
              </w:rPr>
            </w:pPr>
            <w:r w:rsidRPr="00DF3A62">
              <w:rPr>
                <w:b/>
                <w:sz w:val="20"/>
                <w:lang w:val="en-US"/>
              </w:rPr>
              <w:t>Internal issues</w:t>
            </w:r>
            <w:r w:rsidRPr="00DF3A62">
              <w:rPr>
                <w:sz w:val="20"/>
                <w:lang w:val="en-US"/>
              </w:rPr>
              <w:t xml:space="preserve"> to equality bodies: human and financial resources</w:t>
            </w:r>
          </w:p>
        </w:tc>
      </w:tr>
    </w:tbl>
    <w:p w14:paraId="738760C6" w14:textId="77777777" w:rsidR="00EF2540" w:rsidRDefault="00EF2540" w:rsidP="00EF2540">
      <w:pPr>
        <w:spacing w:line="240" w:lineRule="auto"/>
        <w:jc w:val="both"/>
        <w:rPr>
          <w:lang w:val="en-US"/>
        </w:rPr>
      </w:pPr>
    </w:p>
    <w:p w14:paraId="2B987E6C" w14:textId="77777777" w:rsidR="005D77EB" w:rsidRPr="00F74E8F" w:rsidRDefault="005D77EB" w:rsidP="00EF2540">
      <w:pPr>
        <w:spacing w:line="240" w:lineRule="auto"/>
        <w:jc w:val="both"/>
        <w:rPr>
          <w:rFonts w:ascii="Arial Rounded MT Bold" w:hAnsi="Arial Rounded MT Bold"/>
          <w:b/>
          <w:sz w:val="32"/>
          <w:lang w:val="en-US"/>
        </w:rPr>
      </w:pPr>
      <w:r w:rsidRPr="00F74E8F">
        <w:rPr>
          <w:rFonts w:ascii="Arial Rounded MT Bold" w:hAnsi="Arial Rounded MT Bold"/>
          <w:b/>
          <w:sz w:val="32"/>
          <w:lang w:val="en-US"/>
        </w:rPr>
        <w:t>Looking to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21342A" w:rsidRPr="00DF3A62" w14:paraId="7AA150CD" w14:textId="77777777" w:rsidTr="00EC4CD7">
        <w:tc>
          <w:tcPr>
            <w:tcW w:w="2547" w:type="dxa"/>
            <w:shd w:val="clear" w:color="auto" w:fill="222A35" w:themeFill="text2" w:themeFillShade="80"/>
            <w:vAlign w:val="center"/>
          </w:tcPr>
          <w:p w14:paraId="1436BDB1" w14:textId="77777777" w:rsidR="005C7041" w:rsidRDefault="0021342A" w:rsidP="0021342A">
            <w:pPr>
              <w:jc w:val="center"/>
              <w:rPr>
                <w:b/>
                <w:sz w:val="32"/>
                <w:lang w:val="en-US"/>
              </w:rPr>
            </w:pPr>
            <w:r w:rsidRPr="0021342A">
              <w:rPr>
                <w:b/>
                <w:sz w:val="32"/>
                <w:lang w:val="en-US"/>
              </w:rPr>
              <w:t xml:space="preserve">Equality </w:t>
            </w:r>
          </w:p>
          <w:p w14:paraId="1317FB95" w14:textId="77777777" w:rsidR="0021342A" w:rsidRPr="0021342A" w:rsidRDefault="0021342A" w:rsidP="0021342A">
            <w:pPr>
              <w:jc w:val="center"/>
              <w:rPr>
                <w:b/>
                <w:color w:val="990000"/>
                <w:lang w:val="en-US"/>
              </w:rPr>
            </w:pPr>
            <w:r w:rsidRPr="0021342A">
              <w:rPr>
                <w:b/>
                <w:sz w:val="32"/>
                <w:lang w:val="en-US"/>
              </w:rPr>
              <w:t>Bodies</w:t>
            </w:r>
          </w:p>
        </w:tc>
        <w:tc>
          <w:tcPr>
            <w:tcW w:w="7909" w:type="dxa"/>
            <w:shd w:val="clear" w:color="auto" w:fill="F2F2F2" w:themeFill="background1" w:themeFillShade="F2"/>
          </w:tcPr>
          <w:p w14:paraId="1A1B3329" w14:textId="77777777" w:rsidR="00CE17EC" w:rsidRPr="00DF3A62" w:rsidRDefault="0021342A" w:rsidP="00EC4CD7">
            <w:pPr>
              <w:jc w:val="both"/>
              <w:rPr>
                <w:sz w:val="20"/>
                <w:lang w:val="en-US"/>
              </w:rPr>
            </w:pPr>
            <w:r w:rsidRPr="00DF3A62">
              <w:rPr>
                <w:sz w:val="20"/>
                <w:lang w:val="en-US"/>
              </w:rPr>
              <w:t xml:space="preserve">Although equality bodies can point to a significant track record of action on intersectionality, it is clear that the full potential of the concept remains to be uncovered and secured. </w:t>
            </w:r>
            <w:r w:rsidR="000B004E" w:rsidRPr="00DF3A62">
              <w:rPr>
                <w:sz w:val="20"/>
                <w:lang w:val="en-US"/>
              </w:rPr>
              <w:t>Equality bodies could:</w:t>
            </w:r>
          </w:p>
          <w:p w14:paraId="20866FEF" w14:textId="77777777" w:rsidR="0021342A" w:rsidRPr="00DF3A62" w:rsidRDefault="000B004E" w:rsidP="00EC4CD7">
            <w:pPr>
              <w:pStyle w:val="ListParagraph"/>
              <w:numPr>
                <w:ilvl w:val="0"/>
                <w:numId w:val="2"/>
              </w:numPr>
              <w:jc w:val="both"/>
              <w:rPr>
                <w:sz w:val="20"/>
                <w:lang w:val="en-US"/>
              </w:rPr>
            </w:pPr>
            <w:r w:rsidRPr="00DF3A62">
              <w:rPr>
                <w:b/>
                <w:sz w:val="20"/>
                <w:lang w:val="en-US"/>
              </w:rPr>
              <w:t>Stimulate exchange</w:t>
            </w:r>
            <w:r w:rsidRPr="00DF3A62">
              <w:rPr>
                <w:sz w:val="20"/>
                <w:lang w:val="en-US"/>
              </w:rPr>
              <w:t xml:space="preserve"> among</w:t>
            </w:r>
            <w:r w:rsidR="00FC2F62" w:rsidRPr="00DF3A62">
              <w:rPr>
                <w:sz w:val="20"/>
                <w:lang w:val="en-US"/>
              </w:rPr>
              <w:t>st</w:t>
            </w:r>
            <w:r w:rsidRPr="00DF3A62">
              <w:rPr>
                <w:sz w:val="20"/>
                <w:lang w:val="en-US"/>
              </w:rPr>
              <w:t xml:space="preserve"> them</w:t>
            </w:r>
            <w:r w:rsidR="00FC2F62" w:rsidRPr="00DF3A62">
              <w:rPr>
                <w:sz w:val="20"/>
                <w:lang w:val="en-US"/>
              </w:rPr>
              <w:t>selves</w:t>
            </w:r>
            <w:r w:rsidRPr="00DF3A62">
              <w:rPr>
                <w:sz w:val="20"/>
                <w:lang w:val="en-US"/>
              </w:rPr>
              <w:t xml:space="preserve"> in order to build </w:t>
            </w:r>
            <w:r w:rsidR="0021342A" w:rsidRPr="00DF3A62">
              <w:rPr>
                <w:sz w:val="20"/>
                <w:lang w:val="en-US"/>
              </w:rPr>
              <w:t>a shared understanding</w:t>
            </w:r>
            <w:r w:rsidRPr="00DF3A62">
              <w:rPr>
                <w:sz w:val="20"/>
                <w:lang w:val="en-US"/>
              </w:rPr>
              <w:t xml:space="preserve"> of intersectionality</w:t>
            </w:r>
            <w:r w:rsidR="00485E31" w:rsidRPr="00DF3A62">
              <w:rPr>
                <w:sz w:val="20"/>
                <w:lang w:val="en-US"/>
              </w:rPr>
              <w:t>;</w:t>
            </w:r>
          </w:p>
          <w:p w14:paraId="6080D49A" w14:textId="77777777" w:rsidR="0021342A" w:rsidRPr="00DF3A62" w:rsidRDefault="000B004E" w:rsidP="00EC4CD7">
            <w:pPr>
              <w:pStyle w:val="ListParagraph"/>
              <w:numPr>
                <w:ilvl w:val="0"/>
                <w:numId w:val="2"/>
              </w:numPr>
              <w:jc w:val="both"/>
              <w:rPr>
                <w:sz w:val="20"/>
                <w:lang w:val="en-US"/>
              </w:rPr>
            </w:pPr>
            <w:r w:rsidRPr="00DF3A62">
              <w:rPr>
                <w:b/>
                <w:sz w:val="20"/>
                <w:lang w:val="en-US"/>
              </w:rPr>
              <w:t>B</w:t>
            </w:r>
            <w:r w:rsidR="00CE17EC" w:rsidRPr="00DF3A62">
              <w:rPr>
                <w:b/>
                <w:sz w:val="20"/>
                <w:lang w:val="en-US"/>
              </w:rPr>
              <w:t>uild their own capacity</w:t>
            </w:r>
            <w:r w:rsidR="00CE17EC" w:rsidRPr="00DF3A62">
              <w:rPr>
                <w:sz w:val="20"/>
                <w:lang w:val="en-US"/>
              </w:rPr>
              <w:t xml:space="preserve"> and practice to view and review their work</w:t>
            </w:r>
            <w:r w:rsidR="00485E31" w:rsidRPr="00DF3A62">
              <w:rPr>
                <w:sz w:val="20"/>
                <w:lang w:val="en-US"/>
              </w:rPr>
              <w:t>;</w:t>
            </w:r>
          </w:p>
          <w:p w14:paraId="4968FB4D" w14:textId="77777777" w:rsidR="00CE17EC" w:rsidRPr="00DF3A62" w:rsidRDefault="000B004E" w:rsidP="00EC4CD7">
            <w:pPr>
              <w:pStyle w:val="ListParagraph"/>
              <w:numPr>
                <w:ilvl w:val="0"/>
                <w:numId w:val="2"/>
              </w:numPr>
              <w:jc w:val="both"/>
              <w:rPr>
                <w:sz w:val="20"/>
                <w:lang w:val="en-US"/>
              </w:rPr>
            </w:pPr>
            <w:r w:rsidRPr="00DF3A62">
              <w:rPr>
                <w:sz w:val="20"/>
                <w:lang w:val="en-US"/>
              </w:rPr>
              <w:t>E</w:t>
            </w:r>
            <w:r w:rsidR="00CE17EC" w:rsidRPr="00DF3A62">
              <w:rPr>
                <w:sz w:val="20"/>
                <w:lang w:val="en-US"/>
              </w:rPr>
              <w:t xml:space="preserve">stablish a </w:t>
            </w:r>
            <w:r w:rsidR="00CE17EC" w:rsidRPr="00DF3A62">
              <w:rPr>
                <w:b/>
                <w:sz w:val="20"/>
                <w:lang w:val="en-US"/>
              </w:rPr>
              <w:t>formal exchange on the research work</w:t>
            </w:r>
            <w:r w:rsidR="00CE17EC" w:rsidRPr="00DF3A62">
              <w:rPr>
                <w:sz w:val="20"/>
                <w:lang w:val="en-US"/>
              </w:rPr>
              <w:t xml:space="preserve"> being done</w:t>
            </w:r>
            <w:r w:rsidR="00485E31" w:rsidRPr="00DF3A62">
              <w:rPr>
                <w:sz w:val="20"/>
                <w:lang w:val="en-US"/>
              </w:rPr>
              <w:t>;</w:t>
            </w:r>
          </w:p>
          <w:p w14:paraId="5B7D8D44" w14:textId="77777777" w:rsidR="0021342A" w:rsidRPr="00DF3A62" w:rsidRDefault="000B004E" w:rsidP="00EC4CD7">
            <w:pPr>
              <w:pStyle w:val="ListParagraph"/>
              <w:numPr>
                <w:ilvl w:val="0"/>
                <w:numId w:val="2"/>
              </w:numPr>
              <w:jc w:val="both"/>
              <w:rPr>
                <w:sz w:val="20"/>
                <w:lang w:val="en-US"/>
              </w:rPr>
            </w:pPr>
            <w:r w:rsidRPr="00DF3A62">
              <w:rPr>
                <w:sz w:val="20"/>
                <w:lang w:val="en-US"/>
              </w:rPr>
              <w:t>F</w:t>
            </w:r>
            <w:r w:rsidR="00CE17EC" w:rsidRPr="00DF3A62">
              <w:rPr>
                <w:sz w:val="20"/>
                <w:lang w:val="en-US"/>
              </w:rPr>
              <w:t xml:space="preserve">urther support good </w:t>
            </w:r>
            <w:r w:rsidR="00EC4CD7" w:rsidRPr="00DF3A62">
              <w:rPr>
                <w:sz w:val="20"/>
                <w:lang w:val="en-US"/>
              </w:rPr>
              <w:t>practices</w:t>
            </w:r>
            <w:r w:rsidRPr="00DF3A62">
              <w:rPr>
                <w:sz w:val="20"/>
                <w:lang w:val="en-US"/>
              </w:rPr>
              <w:t xml:space="preserve"> by </w:t>
            </w:r>
            <w:r w:rsidRPr="00DF3A62">
              <w:rPr>
                <w:b/>
                <w:sz w:val="20"/>
                <w:lang w:val="en-US"/>
              </w:rPr>
              <w:t xml:space="preserve">employers </w:t>
            </w:r>
            <w:r w:rsidR="00EC4CD7" w:rsidRPr="00DF3A62">
              <w:rPr>
                <w:b/>
                <w:sz w:val="20"/>
                <w:lang w:val="en-US"/>
              </w:rPr>
              <w:t>and service providers</w:t>
            </w:r>
            <w:r w:rsidR="00485E31" w:rsidRPr="00DF3A62">
              <w:rPr>
                <w:b/>
                <w:sz w:val="20"/>
                <w:lang w:val="en-US"/>
              </w:rPr>
              <w:t>.</w:t>
            </w:r>
          </w:p>
        </w:tc>
      </w:tr>
      <w:tr w:rsidR="0021342A" w:rsidRPr="00DF3A62" w14:paraId="2F6F7914" w14:textId="77777777" w:rsidTr="00EC4CD7">
        <w:tc>
          <w:tcPr>
            <w:tcW w:w="2547" w:type="dxa"/>
          </w:tcPr>
          <w:p w14:paraId="19A5C648" w14:textId="77777777" w:rsidR="0021342A" w:rsidRDefault="0021342A" w:rsidP="007245E3">
            <w:pPr>
              <w:rPr>
                <w:lang w:val="en-US"/>
              </w:rPr>
            </w:pPr>
          </w:p>
        </w:tc>
        <w:tc>
          <w:tcPr>
            <w:tcW w:w="7909" w:type="dxa"/>
          </w:tcPr>
          <w:p w14:paraId="07B46ABD" w14:textId="77777777" w:rsidR="0021342A" w:rsidRPr="00DF3A62" w:rsidRDefault="0021342A" w:rsidP="00EC4CD7">
            <w:pPr>
              <w:jc w:val="both"/>
              <w:rPr>
                <w:sz w:val="20"/>
                <w:lang w:val="en-US"/>
              </w:rPr>
            </w:pPr>
          </w:p>
        </w:tc>
      </w:tr>
      <w:tr w:rsidR="0021342A" w:rsidRPr="00DF3A62" w14:paraId="421277F5" w14:textId="77777777" w:rsidTr="00EC4CD7">
        <w:trPr>
          <w:trHeight w:val="1807"/>
        </w:trPr>
        <w:tc>
          <w:tcPr>
            <w:tcW w:w="2547" w:type="dxa"/>
            <w:shd w:val="clear" w:color="auto" w:fill="222A35" w:themeFill="text2" w:themeFillShade="80"/>
            <w:vAlign w:val="center"/>
          </w:tcPr>
          <w:p w14:paraId="6284B261" w14:textId="77777777" w:rsidR="005C7041" w:rsidRPr="005C7041" w:rsidRDefault="0021342A" w:rsidP="00F71945">
            <w:pPr>
              <w:jc w:val="center"/>
              <w:rPr>
                <w:b/>
                <w:sz w:val="32"/>
                <w:lang w:val="en-US"/>
              </w:rPr>
            </w:pPr>
            <w:r w:rsidRPr="005C7041">
              <w:rPr>
                <w:b/>
                <w:sz w:val="32"/>
                <w:lang w:val="en-US"/>
              </w:rPr>
              <w:t>European Union and Individual Jurisdictions</w:t>
            </w:r>
          </w:p>
        </w:tc>
        <w:tc>
          <w:tcPr>
            <w:tcW w:w="7909" w:type="dxa"/>
            <w:shd w:val="clear" w:color="auto" w:fill="F2F2F2" w:themeFill="background1" w:themeFillShade="F2"/>
          </w:tcPr>
          <w:p w14:paraId="17BC2355" w14:textId="77777777" w:rsidR="004A0B4A" w:rsidRPr="00DF3A62" w:rsidRDefault="00F71945" w:rsidP="00EC4CD7">
            <w:pPr>
              <w:jc w:val="both"/>
              <w:rPr>
                <w:b/>
                <w:sz w:val="20"/>
                <w:lang w:val="en-US"/>
              </w:rPr>
            </w:pPr>
            <w:r w:rsidRPr="00DF3A62">
              <w:rPr>
                <w:b/>
                <w:sz w:val="20"/>
                <w:lang w:val="en-US"/>
              </w:rPr>
              <w:t>LEGISLATION</w:t>
            </w:r>
          </w:p>
          <w:p w14:paraId="27A44388" w14:textId="77777777" w:rsidR="0021342A" w:rsidRPr="00DF3A62" w:rsidRDefault="006C19EA" w:rsidP="00EC4CD7">
            <w:pPr>
              <w:pStyle w:val="ListParagraph"/>
              <w:numPr>
                <w:ilvl w:val="0"/>
                <w:numId w:val="3"/>
              </w:numPr>
              <w:jc w:val="both"/>
              <w:rPr>
                <w:sz w:val="20"/>
                <w:lang w:val="en-US"/>
              </w:rPr>
            </w:pPr>
            <w:r w:rsidRPr="00DF3A62">
              <w:rPr>
                <w:sz w:val="20"/>
                <w:lang w:val="en-US"/>
              </w:rPr>
              <w:t xml:space="preserve">Provisions </w:t>
            </w:r>
            <w:r w:rsidR="00F71945" w:rsidRPr="00DF3A62">
              <w:rPr>
                <w:sz w:val="20"/>
                <w:lang w:val="en-US"/>
              </w:rPr>
              <w:t xml:space="preserve">on multiple discrimination in equal treatment provides a </w:t>
            </w:r>
            <w:r w:rsidR="00F71945" w:rsidRPr="00DF3A62">
              <w:rPr>
                <w:b/>
                <w:sz w:val="20"/>
                <w:lang w:val="en-US"/>
              </w:rPr>
              <w:t xml:space="preserve">vital stimulus </w:t>
            </w:r>
            <w:r w:rsidR="00F71945" w:rsidRPr="00DF3A62">
              <w:rPr>
                <w:sz w:val="20"/>
                <w:lang w:val="en-US"/>
              </w:rPr>
              <w:t>for action on intersectionality</w:t>
            </w:r>
            <w:r w:rsidR="00485E31" w:rsidRPr="00DF3A62">
              <w:rPr>
                <w:sz w:val="20"/>
                <w:lang w:val="en-US"/>
              </w:rPr>
              <w:t>.</w:t>
            </w:r>
          </w:p>
          <w:p w14:paraId="63BF6F1A" w14:textId="77777777" w:rsidR="00F71945" w:rsidRPr="00DF3A62" w:rsidRDefault="00F71945" w:rsidP="00EC4CD7">
            <w:pPr>
              <w:pStyle w:val="ListParagraph"/>
              <w:numPr>
                <w:ilvl w:val="0"/>
                <w:numId w:val="3"/>
              </w:numPr>
              <w:jc w:val="both"/>
              <w:rPr>
                <w:sz w:val="20"/>
                <w:lang w:val="en-US"/>
              </w:rPr>
            </w:pPr>
            <w:r w:rsidRPr="00DF3A62">
              <w:rPr>
                <w:sz w:val="20"/>
                <w:lang w:val="en-US"/>
              </w:rPr>
              <w:t xml:space="preserve">Such provisions should be accompanied by </w:t>
            </w:r>
            <w:r w:rsidRPr="00DF3A62">
              <w:rPr>
                <w:b/>
                <w:sz w:val="20"/>
                <w:lang w:val="en-US"/>
              </w:rPr>
              <w:t>enhanced sanctions</w:t>
            </w:r>
            <w:r w:rsidR="00485E31" w:rsidRPr="00DF3A62">
              <w:rPr>
                <w:b/>
                <w:sz w:val="20"/>
                <w:lang w:val="en-US"/>
              </w:rPr>
              <w:t>.</w:t>
            </w:r>
          </w:p>
          <w:p w14:paraId="42162936" w14:textId="77777777" w:rsidR="004A0B4A" w:rsidRPr="00DF3A62" w:rsidRDefault="004A0B4A" w:rsidP="00EC4CD7">
            <w:pPr>
              <w:pStyle w:val="ListParagraph"/>
              <w:numPr>
                <w:ilvl w:val="0"/>
                <w:numId w:val="3"/>
              </w:numPr>
              <w:jc w:val="both"/>
              <w:rPr>
                <w:sz w:val="20"/>
                <w:lang w:val="en-US"/>
              </w:rPr>
            </w:pPr>
            <w:r w:rsidRPr="00DF3A62">
              <w:rPr>
                <w:sz w:val="20"/>
                <w:lang w:val="en-US"/>
              </w:rPr>
              <w:t xml:space="preserve">It also demands a </w:t>
            </w:r>
            <w:r w:rsidRPr="00DF3A62">
              <w:rPr>
                <w:b/>
                <w:sz w:val="20"/>
                <w:lang w:val="en-US"/>
              </w:rPr>
              <w:t>review of current key concepts in anti-discrimination law</w:t>
            </w:r>
            <w:r w:rsidRPr="00DF3A62">
              <w:rPr>
                <w:sz w:val="20"/>
                <w:lang w:val="en-US"/>
              </w:rPr>
              <w:t xml:space="preserve"> and a coherence of protection across the current grounds</w:t>
            </w:r>
            <w:r w:rsidR="00485E31" w:rsidRPr="00DF3A62">
              <w:rPr>
                <w:sz w:val="20"/>
                <w:lang w:val="en-US"/>
              </w:rPr>
              <w:t>.</w:t>
            </w:r>
          </w:p>
          <w:p w14:paraId="6737E49E" w14:textId="77777777" w:rsidR="00F71945" w:rsidRPr="00DF3A62" w:rsidRDefault="00F71945" w:rsidP="00EC4CD7">
            <w:pPr>
              <w:jc w:val="both"/>
              <w:rPr>
                <w:sz w:val="20"/>
                <w:lang w:val="en-US"/>
              </w:rPr>
            </w:pPr>
          </w:p>
          <w:p w14:paraId="664A5FBB" w14:textId="77777777" w:rsidR="004A0B4A" w:rsidRPr="00DF3A62" w:rsidRDefault="00F71945" w:rsidP="00EC4CD7">
            <w:pPr>
              <w:jc w:val="both"/>
              <w:rPr>
                <w:b/>
                <w:sz w:val="20"/>
                <w:lang w:val="en-US"/>
              </w:rPr>
            </w:pPr>
            <w:r w:rsidRPr="00DF3A62">
              <w:rPr>
                <w:b/>
                <w:sz w:val="20"/>
                <w:lang w:val="en-US"/>
              </w:rPr>
              <w:t>MAINSTREAMING AND TARGETING</w:t>
            </w:r>
          </w:p>
          <w:p w14:paraId="6CC79CEA" w14:textId="77777777" w:rsidR="00DF3A62" w:rsidRPr="00DF3A62" w:rsidRDefault="00DF3A62" w:rsidP="00DF3A62">
            <w:pPr>
              <w:pStyle w:val="ListParagraph"/>
              <w:numPr>
                <w:ilvl w:val="0"/>
                <w:numId w:val="4"/>
              </w:numPr>
              <w:jc w:val="both"/>
              <w:rPr>
                <w:sz w:val="20"/>
                <w:lang w:val="en-US"/>
              </w:rPr>
            </w:pPr>
            <w:r w:rsidRPr="00DF3A62">
              <w:rPr>
                <w:sz w:val="20"/>
                <w:lang w:val="en-US"/>
              </w:rPr>
              <w:t xml:space="preserve">European Union and Member State </w:t>
            </w:r>
            <w:r w:rsidRPr="00DF3A62">
              <w:rPr>
                <w:b/>
                <w:sz w:val="20"/>
                <w:lang w:val="en-US"/>
              </w:rPr>
              <w:t>mainstreaming processes</w:t>
            </w:r>
            <w:r w:rsidRPr="00DF3A62">
              <w:rPr>
                <w:sz w:val="20"/>
                <w:lang w:val="en-US"/>
              </w:rPr>
              <w:t xml:space="preserve"> need to be further developed to include a focus on intersections. The second sentence should be moved into the second bullet point.</w:t>
            </w:r>
          </w:p>
          <w:p w14:paraId="27960A36" w14:textId="40DBAF6C" w:rsidR="00A611AD" w:rsidRPr="00DF3A62" w:rsidRDefault="001B6B5A" w:rsidP="00DF3A62">
            <w:pPr>
              <w:pStyle w:val="ListParagraph"/>
              <w:numPr>
                <w:ilvl w:val="0"/>
                <w:numId w:val="4"/>
              </w:numPr>
              <w:jc w:val="both"/>
              <w:rPr>
                <w:sz w:val="20"/>
                <w:lang w:val="en-US"/>
              </w:rPr>
            </w:pPr>
            <w:r w:rsidRPr="00DF3A62">
              <w:rPr>
                <w:sz w:val="20"/>
                <w:lang w:val="en-US"/>
              </w:rPr>
              <w:t xml:space="preserve">These plans should also include </w:t>
            </w:r>
            <w:r w:rsidRPr="00DF3A62">
              <w:rPr>
                <w:b/>
                <w:sz w:val="20"/>
                <w:lang w:val="en-US"/>
              </w:rPr>
              <w:t>targeted actions</w:t>
            </w:r>
            <w:r w:rsidRPr="00DF3A62">
              <w:rPr>
                <w:sz w:val="20"/>
                <w:lang w:val="en-US"/>
              </w:rPr>
              <w:t xml:space="preserve"> to address intersectionality.</w:t>
            </w:r>
          </w:p>
        </w:tc>
      </w:tr>
    </w:tbl>
    <w:p w14:paraId="0D024D33" w14:textId="77777777" w:rsidR="00DF3A62" w:rsidRDefault="00DF3A62" w:rsidP="00DF3A62">
      <w:pPr>
        <w:shd w:val="clear" w:color="auto" w:fill="FFFFFF" w:themeFill="background1"/>
        <w:spacing w:line="240" w:lineRule="auto"/>
        <w:jc w:val="both"/>
        <w:rPr>
          <w:b/>
          <w:color w:val="1F3864" w:themeColor="accent5" w:themeShade="80"/>
          <w:lang w:val="en-US"/>
        </w:rPr>
      </w:pPr>
      <w:bookmarkStart w:id="0" w:name="_GoBack"/>
      <w:bookmarkEnd w:id="0"/>
    </w:p>
    <w:p w14:paraId="23A0E6DE" w14:textId="77777777" w:rsidR="00730F17" w:rsidRPr="00EC4CD7" w:rsidRDefault="00CB7F73" w:rsidP="00EC4CD7">
      <w:pPr>
        <w:shd w:val="clear" w:color="auto" w:fill="F2F2F2" w:themeFill="background1" w:themeFillShade="F2"/>
        <w:spacing w:line="240" w:lineRule="auto"/>
        <w:jc w:val="both"/>
        <w:rPr>
          <w:sz w:val="20"/>
          <w:lang w:val="en-US"/>
        </w:rPr>
      </w:pPr>
      <w:r w:rsidRPr="00866864">
        <w:rPr>
          <w:b/>
          <w:color w:val="1F3864" w:themeColor="accent5" w:themeShade="80"/>
          <w:lang w:val="en-US"/>
        </w:rPr>
        <w:t>AUTHOR</w:t>
      </w:r>
      <w:r w:rsidR="00904212" w:rsidRPr="00904212">
        <w:rPr>
          <w:sz w:val="20"/>
          <w:lang w:val="en-US"/>
        </w:rPr>
        <w:br/>
      </w:r>
      <w:r w:rsidR="007245E3" w:rsidRPr="00DF3A62">
        <w:rPr>
          <w:sz w:val="20"/>
          <w:lang w:val="en-US"/>
        </w:rPr>
        <w:t>Niall Crowley, Independent Expert</w:t>
      </w:r>
      <w:r w:rsidR="00EC4CD7">
        <w:rPr>
          <w:sz w:val="18"/>
          <w:lang w:val="en-US"/>
        </w:rPr>
        <w:tab/>
      </w:r>
      <w:r w:rsidR="00EC4CD7">
        <w:rPr>
          <w:sz w:val="20"/>
          <w:lang w:val="en-US"/>
        </w:rPr>
        <w:br/>
      </w:r>
      <w:r w:rsidR="00EC4CD7">
        <w:rPr>
          <w:sz w:val="20"/>
          <w:lang w:val="en-US"/>
        </w:rPr>
        <w:br/>
      </w:r>
      <w:r w:rsidR="007245E3" w:rsidRPr="00866864">
        <w:rPr>
          <w:b/>
          <w:noProof/>
          <w:color w:val="1F3864" w:themeColor="accent5" w:themeShade="80"/>
          <w:sz w:val="28"/>
          <w:lang w:eastAsia="fr-BE"/>
        </w:rPr>
        <w:drawing>
          <wp:anchor distT="0" distB="0" distL="114300" distR="114300" simplePos="0" relativeHeight="251669504" behindDoc="0" locked="0" layoutInCell="1" allowOverlap="1" wp14:anchorId="2E99D852" wp14:editId="5F0C8260">
            <wp:simplePos x="0" y="0"/>
            <wp:positionH relativeFrom="margin">
              <wp:posOffset>1570355</wp:posOffset>
            </wp:positionH>
            <wp:positionV relativeFrom="margin">
              <wp:posOffset>9646616</wp:posOffset>
            </wp:positionV>
            <wp:extent cx="3505200" cy="498475"/>
            <wp:effectExtent l="0" t="0" r="0" b="0"/>
            <wp:wrapSquare wrapText="bothSides"/>
            <wp:docPr id="5" name="Picture 5" descr="C:\Users\jema\Pictures\EQUINET\REC FU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ma\Pictures\EQUINET\REC FUnd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5E3" w:rsidRPr="00866864">
        <w:rPr>
          <w:b/>
          <w:color w:val="1F3864" w:themeColor="accent5" w:themeShade="80"/>
          <w:lang w:val="en-US"/>
        </w:rPr>
        <w:t>LIST OF CONTRIBUTORS</w:t>
      </w:r>
      <w:r w:rsidR="00904212">
        <w:rPr>
          <w:b/>
          <w:color w:val="990000"/>
          <w:lang w:val="en-US"/>
        </w:rPr>
        <w:tab/>
      </w:r>
      <w:r w:rsidR="007245E3" w:rsidRPr="00904212">
        <w:rPr>
          <w:color w:val="990000"/>
          <w:lang w:val="en-US"/>
        </w:rPr>
        <w:t xml:space="preserve"> </w:t>
      </w:r>
      <w:r w:rsidR="00904212" w:rsidRPr="00904212">
        <w:rPr>
          <w:sz w:val="20"/>
          <w:lang w:val="en-US"/>
        </w:rPr>
        <w:br/>
      </w:r>
      <w:r w:rsidR="00904212" w:rsidRPr="00DF3A62">
        <w:rPr>
          <w:sz w:val="20"/>
          <w:lang w:val="en-US"/>
        </w:rPr>
        <w:t xml:space="preserve">Ombud for Equal Treatment, </w:t>
      </w:r>
      <w:r w:rsidR="00904212" w:rsidRPr="00DF3A62">
        <w:rPr>
          <w:b/>
          <w:color w:val="990000"/>
          <w:sz w:val="20"/>
          <w:lang w:val="en-US"/>
        </w:rPr>
        <w:t>Austria</w:t>
      </w:r>
      <w:r w:rsidR="00904212" w:rsidRPr="00DF3A62">
        <w:rPr>
          <w:sz w:val="20"/>
          <w:lang w:val="en-US"/>
        </w:rPr>
        <w:t xml:space="preserve">; Institute for the Equality of Women and Men, </w:t>
      </w:r>
      <w:r w:rsidR="00904212" w:rsidRPr="00DF3A62">
        <w:rPr>
          <w:b/>
          <w:color w:val="990000"/>
          <w:sz w:val="20"/>
          <w:lang w:val="en-US"/>
        </w:rPr>
        <w:t>Belgium</w:t>
      </w:r>
      <w:r w:rsidR="00904212" w:rsidRPr="00DF3A62">
        <w:rPr>
          <w:sz w:val="20"/>
          <w:lang w:val="en-US"/>
        </w:rPr>
        <w:t xml:space="preserve">; Unia (Interfederal Centre for Equal Opportunities), </w:t>
      </w:r>
      <w:r w:rsidR="00904212" w:rsidRPr="00DF3A62">
        <w:rPr>
          <w:b/>
          <w:color w:val="990000"/>
          <w:sz w:val="20"/>
          <w:lang w:val="en-US"/>
        </w:rPr>
        <w:t>Belgium</w:t>
      </w:r>
      <w:r w:rsidR="00904212" w:rsidRPr="00DF3A62">
        <w:rPr>
          <w:sz w:val="20"/>
          <w:lang w:val="en-US"/>
        </w:rPr>
        <w:t xml:space="preserve">; Office of the Ombudswoman, </w:t>
      </w:r>
      <w:r w:rsidR="00904212" w:rsidRPr="00DF3A62">
        <w:rPr>
          <w:b/>
          <w:color w:val="990000"/>
          <w:sz w:val="20"/>
          <w:lang w:val="en-US"/>
        </w:rPr>
        <w:t>Croatia</w:t>
      </w:r>
      <w:r w:rsidR="00904212" w:rsidRPr="00DF3A62">
        <w:rPr>
          <w:sz w:val="20"/>
          <w:lang w:val="en-US"/>
        </w:rPr>
        <w:t xml:space="preserve">; Office of the Commissioner for Administration, </w:t>
      </w:r>
      <w:r w:rsidR="00904212" w:rsidRPr="00DF3A62">
        <w:rPr>
          <w:b/>
          <w:color w:val="990000"/>
          <w:sz w:val="20"/>
          <w:lang w:val="en-US"/>
        </w:rPr>
        <w:t>Cyprus</w:t>
      </w:r>
      <w:r w:rsidR="00904212" w:rsidRPr="00DF3A62">
        <w:rPr>
          <w:sz w:val="20"/>
          <w:lang w:val="en-US"/>
        </w:rPr>
        <w:t xml:space="preserve">; Public Defender of Rights, </w:t>
      </w:r>
      <w:r w:rsidR="00904212" w:rsidRPr="00DF3A62">
        <w:rPr>
          <w:b/>
          <w:color w:val="990000"/>
          <w:sz w:val="20"/>
          <w:lang w:val="en-US"/>
        </w:rPr>
        <w:t>Czech Republic</w:t>
      </w:r>
      <w:r w:rsidR="00904212" w:rsidRPr="00DF3A62">
        <w:rPr>
          <w:sz w:val="20"/>
          <w:lang w:val="en-US"/>
        </w:rPr>
        <w:t xml:space="preserve">; Ombudsman for Equality, </w:t>
      </w:r>
      <w:r w:rsidR="00904212" w:rsidRPr="00DF3A62">
        <w:rPr>
          <w:b/>
          <w:color w:val="990000"/>
          <w:sz w:val="20"/>
          <w:lang w:val="en-US"/>
        </w:rPr>
        <w:t>Finland</w:t>
      </w:r>
      <w:r w:rsidR="00904212" w:rsidRPr="00DF3A62">
        <w:rPr>
          <w:sz w:val="20"/>
          <w:lang w:val="en-US"/>
        </w:rPr>
        <w:t xml:space="preserve">; Defender of Rights, </w:t>
      </w:r>
      <w:r w:rsidR="00904212" w:rsidRPr="00DF3A62">
        <w:rPr>
          <w:b/>
          <w:color w:val="990000"/>
          <w:sz w:val="20"/>
          <w:lang w:val="en-US"/>
        </w:rPr>
        <w:t>France</w:t>
      </w:r>
      <w:r w:rsidR="00904212" w:rsidRPr="00DF3A62">
        <w:rPr>
          <w:sz w:val="20"/>
          <w:lang w:val="en-US"/>
        </w:rPr>
        <w:t xml:space="preserve">; Federal Anti-Discrimination Agency (FADA), </w:t>
      </w:r>
      <w:r w:rsidR="00904212" w:rsidRPr="00DF3A62">
        <w:rPr>
          <w:b/>
          <w:color w:val="990000"/>
          <w:sz w:val="20"/>
          <w:lang w:val="en-US"/>
        </w:rPr>
        <w:t>Germany</w:t>
      </w:r>
      <w:r w:rsidR="00904212" w:rsidRPr="00DF3A62">
        <w:rPr>
          <w:sz w:val="20"/>
          <w:lang w:val="en-US"/>
        </w:rPr>
        <w:t xml:space="preserve">; Greek Ombudsman, </w:t>
      </w:r>
      <w:r w:rsidR="00904212" w:rsidRPr="00DF3A62">
        <w:rPr>
          <w:b/>
          <w:color w:val="990000"/>
          <w:sz w:val="20"/>
          <w:lang w:val="en-US"/>
        </w:rPr>
        <w:t>Greece</w:t>
      </w:r>
      <w:r w:rsidR="00904212" w:rsidRPr="00DF3A62">
        <w:rPr>
          <w:sz w:val="20"/>
          <w:lang w:val="en-US"/>
        </w:rPr>
        <w:t xml:space="preserve">; Office of the Commissioner for Fundamental Rights, </w:t>
      </w:r>
      <w:r w:rsidR="00904212" w:rsidRPr="00DF3A62">
        <w:rPr>
          <w:b/>
          <w:color w:val="990000"/>
          <w:sz w:val="20"/>
          <w:lang w:val="en-US"/>
        </w:rPr>
        <w:t>Hungary</w:t>
      </w:r>
      <w:r w:rsidR="00904212" w:rsidRPr="00DF3A62">
        <w:rPr>
          <w:sz w:val="20"/>
          <w:lang w:val="en-US"/>
        </w:rPr>
        <w:t>; Irish Human Rights a</w:t>
      </w:r>
      <w:r w:rsidR="00B702E9" w:rsidRPr="00DF3A62">
        <w:rPr>
          <w:sz w:val="20"/>
          <w:lang w:val="en-US"/>
        </w:rPr>
        <w:t xml:space="preserve">nd Equality Commission, </w:t>
      </w:r>
      <w:r w:rsidR="00B702E9" w:rsidRPr="00DF3A62">
        <w:rPr>
          <w:b/>
          <w:color w:val="990000"/>
          <w:sz w:val="20"/>
          <w:lang w:val="en-US"/>
        </w:rPr>
        <w:t>Ireland</w:t>
      </w:r>
      <w:r w:rsidR="00B702E9" w:rsidRPr="00DF3A62">
        <w:rPr>
          <w:sz w:val="20"/>
          <w:lang w:val="en-US"/>
        </w:rPr>
        <w:t xml:space="preserve">; Office of the Ombudsman, </w:t>
      </w:r>
      <w:r w:rsidR="00B702E9" w:rsidRPr="00DF3A62">
        <w:rPr>
          <w:b/>
          <w:color w:val="990000"/>
          <w:sz w:val="20"/>
          <w:lang w:val="en-US"/>
        </w:rPr>
        <w:t>Latvia</w:t>
      </w:r>
      <w:r w:rsidR="00B702E9" w:rsidRPr="00DF3A62">
        <w:rPr>
          <w:sz w:val="20"/>
          <w:lang w:val="en-US"/>
        </w:rPr>
        <w:t xml:space="preserve">; National Commission for the Promotion of Equality (NCPE), </w:t>
      </w:r>
      <w:r w:rsidR="00B702E9" w:rsidRPr="00DF3A62">
        <w:rPr>
          <w:b/>
          <w:color w:val="990000"/>
          <w:sz w:val="20"/>
          <w:lang w:val="en-US"/>
        </w:rPr>
        <w:t>Malta</w:t>
      </w:r>
      <w:r w:rsidR="00B702E9" w:rsidRPr="00DF3A62">
        <w:rPr>
          <w:sz w:val="20"/>
          <w:lang w:val="en-US"/>
        </w:rPr>
        <w:t xml:space="preserve">; Commissioner for Human Rights, </w:t>
      </w:r>
      <w:r w:rsidR="00B702E9" w:rsidRPr="00DF3A62">
        <w:rPr>
          <w:b/>
          <w:color w:val="990000"/>
          <w:sz w:val="20"/>
          <w:lang w:val="en-US"/>
        </w:rPr>
        <w:t>Poland</w:t>
      </w:r>
      <w:r w:rsidR="00B702E9" w:rsidRPr="00DF3A62">
        <w:rPr>
          <w:sz w:val="20"/>
          <w:lang w:val="en-US"/>
        </w:rPr>
        <w:t xml:space="preserve">; Commission for Citizenship and Gender Equality (CIG), </w:t>
      </w:r>
      <w:r w:rsidR="00B702E9" w:rsidRPr="00DF3A62">
        <w:rPr>
          <w:b/>
          <w:color w:val="990000"/>
          <w:sz w:val="20"/>
          <w:lang w:val="en-US"/>
        </w:rPr>
        <w:t>Portugal</w:t>
      </w:r>
      <w:r w:rsidR="00B702E9" w:rsidRPr="00DF3A62">
        <w:rPr>
          <w:sz w:val="20"/>
          <w:lang w:val="en-US"/>
        </w:rPr>
        <w:t xml:space="preserve">; National Commission for Combating Discrimination (CNCD), </w:t>
      </w:r>
      <w:r w:rsidR="00B702E9" w:rsidRPr="00DF3A62">
        <w:rPr>
          <w:b/>
          <w:color w:val="990000"/>
          <w:sz w:val="20"/>
          <w:lang w:val="en-US"/>
        </w:rPr>
        <w:t>Romania</w:t>
      </w:r>
      <w:r w:rsidR="00B702E9" w:rsidRPr="00DF3A62">
        <w:rPr>
          <w:sz w:val="20"/>
          <w:lang w:val="en-US"/>
        </w:rPr>
        <w:t xml:space="preserve">; Commissioner for Protection of Equality, </w:t>
      </w:r>
      <w:r w:rsidR="00B702E9" w:rsidRPr="00DF3A62">
        <w:rPr>
          <w:b/>
          <w:color w:val="990000"/>
          <w:sz w:val="20"/>
          <w:lang w:val="en-US"/>
        </w:rPr>
        <w:t>Serbia</w:t>
      </w:r>
      <w:r w:rsidR="00B702E9" w:rsidRPr="00DF3A62">
        <w:rPr>
          <w:sz w:val="20"/>
          <w:lang w:val="en-US"/>
        </w:rPr>
        <w:t xml:space="preserve">; National Centre for Human Rights, </w:t>
      </w:r>
      <w:r w:rsidR="00B702E9" w:rsidRPr="00DF3A62">
        <w:rPr>
          <w:b/>
          <w:color w:val="990000"/>
          <w:sz w:val="20"/>
          <w:lang w:val="en-US"/>
        </w:rPr>
        <w:t>Slovakia</w:t>
      </w:r>
      <w:r w:rsidR="00B702E9" w:rsidRPr="00DF3A62">
        <w:rPr>
          <w:sz w:val="20"/>
          <w:lang w:val="en-US"/>
        </w:rPr>
        <w:t xml:space="preserve">; Equality Ombudsman, </w:t>
      </w:r>
      <w:r w:rsidR="00B702E9" w:rsidRPr="00DF3A62">
        <w:rPr>
          <w:b/>
          <w:color w:val="990000"/>
          <w:sz w:val="20"/>
          <w:lang w:val="en-US"/>
        </w:rPr>
        <w:t>Sweden</w:t>
      </w:r>
      <w:r w:rsidR="00B702E9" w:rsidRPr="00DF3A62">
        <w:rPr>
          <w:sz w:val="20"/>
          <w:lang w:val="en-US"/>
        </w:rPr>
        <w:t xml:space="preserve">;  </w:t>
      </w:r>
      <w:r w:rsidR="00904212" w:rsidRPr="00DF3A62">
        <w:rPr>
          <w:sz w:val="20"/>
          <w:lang w:val="en-US"/>
        </w:rPr>
        <w:t xml:space="preserve">Equality and Human Rights Commission, </w:t>
      </w:r>
      <w:r w:rsidR="00904212" w:rsidRPr="00DF3A62">
        <w:rPr>
          <w:b/>
          <w:color w:val="990000"/>
          <w:sz w:val="20"/>
          <w:lang w:val="en-US"/>
        </w:rPr>
        <w:t>UK – Great Britain</w:t>
      </w:r>
      <w:r w:rsidR="00B702E9" w:rsidRPr="00DF3A62">
        <w:rPr>
          <w:sz w:val="20"/>
          <w:lang w:val="en-US"/>
        </w:rPr>
        <w:t xml:space="preserve">; Equality </w:t>
      </w:r>
      <w:r w:rsidR="00B702E9" w:rsidRPr="00DF3A62">
        <w:rPr>
          <w:sz w:val="20"/>
          <w:lang w:val="en-US"/>
        </w:rPr>
        <w:lastRenderedPageBreak/>
        <w:t xml:space="preserve">Commission for Northern Ireland, </w:t>
      </w:r>
      <w:r w:rsidR="00B702E9" w:rsidRPr="00DF3A62">
        <w:rPr>
          <w:b/>
          <w:color w:val="990000"/>
          <w:sz w:val="20"/>
          <w:lang w:val="en-US"/>
        </w:rPr>
        <w:t>UK – Northern Ireland</w:t>
      </w:r>
    </w:p>
    <w:sectPr w:rsidR="00730F17" w:rsidRPr="00EC4CD7" w:rsidSect="000B0ED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Kozuka Gothic Pr6N EL">
    <w:panose1 w:val="00000000000000000000"/>
    <w:charset w:val="80"/>
    <w:family w:val="swiss"/>
    <w:notTrueType/>
    <w:pitch w:val="variable"/>
    <w:sig w:usb0="000002D7" w:usb1="2AC71C11"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D39FA"/>
    <w:multiLevelType w:val="hybridMultilevel"/>
    <w:tmpl w:val="D924CE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4F4516D"/>
    <w:multiLevelType w:val="hybridMultilevel"/>
    <w:tmpl w:val="10226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6F36235"/>
    <w:multiLevelType w:val="hybridMultilevel"/>
    <w:tmpl w:val="A3EABA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80C49A5"/>
    <w:multiLevelType w:val="hybridMultilevel"/>
    <w:tmpl w:val="F2B0FC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E0"/>
    <w:rsid w:val="00004367"/>
    <w:rsid w:val="000324B4"/>
    <w:rsid w:val="00032B43"/>
    <w:rsid w:val="000B004E"/>
    <w:rsid w:val="000B0ED6"/>
    <w:rsid w:val="000F00E1"/>
    <w:rsid w:val="001010BE"/>
    <w:rsid w:val="001154BE"/>
    <w:rsid w:val="00122158"/>
    <w:rsid w:val="00150C07"/>
    <w:rsid w:val="00181D3F"/>
    <w:rsid w:val="001B32B0"/>
    <w:rsid w:val="001B6B5A"/>
    <w:rsid w:val="0021342A"/>
    <w:rsid w:val="00224E91"/>
    <w:rsid w:val="0034084F"/>
    <w:rsid w:val="0035505E"/>
    <w:rsid w:val="00481011"/>
    <w:rsid w:val="00485E31"/>
    <w:rsid w:val="004A0B4A"/>
    <w:rsid w:val="004B30E0"/>
    <w:rsid w:val="004F4B6E"/>
    <w:rsid w:val="005C7041"/>
    <w:rsid w:val="005D77EB"/>
    <w:rsid w:val="006113F8"/>
    <w:rsid w:val="00622D57"/>
    <w:rsid w:val="00646A9A"/>
    <w:rsid w:val="006607A4"/>
    <w:rsid w:val="006C19EA"/>
    <w:rsid w:val="007245E3"/>
    <w:rsid w:val="00730F17"/>
    <w:rsid w:val="00771C15"/>
    <w:rsid w:val="00785ED9"/>
    <w:rsid w:val="00840E82"/>
    <w:rsid w:val="00866864"/>
    <w:rsid w:val="008E7A94"/>
    <w:rsid w:val="00904212"/>
    <w:rsid w:val="009522FA"/>
    <w:rsid w:val="009F553C"/>
    <w:rsid w:val="00A33BB2"/>
    <w:rsid w:val="00A5470D"/>
    <w:rsid w:val="00A611AD"/>
    <w:rsid w:val="00A71B2A"/>
    <w:rsid w:val="00AA1A6F"/>
    <w:rsid w:val="00AB3EF5"/>
    <w:rsid w:val="00AD4B1F"/>
    <w:rsid w:val="00B013B2"/>
    <w:rsid w:val="00B0471D"/>
    <w:rsid w:val="00B47E47"/>
    <w:rsid w:val="00B702E9"/>
    <w:rsid w:val="00B843E7"/>
    <w:rsid w:val="00BB027E"/>
    <w:rsid w:val="00BB5184"/>
    <w:rsid w:val="00BC3D12"/>
    <w:rsid w:val="00BD3588"/>
    <w:rsid w:val="00BE654B"/>
    <w:rsid w:val="00C81D5A"/>
    <w:rsid w:val="00CB321A"/>
    <w:rsid w:val="00CB6E3D"/>
    <w:rsid w:val="00CB7F73"/>
    <w:rsid w:val="00CE17EC"/>
    <w:rsid w:val="00CE5D31"/>
    <w:rsid w:val="00D0713C"/>
    <w:rsid w:val="00D25459"/>
    <w:rsid w:val="00D4114A"/>
    <w:rsid w:val="00D93EB6"/>
    <w:rsid w:val="00DB27ED"/>
    <w:rsid w:val="00DD5935"/>
    <w:rsid w:val="00DE139B"/>
    <w:rsid w:val="00DE4A88"/>
    <w:rsid w:val="00DF29B5"/>
    <w:rsid w:val="00DF3A62"/>
    <w:rsid w:val="00E3066B"/>
    <w:rsid w:val="00EC4CD7"/>
    <w:rsid w:val="00EF2540"/>
    <w:rsid w:val="00EF79E7"/>
    <w:rsid w:val="00F108DE"/>
    <w:rsid w:val="00F151EC"/>
    <w:rsid w:val="00F44FB8"/>
    <w:rsid w:val="00F5170E"/>
    <w:rsid w:val="00F71945"/>
    <w:rsid w:val="00F74E8F"/>
    <w:rsid w:val="00FC2F62"/>
    <w:rsid w:val="00FF44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02FA"/>
  <w15:docId w15:val="{33AD0217-9638-4998-B340-856BAEB4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2540"/>
    <w:pPr>
      <w:spacing w:after="0" w:line="240" w:lineRule="auto"/>
    </w:pPr>
  </w:style>
  <w:style w:type="paragraph" w:styleId="ListParagraph">
    <w:name w:val="List Paragraph"/>
    <w:basedOn w:val="Normal"/>
    <w:uiPriority w:val="34"/>
    <w:qFormat/>
    <w:rsid w:val="000F00E1"/>
    <w:pPr>
      <w:ind w:left="720"/>
      <w:contextualSpacing/>
    </w:pPr>
  </w:style>
  <w:style w:type="character" w:styleId="CommentReference">
    <w:name w:val="annotation reference"/>
    <w:basedOn w:val="DefaultParagraphFont"/>
    <w:uiPriority w:val="99"/>
    <w:semiHidden/>
    <w:unhideWhenUsed/>
    <w:rsid w:val="00224E91"/>
    <w:rPr>
      <w:sz w:val="16"/>
      <w:szCs w:val="16"/>
    </w:rPr>
  </w:style>
  <w:style w:type="paragraph" w:styleId="CommentText">
    <w:name w:val="annotation text"/>
    <w:basedOn w:val="Normal"/>
    <w:link w:val="CommentTextChar"/>
    <w:uiPriority w:val="99"/>
    <w:semiHidden/>
    <w:unhideWhenUsed/>
    <w:rsid w:val="00224E91"/>
    <w:pPr>
      <w:spacing w:line="240" w:lineRule="auto"/>
    </w:pPr>
    <w:rPr>
      <w:sz w:val="20"/>
      <w:szCs w:val="20"/>
    </w:rPr>
  </w:style>
  <w:style w:type="character" w:customStyle="1" w:styleId="CommentTextChar">
    <w:name w:val="Comment Text Char"/>
    <w:basedOn w:val="DefaultParagraphFont"/>
    <w:link w:val="CommentText"/>
    <w:uiPriority w:val="99"/>
    <w:semiHidden/>
    <w:rsid w:val="00224E91"/>
    <w:rPr>
      <w:sz w:val="20"/>
      <w:szCs w:val="20"/>
    </w:rPr>
  </w:style>
  <w:style w:type="paragraph" w:styleId="CommentSubject">
    <w:name w:val="annotation subject"/>
    <w:basedOn w:val="CommentText"/>
    <w:next w:val="CommentText"/>
    <w:link w:val="CommentSubjectChar"/>
    <w:uiPriority w:val="99"/>
    <w:semiHidden/>
    <w:unhideWhenUsed/>
    <w:rsid w:val="00224E91"/>
    <w:rPr>
      <w:b/>
      <w:bCs/>
    </w:rPr>
  </w:style>
  <w:style w:type="character" w:customStyle="1" w:styleId="CommentSubjectChar">
    <w:name w:val="Comment Subject Char"/>
    <w:basedOn w:val="CommentTextChar"/>
    <w:link w:val="CommentSubject"/>
    <w:uiPriority w:val="99"/>
    <w:semiHidden/>
    <w:rsid w:val="00224E91"/>
    <w:rPr>
      <w:b/>
      <w:bCs/>
      <w:sz w:val="20"/>
      <w:szCs w:val="20"/>
    </w:rPr>
  </w:style>
  <w:style w:type="paragraph" w:styleId="BalloonText">
    <w:name w:val="Balloon Text"/>
    <w:basedOn w:val="Normal"/>
    <w:link w:val="BalloonTextChar"/>
    <w:uiPriority w:val="99"/>
    <w:semiHidden/>
    <w:unhideWhenUsed/>
    <w:rsid w:val="00224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D9288-3498-428E-9124-9299A05A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1067</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11</cp:revision>
  <dcterms:created xsi:type="dcterms:W3CDTF">2016-11-07T10:05:00Z</dcterms:created>
  <dcterms:modified xsi:type="dcterms:W3CDTF">2016-11-18T09:14:00Z</dcterms:modified>
</cp:coreProperties>
</file>