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971" w:rsidRDefault="008214D4">
      <w:pPr>
        <w:rPr>
          <w:b/>
        </w:rPr>
      </w:pPr>
      <w:r>
        <w:rPr>
          <w:b/>
        </w:rPr>
        <w:t>Equinet Evaluation Lab Meeting 29 January 2015</w:t>
      </w:r>
    </w:p>
    <w:p w:rsidR="008214D4" w:rsidRDefault="008214D4">
      <w:pPr>
        <w:rPr>
          <w:b/>
        </w:rPr>
      </w:pPr>
    </w:p>
    <w:p w:rsidR="008214D4" w:rsidRDefault="008214D4">
      <w:pPr>
        <w:rPr>
          <w:b/>
        </w:rPr>
      </w:pPr>
      <w:r>
        <w:rPr>
          <w:b/>
        </w:rPr>
        <w:t>Strategic Planning</w:t>
      </w:r>
      <w:r w:rsidR="003648AC">
        <w:rPr>
          <w:b/>
        </w:rPr>
        <w:t xml:space="preserve"> </w:t>
      </w:r>
      <w:proofErr w:type="gramStart"/>
      <w:r w:rsidR="003648AC">
        <w:rPr>
          <w:b/>
        </w:rPr>
        <w:t xml:space="preserve">- </w:t>
      </w:r>
      <w:r>
        <w:rPr>
          <w:b/>
        </w:rPr>
        <w:t xml:space="preserve"> Indicators</w:t>
      </w:r>
      <w:proofErr w:type="gramEnd"/>
      <w:r>
        <w:rPr>
          <w:b/>
        </w:rPr>
        <w:t>, Benchmarks and Targets</w:t>
      </w:r>
    </w:p>
    <w:p w:rsidR="008214D4" w:rsidRDefault="008214D4">
      <w:pPr>
        <w:rPr>
          <w:b/>
        </w:rPr>
      </w:pPr>
    </w:p>
    <w:p w:rsidR="008214D4" w:rsidRDefault="008214D4">
      <w:pPr>
        <w:rPr>
          <w:b/>
        </w:rPr>
      </w:pPr>
      <w:r>
        <w:rPr>
          <w:b/>
        </w:rPr>
        <w:t>Equality Commission for Northern Ireland</w:t>
      </w:r>
    </w:p>
    <w:p w:rsidR="008214D4" w:rsidRDefault="008214D4">
      <w:pPr>
        <w:rPr>
          <w:b/>
        </w:rPr>
      </w:pPr>
    </w:p>
    <w:p w:rsidR="008214D4" w:rsidRDefault="008214D4"/>
    <w:p w:rsidR="008214D4" w:rsidRDefault="008214D4" w:rsidP="008214D4">
      <w:pPr>
        <w:numPr>
          <w:ilvl w:val="0"/>
          <w:numId w:val="1"/>
        </w:numPr>
      </w:pPr>
      <w:r>
        <w:t xml:space="preserve">The Equality Commission is required by our Sponsoring Department, </w:t>
      </w:r>
      <w:r w:rsidR="003648AC">
        <w:t xml:space="preserve">that is, the public service department </w:t>
      </w:r>
      <w:r>
        <w:t xml:space="preserve"> under the Minister, to prepare both a</w:t>
      </w:r>
    </w:p>
    <w:p w:rsidR="008214D4" w:rsidRDefault="008214D4" w:rsidP="008214D4">
      <w:pPr>
        <w:ind w:left="720"/>
      </w:pPr>
    </w:p>
    <w:p w:rsidR="008214D4" w:rsidRDefault="008214D4" w:rsidP="008214D4">
      <w:pPr>
        <w:numPr>
          <w:ilvl w:val="0"/>
          <w:numId w:val="2"/>
        </w:numPr>
      </w:pPr>
      <w:r>
        <w:t>Three year Corporate Plan and</w:t>
      </w:r>
    </w:p>
    <w:p w:rsidR="008214D4" w:rsidRDefault="003648AC" w:rsidP="008214D4">
      <w:pPr>
        <w:numPr>
          <w:ilvl w:val="0"/>
          <w:numId w:val="2"/>
        </w:numPr>
      </w:pPr>
      <w:r>
        <w:t>An annual</w:t>
      </w:r>
      <w:r w:rsidR="008214D4">
        <w:t xml:space="preserve"> Business Plan</w:t>
      </w:r>
    </w:p>
    <w:p w:rsidR="008214D4" w:rsidRDefault="008214D4" w:rsidP="008214D4"/>
    <w:p w:rsidR="001A3F0B" w:rsidRDefault="008214D4" w:rsidP="008214D4">
      <w:pPr>
        <w:ind w:left="709" w:hanging="709"/>
      </w:pPr>
      <w:r>
        <w:tab/>
        <w:t>These are approved by the Sponsoring De</w:t>
      </w:r>
      <w:r w:rsidR="003648AC">
        <w:t>partment and the Department</w:t>
      </w:r>
      <w:r>
        <w:t xml:space="preserve"> is </w:t>
      </w:r>
      <w:r w:rsidR="003648AC">
        <w:t xml:space="preserve">subsequently </w:t>
      </w:r>
      <w:r>
        <w:t>provided</w:t>
      </w:r>
      <w:r w:rsidR="001A3F0B">
        <w:t xml:space="preserve"> with quarterly reports on progress in achieving the objectives set out in these plans. (Given some political turbulence and the appointment of ten new Commissioners to our </w:t>
      </w:r>
      <w:r w:rsidR="003648AC">
        <w:t xml:space="preserve">Executive </w:t>
      </w:r>
      <w:r w:rsidR="001A3F0B">
        <w:t>Board, we had asked the Sponsoring Department for permission to postpone the development of the new Corporate Plan for 2015-18 to 2016-19).</w:t>
      </w:r>
    </w:p>
    <w:p w:rsidR="001A3F0B" w:rsidRDefault="001A3F0B" w:rsidP="008214D4">
      <w:pPr>
        <w:ind w:left="709" w:hanging="709"/>
      </w:pPr>
    </w:p>
    <w:p w:rsidR="001A3F0B" w:rsidRDefault="001A3F0B" w:rsidP="001A3F0B">
      <w:pPr>
        <w:numPr>
          <w:ilvl w:val="0"/>
          <w:numId w:val="1"/>
        </w:numPr>
      </w:pPr>
      <w:r>
        <w:t xml:space="preserve">The </w:t>
      </w:r>
      <w:r w:rsidR="003648AC">
        <w:t xml:space="preserve">draft </w:t>
      </w:r>
      <w:r>
        <w:t xml:space="preserve">Plan for 2016-19 was </w:t>
      </w:r>
      <w:r w:rsidR="003648AC">
        <w:t xml:space="preserve">prepared and it was </w:t>
      </w:r>
      <w:r>
        <w:t>issued for consultation in late December</w:t>
      </w:r>
      <w:r w:rsidR="003648AC">
        <w:t xml:space="preserve"> 2015</w:t>
      </w:r>
      <w:r>
        <w:t xml:space="preserve">.  The consultation draft sets out our Commitment, our Vision, our Mission and Values.  It also includes our principles and reminds readers of our powers and duties.  These </w:t>
      </w:r>
      <w:r w:rsidR="003648AC">
        <w:t xml:space="preserve">duties </w:t>
      </w:r>
      <w:r>
        <w:t xml:space="preserve">are derived from a number of legal statutes over </w:t>
      </w:r>
      <w:r w:rsidR="003648AC">
        <w:t>a 20 year period.  The legal</w:t>
      </w:r>
      <w:r>
        <w:t xml:space="preserve"> framework enables us to advance equality through a range of mechanisms -</w:t>
      </w:r>
    </w:p>
    <w:p w:rsidR="001A3F0B" w:rsidRDefault="001A3F0B" w:rsidP="001A3F0B">
      <w:pPr>
        <w:ind w:left="720"/>
      </w:pPr>
    </w:p>
    <w:p w:rsidR="001A3F0B" w:rsidRDefault="001A3F0B" w:rsidP="001A3F0B">
      <w:pPr>
        <w:numPr>
          <w:ilvl w:val="0"/>
          <w:numId w:val="3"/>
        </w:numPr>
      </w:pPr>
      <w:r>
        <w:t>Providing direct advice and support to individuals</w:t>
      </w:r>
      <w:r w:rsidR="003648AC">
        <w:t xml:space="preserve"> with complaints of discrimination</w:t>
      </w:r>
      <w:r>
        <w:t xml:space="preserve"> </w:t>
      </w:r>
    </w:p>
    <w:p w:rsidR="001A3F0B" w:rsidRDefault="001A3F0B" w:rsidP="001A3F0B">
      <w:pPr>
        <w:numPr>
          <w:ilvl w:val="0"/>
          <w:numId w:val="3"/>
        </w:numPr>
      </w:pPr>
      <w:r>
        <w:t>Assisting organisations to meet the requirements of equality law</w:t>
      </w:r>
    </w:p>
    <w:p w:rsidR="001A3F0B" w:rsidRDefault="001A3F0B" w:rsidP="001A3F0B">
      <w:pPr>
        <w:numPr>
          <w:ilvl w:val="0"/>
          <w:numId w:val="3"/>
        </w:numPr>
      </w:pPr>
      <w:r>
        <w:t>Producing publications, running conferences and seminars</w:t>
      </w:r>
    </w:p>
    <w:p w:rsidR="001A3F0B" w:rsidRDefault="001A3F0B" w:rsidP="001A3F0B">
      <w:pPr>
        <w:numPr>
          <w:ilvl w:val="0"/>
          <w:numId w:val="3"/>
        </w:numPr>
      </w:pPr>
      <w:r>
        <w:t>Undertaking research and education activities</w:t>
      </w:r>
    </w:p>
    <w:p w:rsidR="001A3F0B" w:rsidRDefault="001A3F0B" w:rsidP="003648AC">
      <w:pPr>
        <w:numPr>
          <w:ilvl w:val="0"/>
          <w:numId w:val="3"/>
        </w:numPr>
      </w:pPr>
      <w:r>
        <w:t>Influencing policy makers</w:t>
      </w:r>
    </w:p>
    <w:p w:rsidR="001A3F0B" w:rsidRDefault="001A3F0B" w:rsidP="001A3F0B">
      <w:pPr>
        <w:numPr>
          <w:ilvl w:val="0"/>
          <w:numId w:val="3"/>
        </w:numPr>
      </w:pPr>
      <w:r>
        <w:t>Conducting investigations</w:t>
      </w:r>
    </w:p>
    <w:p w:rsidR="001A3F0B" w:rsidRDefault="001A3F0B" w:rsidP="001A3F0B"/>
    <w:p w:rsidR="001A3F0B" w:rsidRDefault="001A3F0B" w:rsidP="001A3F0B">
      <w:pPr>
        <w:ind w:left="709" w:hanging="709"/>
      </w:pPr>
      <w:r>
        <w:lastRenderedPageBreak/>
        <w:tab/>
        <w:t>We use a combination of our powers to encourage and to enforce changes to policies, practices and procedures in favour of greater equality and good relations.</w:t>
      </w:r>
    </w:p>
    <w:p w:rsidR="001A3F0B" w:rsidRDefault="001A3F0B" w:rsidP="001A3F0B">
      <w:pPr>
        <w:ind w:left="709" w:hanging="709"/>
      </w:pPr>
    </w:p>
    <w:p w:rsidR="001A3F0B" w:rsidRDefault="001A3F0B" w:rsidP="001A3F0B">
      <w:pPr>
        <w:ind w:left="709" w:hanging="709"/>
      </w:pPr>
      <w:r>
        <w:tab/>
        <w:t>We have identified and are currently consulting on four strategic priorities for (2016-19) the next three years.  These are grounded in -</w:t>
      </w:r>
    </w:p>
    <w:p w:rsidR="001A3F0B" w:rsidRDefault="001A3F0B" w:rsidP="001A3F0B">
      <w:pPr>
        <w:ind w:left="709" w:hanging="709"/>
      </w:pPr>
    </w:p>
    <w:p w:rsidR="001A3F0B" w:rsidRDefault="001A3F0B" w:rsidP="001A3F0B">
      <w:pPr>
        <w:numPr>
          <w:ilvl w:val="0"/>
          <w:numId w:val="4"/>
        </w:numPr>
      </w:pPr>
      <w:r>
        <w:t>Our legislative remit</w:t>
      </w:r>
    </w:p>
    <w:p w:rsidR="001A3F0B" w:rsidRDefault="001A3F0B" w:rsidP="001A3F0B">
      <w:pPr>
        <w:numPr>
          <w:ilvl w:val="0"/>
          <w:numId w:val="4"/>
        </w:numPr>
      </w:pPr>
      <w:r>
        <w:t xml:space="preserve">Our continuing duties to individuals </w:t>
      </w:r>
    </w:p>
    <w:p w:rsidR="001A3F0B" w:rsidRDefault="001A3F0B" w:rsidP="001A3F0B">
      <w:pPr>
        <w:numPr>
          <w:ilvl w:val="0"/>
          <w:numId w:val="4"/>
        </w:numPr>
      </w:pPr>
      <w:r>
        <w:t>Our duties to those who have responsibilities under the legislation</w:t>
      </w:r>
    </w:p>
    <w:p w:rsidR="001A3F0B" w:rsidRDefault="001A3F0B" w:rsidP="001A3F0B">
      <w:pPr>
        <w:numPr>
          <w:ilvl w:val="0"/>
          <w:numId w:val="4"/>
        </w:numPr>
      </w:pPr>
      <w:r>
        <w:t>The evidence of key inequalities which we have collected, and continue to collect</w:t>
      </w:r>
    </w:p>
    <w:p w:rsidR="001A3F0B" w:rsidRDefault="001A3F0B" w:rsidP="001A3F0B">
      <w:pPr>
        <w:numPr>
          <w:ilvl w:val="0"/>
          <w:numId w:val="4"/>
        </w:numPr>
      </w:pPr>
      <w:r>
        <w:t>The resources available to us</w:t>
      </w:r>
    </w:p>
    <w:p w:rsidR="001A3F0B" w:rsidRDefault="001A3F0B" w:rsidP="001A3F0B"/>
    <w:p w:rsidR="001A3F0B" w:rsidRDefault="001A3F0B" w:rsidP="001A3F0B">
      <w:pPr>
        <w:numPr>
          <w:ilvl w:val="0"/>
          <w:numId w:val="1"/>
        </w:numPr>
      </w:pPr>
      <w:r>
        <w:t>At present in the development of our three year plan for each priority we have specified the core components of the work we will undertake in order to meet the strategic priorities.</w:t>
      </w:r>
    </w:p>
    <w:p w:rsidR="001A3F0B" w:rsidRDefault="001A3F0B" w:rsidP="001A3F0B"/>
    <w:p w:rsidR="001A3F0B" w:rsidRDefault="003A5749" w:rsidP="001A3F0B">
      <w:pPr>
        <w:numPr>
          <w:ilvl w:val="0"/>
          <w:numId w:val="5"/>
        </w:numPr>
        <w:ind w:firstLine="414"/>
        <w:rPr>
          <w:b/>
        </w:rPr>
      </w:pPr>
      <w:r>
        <w:rPr>
          <w:b/>
        </w:rPr>
        <w:t xml:space="preserve">Champion equality and good relations </w:t>
      </w:r>
    </w:p>
    <w:p w:rsidR="003A5749" w:rsidRDefault="003A5749" w:rsidP="003A5749">
      <w:pPr>
        <w:rPr>
          <w:b/>
        </w:rPr>
      </w:pPr>
    </w:p>
    <w:p w:rsidR="003A5749" w:rsidRDefault="003A5749" w:rsidP="003A5749">
      <w:pPr>
        <w:numPr>
          <w:ilvl w:val="0"/>
          <w:numId w:val="6"/>
        </w:numPr>
      </w:pPr>
      <w:r>
        <w:t>Communicate the importance of the case for equality and good relations in Northern Ireland</w:t>
      </w:r>
    </w:p>
    <w:p w:rsidR="003A5749" w:rsidRDefault="003A5749" w:rsidP="003A5749"/>
    <w:p w:rsidR="003A5749" w:rsidRDefault="003A5749" w:rsidP="003A5749">
      <w:pPr>
        <w:numPr>
          <w:ilvl w:val="0"/>
          <w:numId w:val="7"/>
        </w:numPr>
      </w:pPr>
      <w:r>
        <w:t>Communicate and reinforce the case</w:t>
      </w:r>
      <w:r w:rsidR="003648AC">
        <w:t xml:space="preserve"> for equality</w:t>
      </w:r>
    </w:p>
    <w:p w:rsidR="003A5749" w:rsidRDefault="003A5749" w:rsidP="003A5749">
      <w:pPr>
        <w:numPr>
          <w:ilvl w:val="0"/>
          <w:numId w:val="7"/>
        </w:numPr>
      </w:pPr>
      <w:r>
        <w:t>Work with partners to shape public policy including securing key commitments in the Programme for Government and the full implementation of Northern Ireland equality strategies</w:t>
      </w:r>
    </w:p>
    <w:p w:rsidR="003A5749" w:rsidRDefault="003A5749" w:rsidP="003A5749">
      <w:pPr>
        <w:numPr>
          <w:ilvl w:val="0"/>
          <w:numId w:val="7"/>
        </w:numPr>
      </w:pPr>
      <w:r>
        <w:t>Keep the equality legislation under review and champion a better legislative framework</w:t>
      </w:r>
    </w:p>
    <w:p w:rsidR="003A5749" w:rsidRDefault="003A5749" w:rsidP="003A5749">
      <w:pPr>
        <w:numPr>
          <w:ilvl w:val="0"/>
          <w:numId w:val="7"/>
        </w:numPr>
      </w:pPr>
      <w:r>
        <w:t>Intervene in a number of areas of strategic importance to secure change.</w:t>
      </w:r>
    </w:p>
    <w:p w:rsidR="003A5749" w:rsidRDefault="003A5749" w:rsidP="003A5749"/>
    <w:p w:rsidR="003A5749" w:rsidRPr="003A5749" w:rsidRDefault="003A5749" w:rsidP="003A5749">
      <w:pPr>
        <w:numPr>
          <w:ilvl w:val="0"/>
          <w:numId w:val="5"/>
        </w:numPr>
        <w:ind w:firstLine="414"/>
      </w:pPr>
      <w:r>
        <w:rPr>
          <w:b/>
        </w:rPr>
        <w:t xml:space="preserve">Challenge Inequalities </w:t>
      </w:r>
    </w:p>
    <w:p w:rsidR="003A5749" w:rsidRDefault="003A5749" w:rsidP="003A5749">
      <w:pPr>
        <w:rPr>
          <w:b/>
        </w:rPr>
      </w:pPr>
    </w:p>
    <w:p w:rsidR="003A5749" w:rsidRDefault="003A5749" w:rsidP="003A5749">
      <w:pPr>
        <w:numPr>
          <w:ilvl w:val="0"/>
          <w:numId w:val="6"/>
        </w:numPr>
      </w:pPr>
      <w:r>
        <w:t xml:space="preserve">Research and highlight key inequalities and the link between poverty, social exclusion and inequality </w:t>
      </w:r>
    </w:p>
    <w:p w:rsidR="003A5749" w:rsidRDefault="003A5749" w:rsidP="003A5749"/>
    <w:p w:rsidR="003A5749" w:rsidRDefault="008E3D7A" w:rsidP="003A5749">
      <w:pPr>
        <w:numPr>
          <w:ilvl w:val="0"/>
          <w:numId w:val="7"/>
        </w:numPr>
      </w:pPr>
      <w:r>
        <w:lastRenderedPageBreak/>
        <w:t>Enhance the evidence base and highlight areas for action</w:t>
      </w:r>
    </w:p>
    <w:p w:rsidR="008E3D7A" w:rsidRDefault="008E3D7A" w:rsidP="003A5749">
      <w:pPr>
        <w:numPr>
          <w:ilvl w:val="0"/>
          <w:numId w:val="7"/>
        </w:numPr>
      </w:pPr>
      <w:r>
        <w:t xml:space="preserve">Engage with Government and other stakeholders to mainstream equality considerations and secure our policy recommendations </w:t>
      </w:r>
    </w:p>
    <w:p w:rsidR="008E3D7A" w:rsidRDefault="008E3D7A" w:rsidP="003A5749">
      <w:pPr>
        <w:numPr>
          <w:ilvl w:val="0"/>
          <w:numId w:val="7"/>
        </w:numPr>
      </w:pPr>
      <w:r>
        <w:t xml:space="preserve">Utilise international frameworks such as UNCRPD </w:t>
      </w:r>
    </w:p>
    <w:p w:rsidR="003A5749" w:rsidRDefault="003A5749" w:rsidP="003A5749">
      <w:pPr>
        <w:ind w:left="720"/>
      </w:pPr>
    </w:p>
    <w:p w:rsidR="003A5749" w:rsidRPr="003A5749" w:rsidRDefault="003A5749" w:rsidP="003A5749">
      <w:pPr>
        <w:numPr>
          <w:ilvl w:val="0"/>
          <w:numId w:val="5"/>
        </w:numPr>
        <w:ind w:firstLine="414"/>
      </w:pPr>
      <w:r>
        <w:rPr>
          <w:b/>
        </w:rPr>
        <w:t>Put the legislation to work</w:t>
      </w:r>
    </w:p>
    <w:p w:rsidR="003A5749" w:rsidRDefault="003A5749" w:rsidP="003A5749">
      <w:pPr>
        <w:rPr>
          <w:b/>
        </w:rPr>
      </w:pPr>
    </w:p>
    <w:p w:rsidR="003A5749" w:rsidRDefault="003A5749" w:rsidP="003A5749">
      <w:pPr>
        <w:numPr>
          <w:ilvl w:val="0"/>
          <w:numId w:val="6"/>
        </w:numPr>
      </w:pPr>
      <w:r>
        <w:t>Support, facilitate and challenge public bodies and the private sector to improve their policies and practices</w:t>
      </w:r>
    </w:p>
    <w:p w:rsidR="003A5749" w:rsidRDefault="003A5749" w:rsidP="003A5749"/>
    <w:p w:rsidR="003A5749" w:rsidRDefault="003A5749" w:rsidP="003A5749">
      <w:pPr>
        <w:numPr>
          <w:ilvl w:val="0"/>
          <w:numId w:val="7"/>
        </w:numPr>
      </w:pPr>
      <w:r>
        <w:t xml:space="preserve">Use </w:t>
      </w:r>
      <w:r w:rsidR="003648AC">
        <w:t xml:space="preserve">all </w:t>
      </w:r>
      <w:r>
        <w:t xml:space="preserve">our powers from advice and guidance through to compliance and enforcement </w:t>
      </w:r>
    </w:p>
    <w:p w:rsidR="003A5749" w:rsidRDefault="003A5749" w:rsidP="003A5749">
      <w:pPr>
        <w:numPr>
          <w:ilvl w:val="0"/>
          <w:numId w:val="7"/>
        </w:numPr>
      </w:pPr>
      <w:r>
        <w:t xml:space="preserve">Support employers and service providers to recognise that equality and good relations practices enhance organisational performance </w:t>
      </w:r>
    </w:p>
    <w:p w:rsidR="003A5749" w:rsidRDefault="003648AC" w:rsidP="003A5749">
      <w:pPr>
        <w:numPr>
          <w:ilvl w:val="0"/>
          <w:numId w:val="7"/>
        </w:numPr>
      </w:pPr>
      <w:r>
        <w:t>Use</w:t>
      </w:r>
      <w:r w:rsidR="003A5749">
        <w:t xml:space="preserve"> our powers of enforcement where necessary </w:t>
      </w:r>
    </w:p>
    <w:p w:rsidR="003A5749" w:rsidRDefault="003A5749" w:rsidP="003A5749">
      <w:pPr>
        <w:numPr>
          <w:ilvl w:val="0"/>
          <w:numId w:val="7"/>
        </w:numPr>
      </w:pPr>
      <w:r>
        <w:t xml:space="preserve">Ensure people know their rights under the legislation </w:t>
      </w:r>
    </w:p>
    <w:p w:rsidR="003A5749" w:rsidRDefault="003A5749" w:rsidP="003A5749">
      <w:pPr>
        <w:numPr>
          <w:ilvl w:val="0"/>
          <w:numId w:val="7"/>
        </w:numPr>
      </w:pPr>
      <w:r>
        <w:t>Challenge discrimination by supporting strategic cases</w:t>
      </w:r>
    </w:p>
    <w:p w:rsidR="003A5749" w:rsidRDefault="003A5749" w:rsidP="003A5749">
      <w:pPr>
        <w:numPr>
          <w:ilvl w:val="0"/>
          <w:numId w:val="7"/>
        </w:numPr>
      </w:pPr>
      <w:r>
        <w:t>Undertake investigations of complaints of failures to comply with Equality Schemes.</w:t>
      </w:r>
    </w:p>
    <w:p w:rsidR="003A5749" w:rsidRDefault="003A5749" w:rsidP="003A5749"/>
    <w:p w:rsidR="003A5749" w:rsidRPr="008E3D7A" w:rsidRDefault="008E3D7A" w:rsidP="008E3D7A">
      <w:pPr>
        <w:numPr>
          <w:ilvl w:val="0"/>
          <w:numId w:val="5"/>
        </w:numPr>
        <w:ind w:firstLine="414"/>
      </w:pPr>
      <w:r>
        <w:rPr>
          <w:b/>
        </w:rPr>
        <w:t>Deliver equality effectively and efficiently</w:t>
      </w:r>
    </w:p>
    <w:p w:rsidR="008E3D7A" w:rsidRDefault="008E3D7A" w:rsidP="008E3D7A">
      <w:pPr>
        <w:rPr>
          <w:b/>
        </w:rPr>
      </w:pPr>
    </w:p>
    <w:p w:rsidR="008E3D7A" w:rsidRDefault="008E3D7A" w:rsidP="008E3D7A">
      <w:pPr>
        <w:numPr>
          <w:ilvl w:val="0"/>
          <w:numId w:val="6"/>
        </w:numPr>
      </w:pPr>
      <w:r>
        <w:t>We will meet the challenge of financial constraint through continuous improvement and maximising the use of new technology</w:t>
      </w:r>
    </w:p>
    <w:p w:rsidR="008E3D7A" w:rsidRDefault="008E3D7A" w:rsidP="008E3D7A"/>
    <w:p w:rsidR="008E3D7A" w:rsidRDefault="008E3D7A" w:rsidP="008E3D7A">
      <w:pPr>
        <w:numPr>
          <w:ilvl w:val="0"/>
          <w:numId w:val="7"/>
        </w:numPr>
      </w:pPr>
      <w:r>
        <w:t>A modern, professional and fit for purpose organisation</w:t>
      </w:r>
    </w:p>
    <w:p w:rsidR="008E3D7A" w:rsidRDefault="008E3D7A" w:rsidP="008E3D7A">
      <w:pPr>
        <w:numPr>
          <w:ilvl w:val="0"/>
          <w:numId w:val="7"/>
        </w:numPr>
      </w:pPr>
      <w:r>
        <w:t>Good governance and internal control</w:t>
      </w:r>
    </w:p>
    <w:p w:rsidR="008E3D7A" w:rsidRDefault="008E3D7A" w:rsidP="008E3D7A">
      <w:pPr>
        <w:numPr>
          <w:ilvl w:val="0"/>
          <w:numId w:val="7"/>
        </w:numPr>
      </w:pPr>
      <w:r>
        <w:t>A best practice employer</w:t>
      </w:r>
    </w:p>
    <w:p w:rsidR="008E3D7A" w:rsidRDefault="008E3D7A" w:rsidP="008E3D7A">
      <w:pPr>
        <w:numPr>
          <w:ilvl w:val="0"/>
          <w:numId w:val="7"/>
        </w:numPr>
      </w:pPr>
      <w:r>
        <w:t>Develop and extend online services</w:t>
      </w:r>
    </w:p>
    <w:p w:rsidR="00EF7283" w:rsidRDefault="00EF7283" w:rsidP="00EF7283"/>
    <w:p w:rsidR="00EF7283" w:rsidRDefault="00EF7283">
      <w:r>
        <w:br w:type="page"/>
      </w:r>
    </w:p>
    <w:p w:rsidR="00EF7283" w:rsidRDefault="00EF7283" w:rsidP="00EF7283">
      <w:pPr>
        <w:jc w:val="center"/>
      </w:pPr>
    </w:p>
    <w:p w:rsidR="00EF7283" w:rsidRDefault="00EF7283" w:rsidP="00EF7283">
      <w:pPr>
        <w:rPr>
          <w:b/>
        </w:rPr>
      </w:pPr>
      <w:r>
        <w:rPr>
          <w:b/>
        </w:rPr>
        <w:t xml:space="preserve">Objectives and indicators </w:t>
      </w:r>
    </w:p>
    <w:p w:rsidR="00EF7283" w:rsidRDefault="00EF7283" w:rsidP="00EF7283">
      <w:pPr>
        <w:rPr>
          <w:b/>
        </w:rPr>
      </w:pPr>
    </w:p>
    <w:p w:rsidR="00EF7283" w:rsidRDefault="00EF7283" w:rsidP="00EF7283">
      <w:r>
        <w:t>The following provide an illustration of the range of indicators that will be used to measure progress against the strategic objectives.  Targets will also be developed from these.</w:t>
      </w:r>
    </w:p>
    <w:p w:rsidR="00EF7283" w:rsidRDefault="00EF7283" w:rsidP="00EF7283">
      <w:pPr>
        <w:rPr>
          <w:b/>
        </w:rPr>
      </w:pP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969"/>
        <w:gridCol w:w="4338"/>
      </w:tblGrid>
      <w:tr w:rsidR="00EF7283" w:rsidRPr="00CF7218" w:rsidTr="008E7877">
        <w:tc>
          <w:tcPr>
            <w:tcW w:w="1384" w:type="dxa"/>
            <w:tcBorders>
              <w:top w:val="single" w:sz="4" w:space="0" w:color="auto"/>
              <w:left w:val="single" w:sz="4" w:space="0" w:color="auto"/>
              <w:bottom w:val="single" w:sz="4" w:space="0" w:color="auto"/>
              <w:right w:val="single" w:sz="4" w:space="0" w:color="auto"/>
            </w:tcBorders>
            <w:hideMark/>
          </w:tcPr>
          <w:p w:rsidR="00EF7283" w:rsidRDefault="00EF7283" w:rsidP="008E7877">
            <w:r>
              <w:t>Strategic</w:t>
            </w:r>
          </w:p>
          <w:p w:rsidR="00EF7283" w:rsidRDefault="00EF7283" w:rsidP="008E7877">
            <w:r>
              <w:t xml:space="preserve">priority </w:t>
            </w:r>
          </w:p>
        </w:tc>
        <w:tc>
          <w:tcPr>
            <w:tcW w:w="3969" w:type="dxa"/>
            <w:tcBorders>
              <w:top w:val="single" w:sz="4" w:space="0" w:color="auto"/>
              <w:left w:val="single" w:sz="4" w:space="0" w:color="auto"/>
              <w:bottom w:val="single" w:sz="4" w:space="0" w:color="auto"/>
              <w:right w:val="single" w:sz="4" w:space="0" w:color="auto"/>
            </w:tcBorders>
            <w:hideMark/>
          </w:tcPr>
          <w:p w:rsidR="00EF7283" w:rsidRDefault="00EF7283" w:rsidP="008E7877">
            <w:pPr>
              <w:ind w:left="34"/>
            </w:pPr>
            <w:r>
              <w:t>Objective</w:t>
            </w:r>
          </w:p>
        </w:tc>
        <w:tc>
          <w:tcPr>
            <w:tcW w:w="4338" w:type="dxa"/>
            <w:tcBorders>
              <w:top w:val="single" w:sz="4" w:space="0" w:color="auto"/>
              <w:left w:val="single" w:sz="4" w:space="0" w:color="auto"/>
              <w:bottom w:val="single" w:sz="4" w:space="0" w:color="auto"/>
              <w:right w:val="single" w:sz="4" w:space="0" w:color="auto"/>
            </w:tcBorders>
            <w:hideMark/>
          </w:tcPr>
          <w:p w:rsidR="00EF7283" w:rsidRDefault="00EF7283" w:rsidP="008E7877">
            <w:r>
              <w:t>Illustrative Indicators</w:t>
            </w:r>
          </w:p>
        </w:tc>
      </w:tr>
      <w:tr w:rsidR="00EF7283" w:rsidRPr="00CF7218" w:rsidTr="008E7877">
        <w:trPr>
          <w:trHeight w:val="2145"/>
        </w:trPr>
        <w:tc>
          <w:tcPr>
            <w:tcW w:w="1384" w:type="dxa"/>
            <w:tcBorders>
              <w:top w:val="single" w:sz="4" w:space="0" w:color="auto"/>
              <w:left w:val="single" w:sz="4" w:space="0" w:color="auto"/>
              <w:bottom w:val="single" w:sz="4" w:space="0" w:color="auto"/>
              <w:right w:val="single" w:sz="4" w:space="0" w:color="auto"/>
            </w:tcBorders>
          </w:tcPr>
          <w:p w:rsidR="00EF7283" w:rsidRDefault="00EF7283" w:rsidP="008E7877">
            <w:r>
              <w:t>1</w:t>
            </w:r>
          </w:p>
          <w:p w:rsidR="00EF7283" w:rsidRDefault="00EF7283" w:rsidP="008E7877"/>
          <w:p w:rsidR="00EF7283" w:rsidRDefault="00EF7283" w:rsidP="008E7877"/>
          <w:p w:rsidR="00EF7283" w:rsidRDefault="00EF7283" w:rsidP="008E7877"/>
          <w:p w:rsidR="00EF7283" w:rsidRDefault="00EF7283" w:rsidP="008E7877"/>
        </w:tc>
        <w:tc>
          <w:tcPr>
            <w:tcW w:w="3969" w:type="dxa"/>
            <w:tcBorders>
              <w:top w:val="single" w:sz="4" w:space="0" w:color="auto"/>
              <w:left w:val="single" w:sz="4" w:space="0" w:color="auto"/>
              <w:bottom w:val="single" w:sz="4" w:space="0" w:color="auto"/>
              <w:right w:val="single" w:sz="4" w:space="0" w:color="auto"/>
            </w:tcBorders>
          </w:tcPr>
          <w:p w:rsidR="00EF7283" w:rsidRPr="00CF7218" w:rsidRDefault="00EF7283" w:rsidP="008E7877">
            <w:pPr>
              <w:pStyle w:val="ListParagraph"/>
              <w:autoSpaceDE w:val="0"/>
              <w:autoSpaceDN w:val="0"/>
              <w:adjustRightInd w:val="0"/>
              <w:ind w:left="34"/>
              <w:rPr>
                <w:bCs/>
              </w:rPr>
            </w:pPr>
            <w:r w:rsidRPr="00CF7218">
              <w:rPr>
                <w:bCs/>
              </w:rPr>
              <w:t>Reinforce the case for equality and good relations in Northern Ireland.</w:t>
            </w:r>
          </w:p>
          <w:p w:rsidR="00EF7283" w:rsidRDefault="00EF7283" w:rsidP="008E7877">
            <w:pPr>
              <w:ind w:left="34"/>
            </w:pPr>
          </w:p>
          <w:p w:rsidR="00EF7283" w:rsidRDefault="00EF7283" w:rsidP="008E7877">
            <w:pPr>
              <w:tabs>
                <w:tab w:val="left" w:pos="1404"/>
              </w:tabs>
              <w:ind w:left="34"/>
            </w:pPr>
          </w:p>
        </w:tc>
        <w:tc>
          <w:tcPr>
            <w:tcW w:w="4338" w:type="dxa"/>
            <w:tcBorders>
              <w:top w:val="single" w:sz="4" w:space="0" w:color="auto"/>
              <w:left w:val="single" w:sz="4" w:space="0" w:color="auto"/>
              <w:bottom w:val="single" w:sz="4" w:space="0" w:color="auto"/>
              <w:right w:val="single" w:sz="4" w:space="0" w:color="auto"/>
            </w:tcBorders>
          </w:tcPr>
          <w:p w:rsidR="00EF7283" w:rsidRDefault="00EF7283" w:rsidP="008E7877">
            <w:r>
              <w:t>Commission communications strategy in place and fit for purpose.</w:t>
            </w:r>
          </w:p>
          <w:p w:rsidR="00EF7283" w:rsidRDefault="00EF7283" w:rsidP="008E7877"/>
          <w:p w:rsidR="00EF7283" w:rsidRDefault="00EF7283" w:rsidP="008E7877">
            <w:r>
              <w:t>Level of key stakeholder confidence.</w:t>
            </w:r>
          </w:p>
          <w:p w:rsidR="00EF7283" w:rsidRDefault="00EF7283" w:rsidP="008E7877"/>
          <w:p w:rsidR="00EF7283" w:rsidRDefault="00EF7283" w:rsidP="008E7877"/>
          <w:p w:rsidR="00EF7283" w:rsidRDefault="00EF7283" w:rsidP="008E7877"/>
        </w:tc>
      </w:tr>
      <w:tr w:rsidR="00EF7283" w:rsidRPr="00CF7218" w:rsidTr="008E7877">
        <w:trPr>
          <w:trHeight w:val="1127"/>
        </w:trPr>
        <w:tc>
          <w:tcPr>
            <w:tcW w:w="1384" w:type="dxa"/>
            <w:tcBorders>
              <w:top w:val="single" w:sz="4" w:space="0" w:color="auto"/>
              <w:left w:val="single" w:sz="4" w:space="0" w:color="auto"/>
              <w:bottom w:val="single" w:sz="4" w:space="0" w:color="auto"/>
              <w:right w:val="single" w:sz="4" w:space="0" w:color="auto"/>
            </w:tcBorders>
          </w:tcPr>
          <w:p w:rsidR="00EF7283" w:rsidRDefault="00EF7283" w:rsidP="008E7877"/>
        </w:tc>
        <w:tc>
          <w:tcPr>
            <w:tcW w:w="3969" w:type="dxa"/>
            <w:tcBorders>
              <w:top w:val="single" w:sz="4" w:space="0" w:color="auto"/>
              <w:left w:val="single" w:sz="4" w:space="0" w:color="auto"/>
              <w:bottom w:val="single" w:sz="4" w:space="0" w:color="auto"/>
              <w:right w:val="single" w:sz="4" w:space="0" w:color="auto"/>
            </w:tcBorders>
          </w:tcPr>
          <w:p w:rsidR="00EF7283" w:rsidRDefault="00EF7283" w:rsidP="008E7877">
            <w:pPr>
              <w:pStyle w:val="ListParagraph"/>
              <w:autoSpaceDE w:val="0"/>
              <w:autoSpaceDN w:val="0"/>
              <w:adjustRightInd w:val="0"/>
              <w:ind w:left="34"/>
            </w:pPr>
            <w:r>
              <w:t>Work with strategic partners to influence greater equality and good relations outcomes from key commitments in the Programme for Government.</w:t>
            </w:r>
          </w:p>
          <w:p w:rsidR="00EF7283" w:rsidRPr="00CF7218" w:rsidRDefault="00EF7283" w:rsidP="008E7877">
            <w:pPr>
              <w:pStyle w:val="ListParagraph"/>
              <w:autoSpaceDE w:val="0"/>
              <w:autoSpaceDN w:val="0"/>
              <w:adjustRightInd w:val="0"/>
              <w:ind w:left="34"/>
              <w:rPr>
                <w:bCs/>
              </w:rPr>
            </w:pPr>
          </w:p>
        </w:tc>
        <w:tc>
          <w:tcPr>
            <w:tcW w:w="4338" w:type="dxa"/>
            <w:tcBorders>
              <w:top w:val="single" w:sz="4" w:space="0" w:color="auto"/>
              <w:left w:val="single" w:sz="4" w:space="0" w:color="auto"/>
              <w:bottom w:val="single" w:sz="4" w:space="0" w:color="auto"/>
              <w:right w:val="single" w:sz="4" w:space="0" w:color="auto"/>
            </w:tcBorders>
          </w:tcPr>
          <w:p w:rsidR="00EF7283" w:rsidRDefault="00EF7283" w:rsidP="008E7877">
            <w:r>
              <w:t>Evidence of Commission messages/recommendations supported and used by key stakeholders.</w:t>
            </w:r>
          </w:p>
          <w:p w:rsidR="00EF7283" w:rsidRDefault="00EF7283" w:rsidP="008E7877"/>
        </w:tc>
      </w:tr>
      <w:tr w:rsidR="00EF7283" w:rsidRPr="00CF7218" w:rsidTr="008E7877">
        <w:trPr>
          <w:trHeight w:val="1975"/>
        </w:trPr>
        <w:tc>
          <w:tcPr>
            <w:tcW w:w="1384" w:type="dxa"/>
            <w:tcBorders>
              <w:top w:val="single" w:sz="4" w:space="0" w:color="auto"/>
              <w:left w:val="single" w:sz="4" w:space="0" w:color="auto"/>
              <w:bottom w:val="single" w:sz="4" w:space="0" w:color="auto"/>
              <w:right w:val="single" w:sz="4" w:space="0" w:color="auto"/>
            </w:tcBorders>
          </w:tcPr>
          <w:p w:rsidR="00EF7283" w:rsidRDefault="00EF7283" w:rsidP="008E7877"/>
        </w:tc>
        <w:tc>
          <w:tcPr>
            <w:tcW w:w="3969" w:type="dxa"/>
            <w:tcBorders>
              <w:top w:val="single" w:sz="4" w:space="0" w:color="auto"/>
              <w:left w:val="single" w:sz="4" w:space="0" w:color="auto"/>
              <w:bottom w:val="single" w:sz="4" w:space="0" w:color="auto"/>
              <w:right w:val="single" w:sz="4" w:space="0" w:color="auto"/>
            </w:tcBorders>
          </w:tcPr>
          <w:p w:rsidR="00EF7283" w:rsidRDefault="00EF7283" w:rsidP="008E7877">
            <w:pPr>
              <w:pStyle w:val="zBullet"/>
              <w:numPr>
                <w:ilvl w:val="0"/>
                <w:numId w:val="0"/>
              </w:numPr>
              <w:tabs>
                <w:tab w:val="left" w:pos="720"/>
              </w:tabs>
              <w:ind w:left="34"/>
              <w:rPr>
                <w:lang w:eastAsia="en-GB"/>
              </w:rPr>
            </w:pPr>
            <w:r>
              <w:rPr>
                <w:lang w:eastAsia="en-GB"/>
              </w:rPr>
              <w:t>A more effective and streamlined framework for equality and good relations protections.</w:t>
            </w:r>
          </w:p>
          <w:p w:rsidR="00EF7283" w:rsidRPr="00CF7218" w:rsidRDefault="00EF7283" w:rsidP="008E7877">
            <w:pPr>
              <w:pStyle w:val="ListParagraph"/>
              <w:autoSpaceDE w:val="0"/>
              <w:autoSpaceDN w:val="0"/>
              <w:adjustRightInd w:val="0"/>
              <w:ind w:left="34"/>
              <w:rPr>
                <w:bCs/>
              </w:rPr>
            </w:pPr>
          </w:p>
          <w:p w:rsidR="00EF7283" w:rsidRPr="00CF7218" w:rsidRDefault="00EF7283" w:rsidP="008E7877">
            <w:pPr>
              <w:pStyle w:val="ListParagraph"/>
              <w:autoSpaceDE w:val="0"/>
              <w:autoSpaceDN w:val="0"/>
              <w:adjustRightInd w:val="0"/>
              <w:ind w:left="34"/>
              <w:rPr>
                <w:bCs/>
              </w:rPr>
            </w:pPr>
          </w:p>
          <w:p w:rsidR="00EF7283" w:rsidRPr="00CF7218" w:rsidRDefault="00EF7283" w:rsidP="008E7877">
            <w:pPr>
              <w:pStyle w:val="ListParagraph"/>
              <w:autoSpaceDE w:val="0"/>
              <w:autoSpaceDN w:val="0"/>
              <w:adjustRightInd w:val="0"/>
              <w:ind w:left="34"/>
              <w:rPr>
                <w:bCs/>
              </w:rPr>
            </w:pPr>
          </w:p>
        </w:tc>
        <w:tc>
          <w:tcPr>
            <w:tcW w:w="4338" w:type="dxa"/>
            <w:tcBorders>
              <w:top w:val="single" w:sz="4" w:space="0" w:color="auto"/>
              <w:left w:val="single" w:sz="4" w:space="0" w:color="auto"/>
              <w:bottom w:val="single" w:sz="4" w:space="0" w:color="auto"/>
              <w:right w:val="single" w:sz="4" w:space="0" w:color="auto"/>
            </w:tcBorders>
          </w:tcPr>
          <w:p w:rsidR="00EF7283" w:rsidRDefault="00EF7283" w:rsidP="008E7877">
            <w:r>
              <w:t>Awareness of and support for Commission recommendations.</w:t>
            </w:r>
          </w:p>
          <w:p w:rsidR="00EF7283" w:rsidRDefault="00EF7283" w:rsidP="008E7877"/>
          <w:p w:rsidR="00EF7283" w:rsidRDefault="00EF7283" w:rsidP="008E7877"/>
          <w:p w:rsidR="00EF7283" w:rsidRDefault="00EF7283" w:rsidP="008E7877">
            <w:r>
              <w:t>Number of key improvements secured or committed to.</w:t>
            </w:r>
          </w:p>
          <w:p w:rsidR="00EF7283" w:rsidRDefault="00EF7283" w:rsidP="008E7877">
            <w:pPr>
              <w:tabs>
                <w:tab w:val="left" w:pos="900"/>
              </w:tabs>
            </w:pPr>
            <w:r>
              <w:tab/>
            </w:r>
          </w:p>
        </w:tc>
      </w:tr>
      <w:tr w:rsidR="00EF7283" w:rsidRPr="00CF7218" w:rsidTr="008E7877">
        <w:tc>
          <w:tcPr>
            <w:tcW w:w="1384" w:type="dxa"/>
            <w:tcBorders>
              <w:top w:val="single" w:sz="4" w:space="0" w:color="auto"/>
              <w:left w:val="single" w:sz="4" w:space="0" w:color="auto"/>
              <w:bottom w:val="single" w:sz="4" w:space="0" w:color="auto"/>
              <w:right w:val="single" w:sz="4" w:space="0" w:color="auto"/>
            </w:tcBorders>
          </w:tcPr>
          <w:p w:rsidR="00EF7283" w:rsidRDefault="00EF7283" w:rsidP="008E7877"/>
          <w:p w:rsidR="00EF7283" w:rsidRDefault="00EF7283" w:rsidP="008E7877"/>
          <w:p w:rsidR="00EF7283" w:rsidRDefault="00EF7283" w:rsidP="008E7877"/>
          <w:p w:rsidR="00EF7283" w:rsidRDefault="00EF7283" w:rsidP="008E7877"/>
          <w:p w:rsidR="00EF7283" w:rsidRDefault="00EF7283" w:rsidP="008E7877"/>
          <w:p w:rsidR="00EF7283" w:rsidRDefault="00EF7283" w:rsidP="008E7877"/>
          <w:p w:rsidR="00EF7283" w:rsidRDefault="00EF7283" w:rsidP="008E7877"/>
          <w:p w:rsidR="00EF7283" w:rsidRDefault="00EF7283" w:rsidP="008E7877"/>
          <w:p w:rsidR="00EF7283" w:rsidRDefault="00EF7283" w:rsidP="008E7877"/>
          <w:p w:rsidR="00EF7283" w:rsidRDefault="00EF7283" w:rsidP="008E7877"/>
          <w:p w:rsidR="00EF7283" w:rsidRDefault="00EF7283" w:rsidP="008E7877"/>
          <w:p w:rsidR="00EF7283" w:rsidRDefault="00EF7283" w:rsidP="008E7877"/>
        </w:tc>
        <w:tc>
          <w:tcPr>
            <w:tcW w:w="3969" w:type="dxa"/>
            <w:tcBorders>
              <w:top w:val="single" w:sz="4" w:space="0" w:color="auto"/>
              <w:left w:val="single" w:sz="4" w:space="0" w:color="auto"/>
              <w:bottom w:val="single" w:sz="4" w:space="0" w:color="auto"/>
              <w:right w:val="single" w:sz="4" w:space="0" w:color="auto"/>
            </w:tcBorders>
          </w:tcPr>
          <w:p w:rsidR="00EF7283" w:rsidRPr="00CF7218" w:rsidRDefault="00EF7283" w:rsidP="008E7877">
            <w:pPr>
              <w:pStyle w:val="ListParagraph"/>
              <w:autoSpaceDE w:val="0"/>
              <w:autoSpaceDN w:val="0"/>
              <w:adjustRightInd w:val="0"/>
              <w:ind w:left="34"/>
              <w:rPr>
                <w:bCs/>
              </w:rPr>
            </w:pPr>
            <w:r w:rsidRPr="00CF7218">
              <w:rPr>
                <w:bCs/>
              </w:rPr>
              <w:lastRenderedPageBreak/>
              <w:t xml:space="preserve">Intervene in a number of areas of strategic importance where, through deploying the range of our powers, we are likely to secure change or challenge practices.   </w:t>
            </w:r>
          </w:p>
          <w:p w:rsidR="00EF7283" w:rsidRPr="00CF7218" w:rsidRDefault="00EF7283" w:rsidP="008E7877">
            <w:pPr>
              <w:pStyle w:val="ListParagraph"/>
              <w:autoSpaceDE w:val="0"/>
              <w:autoSpaceDN w:val="0"/>
              <w:adjustRightInd w:val="0"/>
              <w:ind w:left="34"/>
              <w:rPr>
                <w:bCs/>
              </w:rPr>
            </w:pPr>
          </w:p>
          <w:p w:rsidR="00EF7283" w:rsidRPr="00CF7218" w:rsidRDefault="00EF7283" w:rsidP="008E7877">
            <w:pPr>
              <w:pStyle w:val="ListParagraph"/>
              <w:autoSpaceDE w:val="0"/>
              <w:autoSpaceDN w:val="0"/>
              <w:adjustRightInd w:val="0"/>
              <w:ind w:left="34"/>
              <w:rPr>
                <w:bCs/>
              </w:rPr>
            </w:pPr>
          </w:p>
          <w:p w:rsidR="00EF7283" w:rsidRPr="00CF7218" w:rsidRDefault="00EF7283" w:rsidP="008E7877">
            <w:pPr>
              <w:pStyle w:val="ListParagraph"/>
              <w:autoSpaceDE w:val="0"/>
              <w:autoSpaceDN w:val="0"/>
              <w:adjustRightInd w:val="0"/>
              <w:ind w:left="34"/>
              <w:rPr>
                <w:bCs/>
              </w:rPr>
            </w:pPr>
          </w:p>
        </w:tc>
        <w:tc>
          <w:tcPr>
            <w:tcW w:w="4338" w:type="dxa"/>
            <w:tcBorders>
              <w:top w:val="single" w:sz="4" w:space="0" w:color="auto"/>
              <w:left w:val="single" w:sz="4" w:space="0" w:color="auto"/>
              <w:bottom w:val="single" w:sz="4" w:space="0" w:color="auto"/>
              <w:right w:val="single" w:sz="4" w:space="0" w:color="auto"/>
            </w:tcBorders>
            <w:hideMark/>
          </w:tcPr>
          <w:p w:rsidR="00EF7283" w:rsidRDefault="00EF7283" w:rsidP="008E7877">
            <w:r>
              <w:t>Number of interventions and changes made as a result.</w:t>
            </w:r>
          </w:p>
          <w:p w:rsidR="00EF7283" w:rsidRDefault="00EF7283" w:rsidP="008E7877"/>
          <w:p w:rsidR="00EF7283" w:rsidRDefault="00EF7283" w:rsidP="008E7877">
            <w:r>
              <w:t>Improved equality practice arising from the recommendations of the “Expecting Equality” investigation.</w:t>
            </w:r>
          </w:p>
          <w:p w:rsidR="00EF7283" w:rsidRDefault="00EF7283" w:rsidP="008E7877"/>
        </w:tc>
      </w:tr>
      <w:tr w:rsidR="00EF7283" w:rsidRPr="00CF7218" w:rsidTr="008E7877">
        <w:tc>
          <w:tcPr>
            <w:tcW w:w="1384" w:type="dxa"/>
            <w:tcBorders>
              <w:top w:val="single" w:sz="4" w:space="0" w:color="auto"/>
              <w:left w:val="single" w:sz="4" w:space="0" w:color="auto"/>
              <w:bottom w:val="single" w:sz="4" w:space="0" w:color="auto"/>
              <w:right w:val="single" w:sz="4" w:space="0" w:color="auto"/>
            </w:tcBorders>
            <w:hideMark/>
          </w:tcPr>
          <w:p w:rsidR="00EF7283" w:rsidRDefault="00D84E03" w:rsidP="008E7877">
            <w:r>
              <w:rPr>
                <w:noProof/>
                <w:lang w:val="en-US"/>
              </w:rPr>
              <w:lastRenderedPageBreak/>
              <w:pict>
                <v:shapetype id="_x0000_t32" coordsize="21600,21600" o:spt="32" o:oned="t" path="m,l21600,21600e" filled="f">
                  <v:path arrowok="t" fillok="f" o:connecttype="none"/>
                  <o:lock v:ext="edit" shapetype="t"/>
                </v:shapetype>
                <v:shape id="_x0000_s1026" type="#_x0000_t32" style="position:absolute;left:0;text-align:left;margin-left:-5.25pt;margin-top:89.5pt;width:485.25pt;height:0;z-index:251660288;mso-position-horizontal-relative:text;mso-position-vertical-relative:text" o:connectortype="straight"/>
              </w:pict>
            </w:r>
            <w:r w:rsidR="00EF7283">
              <w:t>2</w:t>
            </w:r>
          </w:p>
        </w:tc>
        <w:tc>
          <w:tcPr>
            <w:tcW w:w="3969" w:type="dxa"/>
            <w:tcBorders>
              <w:top w:val="single" w:sz="4" w:space="0" w:color="auto"/>
              <w:left w:val="single" w:sz="4" w:space="0" w:color="auto"/>
              <w:bottom w:val="single" w:sz="4" w:space="0" w:color="auto"/>
              <w:right w:val="single" w:sz="4" w:space="0" w:color="auto"/>
            </w:tcBorders>
          </w:tcPr>
          <w:p w:rsidR="00EF7283" w:rsidRPr="00AA25A9" w:rsidRDefault="00EF7283" w:rsidP="008E7877">
            <w:pPr>
              <w:pStyle w:val="zBullet"/>
              <w:numPr>
                <w:ilvl w:val="0"/>
                <w:numId w:val="0"/>
              </w:numPr>
              <w:tabs>
                <w:tab w:val="left" w:pos="720"/>
              </w:tabs>
              <w:ind w:left="34"/>
              <w:rPr>
                <w:lang w:eastAsia="en-GB"/>
              </w:rPr>
            </w:pPr>
            <w:r w:rsidRPr="00AA25A9">
              <w:rPr>
                <w:lang w:eastAsia="en-GB"/>
              </w:rPr>
              <w:t xml:space="preserve">Focus on where key inequalities remain, enhancing the evidence base and highlighting areas for action </w:t>
            </w:r>
          </w:p>
          <w:p w:rsidR="00EF7283" w:rsidRPr="00AA25A9" w:rsidRDefault="00EF7283" w:rsidP="008E7877">
            <w:pPr>
              <w:pStyle w:val="zBullet"/>
              <w:numPr>
                <w:ilvl w:val="0"/>
                <w:numId w:val="0"/>
              </w:numPr>
              <w:tabs>
                <w:tab w:val="left" w:pos="720"/>
              </w:tabs>
              <w:ind w:left="34"/>
              <w:rPr>
                <w:lang w:eastAsia="en-GB"/>
              </w:rPr>
            </w:pPr>
          </w:p>
          <w:p w:rsidR="00EF7283" w:rsidRPr="00AA25A9" w:rsidRDefault="00EF7283" w:rsidP="008E7877">
            <w:pPr>
              <w:pStyle w:val="zBullet"/>
              <w:numPr>
                <w:ilvl w:val="0"/>
                <w:numId w:val="0"/>
              </w:numPr>
              <w:tabs>
                <w:tab w:val="left" w:pos="720"/>
              </w:tabs>
              <w:ind w:left="34"/>
              <w:rPr>
                <w:lang w:eastAsia="en-GB"/>
              </w:rPr>
            </w:pPr>
          </w:p>
          <w:p w:rsidR="00EF7283" w:rsidRPr="007C63B2" w:rsidRDefault="00EF7283" w:rsidP="008E7877">
            <w:pPr>
              <w:pStyle w:val="zBullet"/>
              <w:numPr>
                <w:ilvl w:val="0"/>
                <w:numId w:val="0"/>
              </w:numPr>
              <w:tabs>
                <w:tab w:val="left" w:pos="720"/>
              </w:tabs>
              <w:ind w:left="34"/>
              <w:rPr>
                <w:highlight w:val="yellow"/>
                <w:lang w:eastAsia="en-GB"/>
              </w:rPr>
            </w:pPr>
            <w:r w:rsidRPr="00AA25A9">
              <w:rPr>
                <w:lang w:eastAsia="en-GB"/>
              </w:rPr>
              <w:t>Engage with and challenge the Executive, government Departments and other key stakeholders to secure adoption of our policy recommendations to address the key inequalities.</w:t>
            </w:r>
          </w:p>
          <w:p w:rsidR="00EF7283" w:rsidRPr="007C63B2" w:rsidRDefault="00EF7283" w:rsidP="008E7877">
            <w:pPr>
              <w:pStyle w:val="zBullet"/>
              <w:numPr>
                <w:ilvl w:val="0"/>
                <w:numId w:val="0"/>
              </w:numPr>
              <w:tabs>
                <w:tab w:val="left" w:pos="720"/>
              </w:tabs>
              <w:ind w:left="34"/>
              <w:rPr>
                <w:highlight w:val="yellow"/>
                <w:lang w:eastAsia="en-GB"/>
              </w:rPr>
            </w:pPr>
          </w:p>
        </w:tc>
        <w:tc>
          <w:tcPr>
            <w:tcW w:w="4338" w:type="dxa"/>
            <w:tcBorders>
              <w:top w:val="single" w:sz="4" w:space="0" w:color="auto"/>
              <w:left w:val="single" w:sz="4" w:space="0" w:color="auto"/>
              <w:bottom w:val="single" w:sz="4" w:space="0" w:color="auto"/>
              <w:right w:val="single" w:sz="4" w:space="0" w:color="auto"/>
            </w:tcBorders>
          </w:tcPr>
          <w:p w:rsidR="00EF7283" w:rsidRPr="00AA25A9" w:rsidRDefault="00EF7283" w:rsidP="008E7877">
            <w:r w:rsidRPr="00AA25A9">
              <w:t xml:space="preserve">Promotion of key inequalities publications and necessary actions </w:t>
            </w:r>
          </w:p>
          <w:p w:rsidR="00EF7283" w:rsidRPr="00AA25A9" w:rsidRDefault="00EF7283" w:rsidP="008E7877"/>
          <w:p w:rsidR="00EF7283" w:rsidRPr="00AA25A9" w:rsidRDefault="00EF7283" w:rsidP="008E7877"/>
          <w:p w:rsidR="00EF7283" w:rsidRPr="00AA25A9" w:rsidRDefault="00EF7283" w:rsidP="008E7877"/>
          <w:p w:rsidR="00EF7283" w:rsidRPr="00AA25A9" w:rsidRDefault="00EF7283" w:rsidP="008E7877"/>
          <w:p w:rsidR="00EF7283" w:rsidRPr="00AA25A9" w:rsidRDefault="00EF7283" w:rsidP="008E7877">
            <w:r w:rsidRPr="00AA25A9">
              <w:t>Evidence of stakeholder acceptance and reference to Commission statements and policy recommendations on key inequalities.</w:t>
            </w:r>
          </w:p>
          <w:p w:rsidR="00EF7283" w:rsidRPr="00AA25A9" w:rsidRDefault="00EF7283" w:rsidP="008E7877"/>
          <w:p w:rsidR="00EF7283" w:rsidRPr="007C63B2" w:rsidRDefault="00EF7283" w:rsidP="008E7877">
            <w:pPr>
              <w:rPr>
                <w:highlight w:val="yellow"/>
              </w:rPr>
            </w:pPr>
            <w:r w:rsidRPr="00AA25A9">
              <w:t>Evidence of progress by the Executive, Departments and stakeholders to address the key inequalities.</w:t>
            </w:r>
          </w:p>
          <w:p w:rsidR="00EF7283" w:rsidRPr="007C63B2" w:rsidRDefault="00EF7283" w:rsidP="008E7877">
            <w:pPr>
              <w:rPr>
                <w:highlight w:val="yellow"/>
              </w:rPr>
            </w:pPr>
          </w:p>
        </w:tc>
      </w:tr>
      <w:tr w:rsidR="00EF7283" w:rsidRPr="00CF7218" w:rsidTr="008E7877">
        <w:tc>
          <w:tcPr>
            <w:tcW w:w="1384" w:type="dxa"/>
            <w:tcBorders>
              <w:top w:val="single" w:sz="4" w:space="0" w:color="auto"/>
              <w:left w:val="single" w:sz="4" w:space="0" w:color="auto"/>
              <w:bottom w:val="single" w:sz="4" w:space="0" w:color="auto"/>
              <w:right w:val="single" w:sz="4" w:space="0" w:color="auto"/>
            </w:tcBorders>
          </w:tcPr>
          <w:p w:rsidR="00EF7283" w:rsidRDefault="00EF7283" w:rsidP="008E7877"/>
        </w:tc>
        <w:tc>
          <w:tcPr>
            <w:tcW w:w="3969" w:type="dxa"/>
            <w:tcBorders>
              <w:top w:val="single" w:sz="4" w:space="0" w:color="auto"/>
              <w:left w:val="single" w:sz="4" w:space="0" w:color="auto"/>
              <w:bottom w:val="single" w:sz="4" w:space="0" w:color="auto"/>
              <w:right w:val="single" w:sz="4" w:space="0" w:color="auto"/>
            </w:tcBorders>
          </w:tcPr>
          <w:p w:rsidR="00EF7283" w:rsidRPr="00B51FF3" w:rsidRDefault="00EF7283" w:rsidP="008E7877">
            <w:pPr>
              <w:pStyle w:val="zBullet"/>
              <w:numPr>
                <w:ilvl w:val="0"/>
                <w:numId w:val="0"/>
              </w:numPr>
              <w:tabs>
                <w:tab w:val="left" w:pos="720"/>
              </w:tabs>
              <w:ind w:left="34"/>
              <w:rPr>
                <w:lang w:eastAsia="en-GB"/>
              </w:rPr>
            </w:pPr>
            <w:r>
              <w:rPr>
                <w:lang w:eastAsia="en-GB"/>
              </w:rPr>
              <w:t>Use the leverage of obligations set out in key international frameworks to advance key Commission policy positions, including fulfilling our remit with NIHRC as the independent mechanism under the UNCRPD.</w:t>
            </w:r>
          </w:p>
        </w:tc>
        <w:tc>
          <w:tcPr>
            <w:tcW w:w="4338" w:type="dxa"/>
            <w:tcBorders>
              <w:top w:val="single" w:sz="4" w:space="0" w:color="auto"/>
              <w:left w:val="single" w:sz="4" w:space="0" w:color="auto"/>
              <w:bottom w:val="single" w:sz="4" w:space="0" w:color="auto"/>
              <w:right w:val="single" w:sz="4" w:space="0" w:color="auto"/>
            </w:tcBorders>
          </w:tcPr>
          <w:p w:rsidR="00EF7283" w:rsidRDefault="00EF7283" w:rsidP="008E7877">
            <w:r>
              <w:t>Evidence of awareness and support for Commission recommendations to selected international mechanisms (priorities: CERD, CEDAW, CRPD).</w:t>
            </w:r>
          </w:p>
          <w:p w:rsidR="00EF7283" w:rsidRDefault="00EF7283" w:rsidP="008E7877"/>
          <w:p w:rsidR="00EF7283" w:rsidRDefault="00EF7283" w:rsidP="008E7877">
            <w:r>
              <w:t>Reflection of Commission recommendations in International Committee concluding comments and recommendations to State parties.</w:t>
            </w:r>
          </w:p>
        </w:tc>
      </w:tr>
      <w:tr w:rsidR="00EF7283" w:rsidRPr="00CF7218" w:rsidTr="008E7877">
        <w:tc>
          <w:tcPr>
            <w:tcW w:w="1384" w:type="dxa"/>
            <w:tcBorders>
              <w:top w:val="single" w:sz="4" w:space="0" w:color="auto"/>
              <w:left w:val="single" w:sz="4" w:space="0" w:color="auto"/>
              <w:bottom w:val="single" w:sz="4" w:space="0" w:color="auto"/>
              <w:right w:val="single" w:sz="4" w:space="0" w:color="auto"/>
            </w:tcBorders>
            <w:hideMark/>
          </w:tcPr>
          <w:p w:rsidR="00EF7283" w:rsidRDefault="00D84E03" w:rsidP="008E7877">
            <w:r>
              <w:rPr>
                <w:noProof/>
                <w:lang w:val="en-US"/>
              </w:rPr>
              <w:pict>
                <v:shape id="_x0000_s1028" type="#_x0000_t32" style="position:absolute;left:0;text-align:left;margin-left:-5.25pt;margin-top:70.2pt;width:485.25pt;height:0;z-index:251662336;mso-position-horizontal-relative:text;mso-position-vertical-relative:text" o:connectortype="straight"/>
              </w:pict>
            </w:r>
            <w:r w:rsidR="00EF7283">
              <w:t>3</w:t>
            </w:r>
          </w:p>
        </w:tc>
        <w:tc>
          <w:tcPr>
            <w:tcW w:w="3969" w:type="dxa"/>
            <w:tcBorders>
              <w:top w:val="single" w:sz="4" w:space="0" w:color="auto"/>
              <w:left w:val="single" w:sz="4" w:space="0" w:color="auto"/>
              <w:bottom w:val="single" w:sz="4" w:space="0" w:color="auto"/>
              <w:right w:val="single" w:sz="4" w:space="0" w:color="auto"/>
            </w:tcBorders>
          </w:tcPr>
          <w:p w:rsidR="00EF7283" w:rsidRDefault="00EF7283" w:rsidP="008E7877">
            <w:pPr>
              <w:autoSpaceDE w:val="0"/>
              <w:autoSpaceDN w:val="0"/>
              <w:adjustRightInd w:val="0"/>
            </w:pPr>
            <w:r>
              <w:t>Supporting high levels of  compliance with legislative requirements and encouraging good practice</w:t>
            </w:r>
          </w:p>
          <w:p w:rsidR="00EF7283" w:rsidRDefault="00EF7283" w:rsidP="008E7877">
            <w:pPr>
              <w:autoSpaceDE w:val="0"/>
              <w:autoSpaceDN w:val="0"/>
              <w:adjustRightInd w:val="0"/>
            </w:pPr>
          </w:p>
          <w:p w:rsidR="00EF7283" w:rsidRDefault="00EF7283" w:rsidP="008E7877">
            <w:pPr>
              <w:pStyle w:val="ListParagraph"/>
              <w:autoSpaceDE w:val="0"/>
              <w:autoSpaceDN w:val="0"/>
              <w:adjustRightInd w:val="0"/>
              <w:ind w:left="34"/>
            </w:pPr>
            <w:r>
              <w:t xml:space="preserve">Maintain awareness and </w:t>
            </w:r>
            <w:r>
              <w:lastRenderedPageBreak/>
              <w:t>acceptance among employers and service providers of the importance of equality and good relations to enhance organisational performance.</w:t>
            </w:r>
          </w:p>
        </w:tc>
        <w:tc>
          <w:tcPr>
            <w:tcW w:w="4338" w:type="dxa"/>
            <w:tcBorders>
              <w:top w:val="single" w:sz="4" w:space="0" w:color="auto"/>
              <w:left w:val="single" w:sz="4" w:space="0" w:color="auto"/>
              <w:bottom w:val="single" w:sz="4" w:space="0" w:color="auto"/>
              <w:right w:val="single" w:sz="4" w:space="0" w:color="auto"/>
            </w:tcBorders>
          </w:tcPr>
          <w:p w:rsidR="00EF7283" w:rsidRPr="00B51FF3" w:rsidRDefault="00EF7283" w:rsidP="008E7877">
            <w:r>
              <w:lastRenderedPageBreak/>
              <w:t>Level of compliance with FETO duties and Equality Scheme and DAP commitments.</w:t>
            </w:r>
          </w:p>
          <w:p w:rsidR="00EF7283" w:rsidRDefault="00EF7283" w:rsidP="008E7877">
            <w:pPr>
              <w:rPr>
                <w:color w:val="FF0000"/>
              </w:rPr>
            </w:pPr>
          </w:p>
          <w:p w:rsidR="00EF7283" w:rsidRDefault="00EF7283" w:rsidP="008E7877">
            <w:pPr>
              <w:rPr>
                <w:color w:val="FF0000"/>
              </w:rPr>
            </w:pPr>
          </w:p>
          <w:p w:rsidR="00EF7283" w:rsidRPr="00030698" w:rsidRDefault="00EF7283" w:rsidP="008E7877">
            <w:pPr>
              <w:rPr>
                <w:color w:val="000000" w:themeColor="text1"/>
              </w:rPr>
            </w:pPr>
            <w:r w:rsidRPr="00030698">
              <w:rPr>
                <w:color w:val="000000" w:themeColor="text1"/>
              </w:rPr>
              <w:t xml:space="preserve">Delivery of effective information </w:t>
            </w:r>
            <w:r w:rsidRPr="00030698">
              <w:rPr>
                <w:color w:val="000000" w:themeColor="text1"/>
              </w:rPr>
              <w:lastRenderedPageBreak/>
              <w:t>and advisory service.</w:t>
            </w:r>
          </w:p>
          <w:p w:rsidR="00EF7283" w:rsidRPr="00030698" w:rsidRDefault="00EF7283" w:rsidP="008E7877">
            <w:pPr>
              <w:rPr>
                <w:color w:val="000000" w:themeColor="text1"/>
              </w:rPr>
            </w:pPr>
          </w:p>
          <w:p w:rsidR="00EF7283" w:rsidRDefault="00EF7283" w:rsidP="008E7877">
            <w:r w:rsidRPr="00030698">
              <w:rPr>
                <w:color w:val="000000" w:themeColor="text1"/>
              </w:rPr>
              <w:t>Provision of</w:t>
            </w:r>
            <w:r>
              <w:rPr>
                <w:color w:val="000000" w:themeColor="text1"/>
              </w:rPr>
              <w:t xml:space="preserve"> good practice</w:t>
            </w:r>
            <w:r w:rsidRPr="00030698">
              <w:rPr>
                <w:color w:val="000000" w:themeColor="text1"/>
              </w:rPr>
              <w:t xml:space="preserve"> examples for responsibility holders.</w:t>
            </w:r>
          </w:p>
        </w:tc>
      </w:tr>
      <w:tr w:rsidR="00EF7283" w:rsidRPr="00CF7218" w:rsidTr="008E7877">
        <w:tc>
          <w:tcPr>
            <w:tcW w:w="1384" w:type="dxa"/>
            <w:tcBorders>
              <w:top w:val="single" w:sz="4" w:space="0" w:color="auto"/>
              <w:left w:val="single" w:sz="4" w:space="0" w:color="auto"/>
              <w:bottom w:val="single" w:sz="4" w:space="0" w:color="auto"/>
              <w:right w:val="single" w:sz="4" w:space="0" w:color="auto"/>
            </w:tcBorders>
          </w:tcPr>
          <w:p w:rsidR="00EF7283" w:rsidRDefault="00EF7283" w:rsidP="008E7877"/>
        </w:tc>
        <w:tc>
          <w:tcPr>
            <w:tcW w:w="3969" w:type="dxa"/>
            <w:tcBorders>
              <w:top w:val="single" w:sz="4" w:space="0" w:color="auto"/>
              <w:left w:val="single" w:sz="4" w:space="0" w:color="auto"/>
              <w:bottom w:val="single" w:sz="4" w:space="0" w:color="auto"/>
              <w:right w:val="single" w:sz="4" w:space="0" w:color="auto"/>
            </w:tcBorders>
            <w:hideMark/>
          </w:tcPr>
          <w:p w:rsidR="00EF7283" w:rsidRPr="001A5B01" w:rsidRDefault="00EF7283" w:rsidP="008E7877">
            <w:pPr>
              <w:pStyle w:val="ListParagraph"/>
              <w:ind w:left="34"/>
            </w:pPr>
            <w:r w:rsidRPr="001A5B01">
              <w:t>Encourage  improvements to organisational practices to address key inequalities and effectively deploy our powers of  compliance and enforcement, where necessary</w:t>
            </w:r>
          </w:p>
        </w:tc>
        <w:tc>
          <w:tcPr>
            <w:tcW w:w="4338" w:type="dxa"/>
            <w:tcBorders>
              <w:top w:val="single" w:sz="4" w:space="0" w:color="auto"/>
              <w:left w:val="single" w:sz="4" w:space="0" w:color="auto"/>
              <w:bottom w:val="single" w:sz="4" w:space="0" w:color="auto"/>
              <w:right w:val="single" w:sz="4" w:space="0" w:color="auto"/>
            </w:tcBorders>
          </w:tcPr>
          <w:p w:rsidR="00EF7283" w:rsidRDefault="00EF7283" w:rsidP="008E7877">
            <w:r>
              <w:t>Evidence of improvements in:</w:t>
            </w:r>
          </w:p>
          <w:p w:rsidR="00EF7283" w:rsidRDefault="00EF7283" w:rsidP="008E7877"/>
          <w:p w:rsidR="00EF7283" w:rsidRDefault="00EF7283" w:rsidP="00EF7283">
            <w:pPr>
              <w:pStyle w:val="ListParagraph"/>
              <w:numPr>
                <w:ilvl w:val="0"/>
                <w:numId w:val="9"/>
              </w:numPr>
            </w:pPr>
            <w:r>
              <w:t>the access to goods, facilities and services for disabled people;</w:t>
            </w:r>
          </w:p>
          <w:p w:rsidR="00EF7283" w:rsidRDefault="00EF7283" w:rsidP="00EF7283">
            <w:pPr>
              <w:pStyle w:val="ListParagraph"/>
              <w:numPr>
                <w:ilvl w:val="0"/>
                <w:numId w:val="9"/>
              </w:numPr>
            </w:pPr>
            <w:r>
              <w:t>disabled people’s access to employment;</w:t>
            </w:r>
          </w:p>
          <w:p w:rsidR="00EF7283" w:rsidRDefault="00EF7283" w:rsidP="00EF7283">
            <w:pPr>
              <w:pStyle w:val="ListParagraph"/>
              <w:numPr>
                <w:ilvl w:val="0"/>
                <w:numId w:val="9"/>
              </w:numPr>
            </w:pPr>
            <w:r>
              <w:t xml:space="preserve"> workplaces free from sectarianism, racism and homophobia;</w:t>
            </w:r>
          </w:p>
          <w:p w:rsidR="00EF7283" w:rsidRDefault="00EF7283" w:rsidP="00EF7283">
            <w:pPr>
              <w:pStyle w:val="ListParagraph"/>
              <w:numPr>
                <w:ilvl w:val="0"/>
                <w:numId w:val="9"/>
              </w:numPr>
            </w:pPr>
            <w:r>
              <w:t>overcoming barriers faced by BME workers;</w:t>
            </w:r>
          </w:p>
          <w:p w:rsidR="00EF7283" w:rsidRDefault="00EF7283" w:rsidP="00EF7283">
            <w:pPr>
              <w:pStyle w:val="ListParagraph"/>
              <w:numPr>
                <w:ilvl w:val="0"/>
                <w:numId w:val="9"/>
              </w:numPr>
            </w:pPr>
            <w:proofErr w:type="gramStart"/>
            <w:r>
              <w:t>women’s</w:t>
            </w:r>
            <w:proofErr w:type="gramEnd"/>
            <w:r>
              <w:t xml:space="preserve"> economic participation.</w:t>
            </w:r>
          </w:p>
          <w:p w:rsidR="00EF7283" w:rsidRDefault="00EF7283" w:rsidP="008E7877"/>
          <w:p w:rsidR="00EF7283" w:rsidRDefault="00EF7283" w:rsidP="008E7877"/>
          <w:p w:rsidR="00EF7283" w:rsidRDefault="00EF7283" w:rsidP="008E7877"/>
        </w:tc>
      </w:tr>
      <w:tr w:rsidR="00EF7283" w:rsidRPr="00CF7218" w:rsidTr="008E7877">
        <w:tc>
          <w:tcPr>
            <w:tcW w:w="1384" w:type="dxa"/>
            <w:tcBorders>
              <w:top w:val="single" w:sz="4" w:space="0" w:color="auto"/>
              <w:left w:val="single" w:sz="4" w:space="0" w:color="auto"/>
              <w:bottom w:val="single" w:sz="4" w:space="0" w:color="auto"/>
              <w:right w:val="single" w:sz="4" w:space="0" w:color="auto"/>
            </w:tcBorders>
          </w:tcPr>
          <w:p w:rsidR="00EF7283" w:rsidRDefault="00EF7283" w:rsidP="008E7877"/>
        </w:tc>
        <w:tc>
          <w:tcPr>
            <w:tcW w:w="3969" w:type="dxa"/>
            <w:tcBorders>
              <w:top w:val="single" w:sz="4" w:space="0" w:color="auto"/>
              <w:left w:val="single" w:sz="4" w:space="0" w:color="auto"/>
              <w:bottom w:val="single" w:sz="4" w:space="0" w:color="auto"/>
              <w:right w:val="single" w:sz="4" w:space="0" w:color="auto"/>
            </w:tcBorders>
            <w:hideMark/>
          </w:tcPr>
          <w:p w:rsidR="00EF7283" w:rsidRDefault="00EF7283" w:rsidP="008E7877">
            <w:pPr>
              <w:pStyle w:val="ListParagraph"/>
              <w:ind w:left="34"/>
            </w:pPr>
            <w:r>
              <w:t>Empower individuals through knowledge of their rights, the remedies and potential resolutions to complaints available under the legislation.</w:t>
            </w:r>
          </w:p>
        </w:tc>
        <w:tc>
          <w:tcPr>
            <w:tcW w:w="4338" w:type="dxa"/>
            <w:tcBorders>
              <w:top w:val="single" w:sz="4" w:space="0" w:color="auto"/>
              <w:left w:val="single" w:sz="4" w:space="0" w:color="auto"/>
              <w:bottom w:val="single" w:sz="4" w:space="0" w:color="auto"/>
              <w:right w:val="single" w:sz="4" w:space="0" w:color="auto"/>
            </w:tcBorders>
          </w:tcPr>
          <w:p w:rsidR="00EF7283" w:rsidRDefault="00EF7283" w:rsidP="008E7877">
            <w:r>
              <w:t>Levels of awareness of individual rights and responsibilities.</w:t>
            </w:r>
          </w:p>
          <w:p w:rsidR="00EF7283" w:rsidRDefault="00EF7283" w:rsidP="008E7877"/>
          <w:p w:rsidR="00EF7283" w:rsidRDefault="00EF7283" w:rsidP="008E7877">
            <w:r>
              <w:t xml:space="preserve">Delivery effective advisory service to individuals for the anti-discrimination legislation and complaints procedures with public authorities and their Equality Schemes. </w:t>
            </w:r>
          </w:p>
          <w:p w:rsidR="00EF7283" w:rsidRDefault="00EF7283" w:rsidP="008E7877"/>
        </w:tc>
      </w:tr>
      <w:tr w:rsidR="00EF7283" w:rsidRPr="00CF7218" w:rsidTr="008E7877">
        <w:tc>
          <w:tcPr>
            <w:tcW w:w="1384" w:type="dxa"/>
            <w:tcBorders>
              <w:top w:val="single" w:sz="4" w:space="0" w:color="auto"/>
              <w:left w:val="single" w:sz="4" w:space="0" w:color="auto"/>
              <w:bottom w:val="single" w:sz="4" w:space="0" w:color="auto"/>
              <w:right w:val="single" w:sz="4" w:space="0" w:color="auto"/>
            </w:tcBorders>
          </w:tcPr>
          <w:p w:rsidR="00EF7283" w:rsidRDefault="00D84E03" w:rsidP="008E7877">
            <w:r>
              <w:rPr>
                <w:noProof/>
                <w:lang w:val="en-US"/>
              </w:rPr>
              <w:pict>
                <v:shape id="_x0000_s1027" type="#_x0000_t32" style="position:absolute;left:0;text-align:left;margin-left:-4.5pt;margin-top:104.5pt;width:485.25pt;height:0;z-index:251661312;mso-position-horizontal-relative:text;mso-position-vertical-relative:text" o:connectortype="straight"/>
              </w:pict>
            </w:r>
          </w:p>
        </w:tc>
        <w:tc>
          <w:tcPr>
            <w:tcW w:w="3969" w:type="dxa"/>
            <w:tcBorders>
              <w:top w:val="single" w:sz="4" w:space="0" w:color="auto"/>
              <w:left w:val="single" w:sz="4" w:space="0" w:color="auto"/>
              <w:bottom w:val="single" w:sz="4" w:space="0" w:color="auto"/>
              <w:right w:val="single" w:sz="4" w:space="0" w:color="auto"/>
            </w:tcBorders>
            <w:hideMark/>
          </w:tcPr>
          <w:p w:rsidR="00EF7283" w:rsidRPr="00AA25A9" w:rsidRDefault="00EF7283" w:rsidP="008E7877">
            <w:pPr>
              <w:pStyle w:val="ListParagraph"/>
              <w:spacing w:after="200"/>
              <w:ind w:left="0"/>
            </w:pPr>
            <w:r w:rsidRPr="00AA25A9">
              <w:t>Challenge unlawful discrimination through the support of strategic cases.</w:t>
            </w:r>
          </w:p>
          <w:p w:rsidR="00EF7283" w:rsidRPr="00AA25A9" w:rsidRDefault="00EF7283" w:rsidP="008E7877">
            <w:pPr>
              <w:pStyle w:val="ListParagraph"/>
              <w:spacing w:after="200"/>
              <w:ind w:left="0"/>
            </w:pPr>
          </w:p>
          <w:p w:rsidR="00EF7283" w:rsidRPr="00AA25A9" w:rsidRDefault="00EF7283" w:rsidP="008E7877">
            <w:pPr>
              <w:pStyle w:val="ListParagraph"/>
              <w:spacing w:after="200"/>
              <w:ind w:left="0"/>
            </w:pPr>
          </w:p>
          <w:p w:rsidR="00EF7283" w:rsidRPr="00AA25A9" w:rsidRDefault="00EF7283" w:rsidP="008E7877">
            <w:pPr>
              <w:pStyle w:val="ListParagraph"/>
              <w:spacing w:after="200"/>
              <w:ind w:left="0"/>
            </w:pPr>
          </w:p>
          <w:p w:rsidR="00EF7283" w:rsidRPr="00AA25A9" w:rsidRDefault="00EF7283" w:rsidP="008E7877">
            <w:pPr>
              <w:pStyle w:val="ListParagraph"/>
              <w:spacing w:after="200"/>
              <w:ind w:left="0"/>
            </w:pPr>
          </w:p>
          <w:p w:rsidR="00EF7283" w:rsidRPr="007C63B2" w:rsidRDefault="00EF7283" w:rsidP="008E7877">
            <w:pPr>
              <w:pStyle w:val="ListParagraph"/>
              <w:spacing w:after="200"/>
              <w:ind w:left="0"/>
              <w:rPr>
                <w:highlight w:val="yellow"/>
              </w:rPr>
            </w:pPr>
            <w:r w:rsidRPr="00AA25A9">
              <w:lastRenderedPageBreak/>
              <w:t>Investigation of complaints of failure to comply with Equality Schemes</w:t>
            </w:r>
          </w:p>
        </w:tc>
        <w:tc>
          <w:tcPr>
            <w:tcW w:w="4338" w:type="dxa"/>
            <w:tcBorders>
              <w:top w:val="single" w:sz="4" w:space="0" w:color="auto"/>
              <w:left w:val="single" w:sz="4" w:space="0" w:color="auto"/>
              <w:bottom w:val="single" w:sz="4" w:space="0" w:color="auto"/>
              <w:right w:val="single" w:sz="4" w:space="0" w:color="auto"/>
            </w:tcBorders>
          </w:tcPr>
          <w:p w:rsidR="00EF7283" w:rsidRPr="00AA25A9" w:rsidRDefault="00EF7283" w:rsidP="008E7877">
            <w:r w:rsidRPr="00AA25A9">
              <w:lastRenderedPageBreak/>
              <w:t>Appropriate redress obtained for complainants.</w:t>
            </w:r>
          </w:p>
          <w:p w:rsidR="00EF7283" w:rsidRPr="00AA25A9" w:rsidRDefault="00EF7283" w:rsidP="008E7877"/>
          <w:p w:rsidR="00EF7283" w:rsidRPr="00AA25A9" w:rsidRDefault="00EF7283" w:rsidP="008E7877">
            <w:r w:rsidRPr="00AA25A9">
              <w:t>Evidence that lessons arising from legal casework have been publicised and adopted.</w:t>
            </w:r>
          </w:p>
          <w:p w:rsidR="00EF7283" w:rsidRPr="00AA25A9" w:rsidRDefault="00EF7283" w:rsidP="008E7877"/>
          <w:p w:rsidR="00EF7283" w:rsidRPr="00AA25A9" w:rsidRDefault="00EF7283" w:rsidP="008E7877">
            <w:r w:rsidRPr="00AA25A9">
              <w:lastRenderedPageBreak/>
              <w:t>Changes made as a result of investigations</w:t>
            </w:r>
          </w:p>
          <w:p w:rsidR="00EF7283" w:rsidRPr="007C63B2" w:rsidRDefault="00EF7283" w:rsidP="008E7877">
            <w:pPr>
              <w:rPr>
                <w:highlight w:val="yellow"/>
              </w:rPr>
            </w:pPr>
          </w:p>
          <w:p w:rsidR="00EF7283" w:rsidRPr="007C63B2" w:rsidRDefault="00EF7283" w:rsidP="008E7877">
            <w:pPr>
              <w:rPr>
                <w:highlight w:val="yellow"/>
              </w:rPr>
            </w:pPr>
          </w:p>
        </w:tc>
      </w:tr>
      <w:tr w:rsidR="00EF7283" w:rsidRPr="00CF7218" w:rsidTr="008E7877">
        <w:tc>
          <w:tcPr>
            <w:tcW w:w="1384" w:type="dxa"/>
            <w:tcBorders>
              <w:top w:val="single" w:sz="4" w:space="0" w:color="auto"/>
              <w:left w:val="single" w:sz="4" w:space="0" w:color="auto"/>
              <w:bottom w:val="single" w:sz="4" w:space="0" w:color="auto"/>
              <w:right w:val="single" w:sz="4" w:space="0" w:color="auto"/>
            </w:tcBorders>
            <w:hideMark/>
          </w:tcPr>
          <w:p w:rsidR="00EF7283" w:rsidRDefault="00EF7283" w:rsidP="008E7877">
            <w:r>
              <w:lastRenderedPageBreak/>
              <w:t>4</w:t>
            </w:r>
          </w:p>
        </w:tc>
        <w:tc>
          <w:tcPr>
            <w:tcW w:w="3969" w:type="dxa"/>
            <w:tcBorders>
              <w:top w:val="single" w:sz="4" w:space="0" w:color="auto"/>
              <w:left w:val="single" w:sz="4" w:space="0" w:color="auto"/>
              <w:bottom w:val="single" w:sz="4" w:space="0" w:color="auto"/>
              <w:right w:val="single" w:sz="4" w:space="0" w:color="auto"/>
            </w:tcBorders>
          </w:tcPr>
          <w:p w:rsidR="00EF7283" w:rsidRDefault="00EF7283" w:rsidP="008E7877">
            <w:pPr>
              <w:pStyle w:val="ListParagraph"/>
              <w:ind w:left="34" w:right="424"/>
            </w:pPr>
            <w:r w:rsidRPr="00CF7218">
              <w:rPr>
                <w:bCs/>
              </w:rPr>
              <w:t>Maintain a</w:t>
            </w:r>
            <w:r>
              <w:t xml:space="preserve"> modern, professional, fit for purpose organisation which provides value for money, while meeting the challenge of reduced funding.</w:t>
            </w:r>
          </w:p>
          <w:p w:rsidR="00EF7283" w:rsidRDefault="00EF7283" w:rsidP="008E7877">
            <w:pPr>
              <w:pStyle w:val="ListParagraph"/>
              <w:autoSpaceDE w:val="0"/>
              <w:autoSpaceDN w:val="0"/>
              <w:adjustRightInd w:val="0"/>
              <w:ind w:left="34"/>
            </w:pPr>
          </w:p>
        </w:tc>
        <w:tc>
          <w:tcPr>
            <w:tcW w:w="4338" w:type="dxa"/>
            <w:tcBorders>
              <w:top w:val="single" w:sz="4" w:space="0" w:color="auto"/>
              <w:left w:val="single" w:sz="4" w:space="0" w:color="auto"/>
              <w:bottom w:val="single" w:sz="4" w:space="0" w:color="auto"/>
              <w:right w:val="single" w:sz="4" w:space="0" w:color="auto"/>
            </w:tcBorders>
          </w:tcPr>
          <w:p w:rsidR="00EF7283" w:rsidRDefault="00EF7283" w:rsidP="008E7877">
            <w:r>
              <w:t>Delivery of business objectives in cost effective manner.</w:t>
            </w:r>
          </w:p>
          <w:p w:rsidR="00EF7283" w:rsidRDefault="00EF7283" w:rsidP="008E7877"/>
          <w:p w:rsidR="00EF7283" w:rsidRDefault="00EF7283" w:rsidP="008E7877">
            <w:r>
              <w:t>Improvements in service delivery.</w:t>
            </w:r>
          </w:p>
          <w:p w:rsidR="00EF7283" w:rsidRDefault="00EF7283" w:rsidP="008E7877"/>
          <w:p w:rsidR="00EF7283" w:rsidRDefault="00EF7283" w:rsidP="008E7877">
            <w:r>
              <w:t>Level of stakeholder satisfaction.</w:t>
            </w:r>
          </w:p>
          <w:p w:rsidR="00EF7283" w:rsidRDefault="00EF7283" w:rsidP="008E7877"/>
          <w:p w:rsidR="00EF7283" w:rsidRDefault="00EF7283" w:rsidP="008E7877">
            <w:r>
              <w:t>Level of savings in accommodation, operational costs, staffing.</w:t>
            </w:r>
          </w:p>
          <w:p w:rsidR="00EF7283" w:rsidRDefault="00EF7283" w:rsidP="008E7877"/>
        </w:tc>
      </w:tr>
      <w:tr w:rsidR="00EF7283" w:rsidTr="008E7877">
        <w:tc>
          <w:tcPr>
            <w:tcW w:w="1384" w:type="dxa"/>
            <w:tcBorders>
              <w:top w:val="single" w:sz="4" w:space="0" w:color="auto"/>
              <w:left w:val="single" w:sz="4" w:space="0" w:color="auto"/>
              <w:bottom w:val="single" w:sz="4" w:space="0" w:color="auto"/>
              <w:right w:val="single" w:sz="4" w:space="0" w:color="auto"/>
            </w:tcBorders>
          </w:tcPr>
          <w:p w:rsidR="00EF7283" w:rsidRDefault="00EF7283" w:rsidP="008E7877">
            <w:pPr>
              <w:spacing w:line="276" w:lineRule="auto"/>
            </w:pPr>
          </w:p>
        </w:tc>
        <w:tc>
          <w:tcPr>
            <w:tcW w:w="3969" w:type="dxa"/>
            <w:tcBorders>
              <w:top w:val="single" w:sz="4" w:space="0" w:color="auto"/>
              <w:left w:val="single" w:sz="4" w:space="0" w:color="auto"/>
              <w:bottom w:val="single" w:sz="4" w:space="0" w:color="auto"/>
              <w:right w:val="single" w:sz="4" w:space="0" w:color="auto"/>
            </w:tcBorders>
          </w:tcPr>
          <w:p w:rsidR="00EF7283" w:rsidRDefault="00EF7283" w:rsidP="008E7877">
            <w:pPr>
              <w:pStyle w:val="ListParagraph"/>
              <w:autoSpaceDE w:val="0"/>
              <w:autoSpaceDN w:val="0"/>
              <w:adjustRightInd w:val="0"/>
              <w:ind w:left="0"/>
              <w:rPr>
                <w:bCs/>
              </w:rPr>
            </w:pPr>
            <w:r>
              <w:rPr>
                <w:bCs/>
              </w:rPr>
              <w:t>Maintain effective corporate governance and internal control.</w:t>
            </w:r>
          </w:p>
          <w:p w:rsidR="00EF7283" w:rsidRDefault="00EF7283" w:rsidP="008E7877">
            <w:pPr>
              <w:spacing w:line="276" w:lineRule="auto"/>
              <w:ind w:left="317"/>
            </w:pPr>
          </w:p>
        </w:tc>
        <w:tc>
          <w:tcPr>
            <w:tcW w:w="4338" w:type="dxa"/>
            <w:tcBorders>
              <w:top w:val="single" w:sz="4" w:space="0" w:color="auto"/>
              <w:left w:val="single" w:sz="4" w:space="0" w:color="auto"/>
              <w:bottom w:val="single" w:sz="4" w:space="0" w:color="auto"/>
              <w:right w:val="single" w:sz="4" w:space="0" w:color="auto"/>
            </w:tcBorders>
            <w:hideMark/>
          </w:tcPr>
          <w:p w:rsidR="00EF7283" w:rsidRDefault="00EF7283" w:rsidP="008E7877">
            <w:pPr>
              <w:spacing w:line="276" w:lineRule="auto"/>
            </w:pPr>
            <w:r>
              <w:t>External and internal audit outcomes</w:t>
            </w:r>
          </w:p>
        </w:tc>
      </w:tr>
      <w:tr w:rsidR="00EF7283" w:rsidRPr="00CF7218" w:rsidTr="008E7877">
        <w:tc>
          <w:tcPr>
            <w:tcW w:w="1384" w:type="dxa"/>
            <w:tcBorders>
              <w:top w:val="single" w:sz="4" w:space="0" w:color="auto"/>
              <w:left w:val="single" w:sz="4" w:space="0" w:color="auto"/>
              <w:bottom w:val="single" w:sz="4" w:space="0" w:color="auto"/>
              <w:right w:val="single" w:sz="4" w:space="0" w:color="auto"/>
            </w:tcBorders>
          </w:tcPr>
          <w:p w:rsidR="00EF7283" w:rsidRDefault="00EF7283" w:rsidP="008E7877">
            <w:pPr>
              <w:tabs>
                <w:tab w:val="center" w:pos="4513"/>
                <w:tab w:val="right" w:pos="9026"/>
              </w:tabs>
            </w:pPr>
          </w:p>
        </w:tc>
        <w:tc>
          <w:tcPr>
            <w:tcW w:w="3969" w:type="dxa"/>
            <w:tcBorders>
              <w:top w:val="single" w:sz="4" w:space="0" w:color="auto"/>
              <w:left w:val="single" w:sz="4" w:space="0" w:color="auto"/>
              <w:bottom w:val="single" w:sz="4" w:space="0" w:color="auto"/>
              <w:right w:val="single" w:sz="4" w:space="0" w:color="auto"/>
            </w:tcBorders>
          </w:tcPr>
          <w:p w:rsidR="00EF7283" w:rsidRPr="00CF7218" w:rsidRDefault="00EF7283" w:rsidP="008E7877">
            <w:pPr>
              <w:pStyle w:val="ListParagraph"/>
              <w:tabs>
                <w:tab w:val="center" w:pos="4513"/>
                <w:tab w:val="right" w:pos="9026"/>
              </w:tabs>
              <w:autoSpaceDE w:val="0"/>
              <w:autoSpaceDN w:val="0"/>
              <w:adjustRightInd w:val="0"/>
              <w:ind w:left="0"/>
              <w:rPr>
                <w:bCs/>
              </w:rPr>
            </w:pPr>
            <w:r w:rsidRPr="00CF7218">
              <w:rPr>
                <w:bCs/>
              </w:rPr>
              <w:t>Demonstrate best practice as an employer and invest in our staff to ensure excellent service delivery.</w:t>
            </w:r>
          </w:p>
          <w:p w:rsidR="00EF7283" w:rsidRDefault="00EF7283" w:rsidP="008E7877">
            <w:pPr>
              <w:tabs>
                <w:tab w:val="center" w:pos="4513"/>
                <w:tab w:val="right" w:pos="9026"/>
              </w:tabs>
              <w:ind w:left="317"/>
            </w:pPr>
          </w:p>
        </w:tc>
        <w:tc>
          <w:tcPr>
            <w:tcW w:w="4338" w:type="dxa"/>
            <w:tcBorders>
              <w:top w:val="single" w:sz="4" w:space="0" w:color="auto"/>
              <w:left w:val="single" w:sz="4" w:space="0" w:color="auto"/>
              <w:bottom w:val="single" w:sz="4" w:space="0" w:color="auto"/>
              <w:right w:val="single" w:sz="4" w:space="0" w:color="auto"/>
            </w:tcBorders>
          </w:tcPr>
          <w:p w:rsidR="00EF7283" w:rsidRDefault="00EF7283" w:rsidP="008E7877">
            <w:pPr>
              <w:tabs>
                <w:tab w:val="center" w:pos="4513"/>
                <w:tab w:val="right" w:pos="9026"/>
              </w:tabs>
            </w:pPr>
            <w:r>
              <w:t>Levels of staff and external stakeholder satisfaction.</w:t>
            </w:r>
          </w:p>
          <w:p w:rsidR="00EF7283" w:rsidRDefault="00EF7283" w:rsidP="008E7877">
            <w:pPr>
              <w:tabs>
                <w:tab w:val="center" w:pos="4513"/>
                <w:tab w:val="right" w:pos="9026"/>
              </w:tabs>
            </w:pPr>
          </w:p>
          <w:p w:rsidR="00EF7283" w:rsidRDefault="00EF7283" w:rsidP="008E7877">
            <w:pPr>
              <w:tabs>
                <w:tab w:val="center" w:pos="4513"/>
                <w:tab w:val="right" w:pos="9026"/>
              </w:tabs>
            </w:pPr>
            <w:r>
              <w:t>Effective leadership and management.</w:t>
            </w:r>
          </w:p>
          <w:p w:rsidR="00EF7283" w:rsidRDefault="00EF7283" w:rsidP="008E7877">
            <w:pPr>
              <w:tabs>
                <w:tab w:val="center" w:pos="4513"/>
                <w:tab w:val="right" w:pos="9026"/>
              </w:tabs>
            </w:pPr>
          </w:p>
          <w:p w:rsidR="00EF7283" w:rsidRDefault="00EF7283" w:rsidP="008E7877">
            <w:pPr>
              <w:tabs>
                <w:tab w:val="center" w:pos="4513"/>
                <w:tab w:val="right" w:pos="9026"/>
              </w:tabs>
            </w:pPr>
            <w:r>
              <w:t>External accreditations maintained or enhanced.</w:t>
            </w:r>
          </w:p>
          <w:p w:rsidR="00EF7283" w:rsidRDefault="00EF7283" w:rsidP="008E7877">
            <w:pPr>
              <w:tabs>
                <w:tab w:val="center" w:pos="4513"/>
                <w:tab w:val="right" w:pos="9026"/>
              </w:tabs>
            </w:pPr>
          </w:p>
        </w:tc>
      </w:tr>
      <w:tr w:rsidR="00EF7283" w:rsidRPr="00CF7218" w:rsidTr="008E7877">
        <w:tc>
          <w:tcPr>
            <w:tcW w:w="1384" w:type="dxa"/>
            <w:tcBorders>
              <w:top w:val="single" w:sz="4" w:space="0" w:color="auto"/>
              <w:left w:val="single" w:sz="4" w:space="0" w:color="auto"/>
              <w:bottom w:val="single" w:sz="4" w:space="0" w:color="auto"/>
              <w:right w:val="single" w:sz="4" w:space="0" w:color="auto"/>
            </w:tcBorders>
          </w:tcPr>
          <w:p w:rsidR="00EF7283" w:rsidRDefault="00EF7283" w:rsidP="008E7877">
            <w:pPr>
              <w:tabs>
                <w:tab w:val="center" w:pos="4513"/>
                <w:tab w:val="right" w:pos="9026"/>
              </w:tabs>
            </w:pPr>
          </w:p>
        </w:tc>
        <w:tc>
          <w:tcPr>
            <w:tcW w:w="3969" w:type="dxa"/>
            <w:tcBorders>
              <w:top w:val="single" w:sz="4" w:space="0" w:color="auto"/>
              <w:left w:val="single" w:sz="4" w:space="0" w:color="auto"/>
              <w:bottom w:val="single" w:sz="4" w:space="0" w:color="auto"/>
              <w:right w:val="single" w:sz="4" w:space="0" w:color="auto"/>
            </w:tcBorders>
          </w:tcPr>
          <w:p w:rsidR="00EF7283" w:rsidRDefault="00EF7283" w:rsidP="008E7877">
            <w:pPr>
              <w:pStyle w:val="ListParagraph"/>
              <w:tabs>
                <w:tab w:val="center" w:pos="4513"/>
                <w:tab w:val="right" w:pos="9026"/>
              </w:tabs>
              <w:autoSpaceDE w:val="0"/>
              <w:autoSpaceDN w:val="0"/>
              <w:adjustRightInd w:val="0"/>
              <w:ind w:left="0"/>
            </w:pPr>
            <w:r w:rsidRPr="00CF7218">
              <w:rPr>
                <w:bCs/>
              </w:rPr>
              <w:t>Develop and extend on-line service delivery</w:t>
            </w:r>
          </w:p>
          <w:p w:rsidR="00EF7283" w:rsidRPr="00CF7218" w:rsidRDefault="00EF7283" w:rsidP="008E7877">
            <w:pPr>
              <w:pStyle w:val="ListParagraph"/>
              <w:tabs>
                <w:tab w:val="center" w:pos="4513"/>
                <w:tab w:val="right" w:pos="9026"/>
              </w:tabs>
              <w:autoSpaceDE w:val="0"/>
              <w:autoSpaceDN w:val="0"/>
              <w:adjustRightInd w:val="0"/>
              <w:ind w:left="317"/>
              <w:rPr>
                <w:bCs/>
              </w:rPr>
            </w:pPr>
          </w:p>
        </w:tc>
        <w:tc>
          <w:tcPr>
            <w:tcW w:w="4338" w:type="dxa"/>
            <w:tcBorders>
              <w:top w:val="single" w:sz="4" w:space="0" w:color="auto"/>
              <w:left w:val="single" w:sz="4" w:space="0" w:color="auto"/>
              <w:bottom w:val="single" w:sz="4" w:space="0" w:color="auto"/>
              <w:right w:val="single" w:sz="4" w:space="0" w:color="auto"/>
            </w:tcBorders>
            <w:hideMark/>
          </w:tcPr>
          <w:p w:rsidR="00EF7283" w:rsidRDefault="00EF7283" w:rsidP="008E7877">
            <w:pPr>
              <w:tabs>
                <w:tab w:val="center" w:pos="4513"/>
                <w:tab w:val="right" w:pos="9026"/>
              </w:tabs>
            </w:pPr>
            <w:r>
              <w:t>Increase in on-line service delivery across key areas of our work.</w:t>
            </w:r>
          </w:p>
        </w:tc>
      </w:tr>
    </w:tbl>
    <w:p w:rsidR="00EF7283" w:rsidRPr="003A5749" w:rsidRDefault="00EF7283" w:rsidP="00EF7283">
      <w:r>
        <w:rPr>
          <w:b/>
        </w:rPr>
        <w:br w:type="page"/>
      </w:r>
    </w:p>
    <w:sectPr w:rsidR="00EF7283" w:rsidRPr="003A5749" w:rsidSect="00EE0811">
      <w:pgSz w:w="12240" w:h="15840" w:code="1"/>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D75B4"/>
    <w:multiLevelType w:val="hybridMultilevel"/>
    <w:tmpl w:val="89DE9FA6"/>
    <w:lvl w:ilvl="0" w:tplc="B180E8F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E640A25"/>
    <w:multiLevelType w:val="hybridMultilevel"/>
    <w:tmpl w:val="9D8A4774"/>
    <w:lvl w:ilvl="0" w:tplc="50C4EE9C">
      <w:start w:val="1"/>
      <w:numFmt w:val="bullet"/>
      <w:lvlText w:val=""/>
      <w:lvlJc w:val="left"/>
      <w:pPr>
        <w:tabs>
          <w:tab w:val="num" w:pos="720"/>
        </w:tabs>
        <w:ind w:left="720" w:hanging="360"/>
      </w:pPr>
      <w:rPr>
        <w:rFonts w:ascii="Symbol" w:hAnsi="Symbol" w:hint="default"/>
      </w:rPr>
    </w:lvl>
    <w:lvl w:ilvl="1" w:tplc="6E08B7E8">
      <w:start w:val="1"/>
      <w:numFmt w:val="bullet"/>
      <w:pStyle w:val="z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257F4357"/>
    <w:multiLevelType w:val="hybridMultilevel"/>
    <w:tmpl w:val="421C8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A260FE7"/>
    <w:multiLevelType w:val="hybridMultilevel"/>
    <w:tmpl w:val="9A1492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95B70B8"/>
    <w:multiLevelType w:val="hybridMultilevel"/>
    <w:tmpl w:val="CEA418B6"/>
    <w:lvl w:ilvl="0" w:tplc="5B72A62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453AD0"/>
    <w:multiLevelType w:val="hybridMultilevel"/>
    <w:tmpl w:val="144C1D46"/>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6">
    <w:nsid w:val="76707060"/>
    <w:multiLevelType w:val="hybridMultilevel"/>
    <w:tmpl w:val="356237B2"/>
    <w:lvl w:ilvl="0" w:tplc="3EC69BD8">
      <w:numFmt w:val="bullet"/>
      <w:lvlText w:val="-"/>
      <w:lvlJc w:val="left"/>
      <w:pPr>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7F11857"/>
    <w:multiLevelType w:val="hybridMultilevel"/>
    <w:tmpl w:val="56929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957A26"/>
    <w:multiLevelType w:val="hybridMultilevel"/>
    <w:tmpl w:val="CA8C114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num w:numId="1">
    <w:abstractNumId w:val="7"/>
  </w:num>
  <w:num w:numId="2">
    <w:abstractNumId w:val="2"/>
  </w:num>
  <w:num w:numId="3">
    <w:abstractNumId w:val="3"/>
  </w:num>
  <w:num w:numId="4">
    <w:abstractNumId w:val="8"/>
  </w:num>
  <w:num w:numId="5">
    <w:abstractNumId w:val="4"/>
  </w:num>
  <w:num w:numId="6">
    <w:abstractNumId w:val="5"/>
  </w:num>
  <w:num w:numId="7">
    <w:abstractNumId w:val="0"/>
  </w:num>
  <w:num w:numId="8">
    <w:abstractNumId w:val="1"/>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028"/>
  <w:defaultTabStop w:val="720"/>
  <w:drawingGridHorizontalSpacing w:val="110"/>
  <w:displayHorizontalDrawingGridEvery w:val="2"/>
  <w:displayVerticalDrawingGridEvery w:val="2"/>
  <w:characterSpacingControl w:val="doNotCompress"/>
  <w:compat/>
  <w:rsids>
    <w:rsidRoot w:val="008214D4"/>
    <w:rsid w:val="000B4953"/>
    <w:rsid w:val="001833FF"/>
    <w:rsid w:val="001A3F0B"/>
    <w:rsid w:val="00250363"/>
    <w:rsid w:val="00304AAE"/>
    <w:rsid w:val="003073B3"/>
    <w:rsid w:val="003648AC"/>
    <w:rsid w:val="00387647"/>
    <w:rsid w:val="003A5749"/>
    <w:rsid w:val="0041252D"/>
    <w:rsid w:val="004712A3"/>
    <w:rsid w:val="004D5C39"/>
    <w:rsid w:val="005C48D4"/>
    <w:rsid w:val="005E4F4A"/>
    <w:rsid w:val="00693258"/>
    <w:rsid w:val="007A269C"/>
    <w:rsid w:val="008214D4"/>
    <w:rsid w:val="00827CBF"/>
    <w:rsid w:val="008E3D7A"/>
    <w:rsid w:val="00964F56"/>
    <w:rsid w:val="00A152E5"/>
    <w:rsid w:val="00AB3BBD"/>
    <w:rsid w:val="00B66CC6"/>
    <w:rsid w:val="00C40B87"/>
    <w:rsid w:val="00C469AF"/>
    <w:rsid w:val="00D75082"/>
    <w:rsid w:val="00D84E03"/>
    <w:rsid w:val="00DF44D1"/>
    <w:rsid w:val="00E30826"/>
    <w:rsid w:val="00E658F6"/>
    <w:rsid w:val="00E96D58"/>
    <w:rsid w:val="00EE0811"/>
    <w:rsid w:val="00EF7283"/>
    <w:rsid w:val="00F347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4" type="connector" idref="#_x0000_s1028"/>
        <o:r id="V:Rule5" type="connector" idref="#_x0000_s1027"/>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8F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283"/>
    <w:pPr>
      <w:ind w:left="720"/>
      <w:contextualSpacing/>
      <w:jc w:val="left"/>
    </w:pPr>
    <w:rPr>
      <w:rFonts w:eastAsia="Times New Roman" w:cs="Arial"/>
      <w:szCs w:val="28"/>
      <w:lang w:eastAsia="en-GB"/>
    </w:rPr>
  </w:style>
  <w:style w:type="paragraph" w:customStyle="1" w:styleId="zBullet">
    <w:name w:val="zBullet"/>
    <w:basedOn w:val="Normal"/>
    <w:rsid w:val="00EF7283"/>
    <w:pPr>
      <w:numPr>
        <w:ilvl w:val="1"/>
        <w:numId w:val="8"/>
      </w:numPr>
      <w:jc w:val="left"/>
    </w:pPr>
    <w:rPr>
      <w:rFonts w:eastAsia="Times New Roman" w:cs="Arial"/>
      <w:iCs/>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8</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elavery</cp:lastModifiedBy>
  <cp:revision>3</cp:revision>
  <dcterms:created xsi:type="dcterms:W3CDTF">2016-01-27T08:16:00Z</dcterms:created>
  <dcterms:modified xsi:type="dcterms:W3CDTF">2016-01-27T13:10:00Z</dcterms:modified>
</cp:coreProperties>
</file>