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1B591" w14:textId="393FF394" w:rsidR="00BF5AD2" w:rsidRPr="00A75231" w:rsidRDefault="00A75231" w:rsidP="009646FA">
      <w:pPr>
        <w:spacing w:after="120" w:line="276" w:lineRule="auto"/>
        <w:jc w:val="center"/>
        <w:rPr>
          <w:rFonts w:ascii="Cambria" w:hAnsi="Cambria"/>
          <w:b/>
          <w:sz w:val="32"/>
          <w:szCs w:val="32"/>
          <w:lang w:val="en-GB"/>
        </w:rPr>
      </w:pPr>
      <w:r w:rsidRPr="00A75231">
        <w:rPr>
          <w:rFonts w:ascii="Cambria" w:hAnsi="Cambria"/>
          <w:b/>
          <w:sz w:val="32"/>
          <w:szCs w:val="32"/>
          <w:lang w:val="en-GB"/>
        </w:rPr>
        <w:t>In Search of Common Indicators for Equality</w:t>
      </w:r>
      <w:r w:rsidR="009646FA">
        <w:rPr>
          <w:rFonts w:ascii="Cambria" w:hAnsi="Cambria"/>
          <w:b/>
          <w:sz w:val="32"/>
          <w:szCs w:val="32"/>
          <w:lang w:val="en-GB"/>
        </w:rPr>
        <w:t xml:space="preserve"> Bodies</w:t>
      </w:r>
    </w:p>
    <w:p w14:paraId="747030F0" w14:textId="7ED3B8C1" w:rsidR="00A75231" w:rsidRDefault="00A75231" w:rsidP="009646FA">
      <w:pPr>
        <w:spacing w:after="120" w:line="276" w:lineRule="auto"/>
        <w:jc w:val="center"/>
        <w:rPr>
          <w:rFonts w:ascii="Cambria" w:hAnsi="Cambria"/>
          <w:b/>
          <w:sz w:val="32"/>
          <w:szCs w:val="32"/>
          <w:lang w:val="en-GB"/>
        </w:rPr>
      </w:pPr>
      <w:r w:rsidRPr="00A75231">
        <w:rPr>
          <w:rFonts w:ascii="Cambria" w:hAnsi="Cambria"/>
          <w:b/>
          <w:sz w:val="32"/>
          <w:szCs w:val="32"/>
          <w:lang w:val="en-GB"/>
        </w:rPr>
        <w:t>A Note from the Equinet Evaluation Lab</w:t>
      </w:r>
    </w:p>
    <w:p w14:paraId="53A342A1" w14:textId="77777777" w:rsidR="009646FA" w:rsidRPr="00A75231" w:rsidRDefault="009646FA" w:rsidP="009646FA">
      <w:pPr>
        <w:spacing w:after="120" w:line="276" w:lineRule="auto"/>
        <w:jc w:val="center"/>
        <w:rPr>
          <w:rFonts w:ascii="Cambria" w:hAnsi="Cambria"/>
          <w:b/>
          <w:sz w:val="32"/>
          <w:szCs w:val="32"/>
          <w:lang w:val="en-GB"/>
        </w:rPr>
      </w:pPr>
    </w:p>
    <w:p w14:paraId="1B63B6FB" w14:textId="2620AB92" w:rsidR="00A75231" w:rsidRDefault="00A75231" w:rsidP="009646FA">
      <w:pPr>
        <w:spacing w:after="120" w:line="276" w:lineRule="auto"/>
        <w:rPr>
          <w:rFonts w:ascii="Cambria" w:hAnsi="Cambria"/>
          <w:b/>
          <w:sz w:val="28"/>
          <w:szCs w:val="28"/>
          <w:lang w:val="en-GB"/>
        </w:rPr>
      </w:pPr>
      <w:r w:rsidRPr="00A75231">
        <w:rPr>
          <w:rFonts w:ascii="Cambria" w:hAnsi="Cambria"/>
          <w:b/>
          <w:sz w:val="28"/>
          <w:szCs w:val="28"/>
          <w:lang w:val="en-GB"/>
        </w:rPr>
        <w:t>Why?</w:t>
      </w:r>
    </w:p>
    <w:p w14:paraId="639F1D8C" w14:textId="39441B8A" w:rsidR="00CF750B" w:rsidRDefault="00CF750B" w:rsidP="009646FA">
      <w:pPr>
        <w:spacing w:after="120" w:line="276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There are </w:t>
      </w:r>
      <w:r w:rsidR="009646FA">
        <w:rPr>
          <w:rFonts w:ascii="Cambria" w:hAnsi="Cambria"/>
          <w:lang w:val="en-GB"/>
        </w:rPr>
        <w:t>a diversity of equality bodies with different mandates, located in different settings, and holding different priorities and theories of change.</w:t>
      </w:r>
    </w:p>
    <w:p w14:paraId="7439B6C0" w14:textId="2146F292" w:rsidR="00CF750B" w:rsidRPr="00CF750B" w:rsidRDefault="009646FA" w:rsidP="009646FA">
      <w:pPr>
        <w:spacing w:after="120" w:line="276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Agreement among equality bodies on a set of s</w:t>
      </w:r>
      <w:r w:rsidR="00CF750B">
        <w:rPr>
          <w:rFonts w:ascii="Cambria" w:hAnsi="Cambria"/>
          <w:lang w:val="en-GB"/>
        </w:rPr>
        <w:t xml:space="preserve">hared core indicators </w:t>
      </w:r>
      <w:r>
        <w:rPr>
          <w:rFonts w:ascii="Cambria" w:hAnsi="Cambria"/>
          <w:lang w:val="en-GB"/>
        </w:rPr>
        <w:t xml:space="preserve">for their work </w:t>
      </w:r>
      <w:r w:rsidR="00CF750B">
        <w:rPr>
          <w:rFonts w:ascii="Cambria" w:hAnsi="Cambria"/>
          <w:lang w:val="en-GB"/>
        </w:rPr>
        <w:t xml:space="preserve">could shape a common approach </w:t>
      </w:r>
      <w:r>
        <w:rPr>
          <w:rFonts w:ascii="Cambria" w:hAnsi="Cambria"/>
          <w:lang w:val="en-GB"/>
        </w:rPr>
        <w:t>and commitment to evaluation</w:t>
      </w:r>
      <w:r w:rsidR="00CF750B">
        <w:rPr>
          <w:rFonts w:ascii="Cambria" w:hAnsi="Cambria"/>
          <w:lang w:val="en-GB"/>
        </w:rPr>
        <w:t xml:space="preserve">; </w:t>
      </w:r>
      <w:r w:rsidR="000D6F2D">
        <w:rPr>
          <w:rFonts w:ascii="Cambria" w:hAnsi="Cambria"/>
          <w:lang w:val="en-GB"/>
        </w:rPr>
        <w:t>create a standard resource</w:t>
      </w:r>
      <w:r>
        <w:rPr>
          <w:rFonts w:ascii="Cambria" w:hAnsi="Cambria"/>
          <w:lang w:val="en-GB"/>
        </w:rPr>
        <w:t xml:space="preserve"> for evaluation and build a common language; </w:t>
      </w:r>
      <w:r w:rsidR="00CF750B">
        <w:rPr>
          <w:rFonts w:ascii="Cambria" w:hAnsi="Cambria"/>
          <w:lang w:val="en-GB"/>
        </w:rPr>
        <w:t>enable</w:t>
      </w:r>
      <w:r>
        <w:rPr>
          <w:rFonts w:ascii="Cambria" w:hAnsi="Cambria"/>
          <w:lang w:val="en-GB"/>
        </w:rPr>
        <w:t xml:space="preserve"> peer learning between</w:t>
      </w:r>
      <w:r w:rsidR="00CF750B">
        <w:rPr>
          <w:rFonts w:ascii="Cambria" w:hAnsi="Cambria"/>
          <w:lang w:val="en-GB"/>
        </w:rPr>
        <w:t xml:space="preserve"> equality bodies</w:t>
      </w:r>
      <w:r>
        <w:rPr>
          <w:rFonts w:ascii="Cambria" w:hAnsi="Cambria"/>
          <w:lang w:val="en-GB"/>
        </w:rPr>
        <w:t xml:space="preserve">; stimulate a focus on impact as well as inputs and outputs; and serve as a </w:t>
      </w:r>
      <w:r w:rsidR="00CF750B">
        <w:rPr>
          <w:rFonts w:ascii="Cambria" w:hAnsi="Cambria"/>
          <w:lang w:val="en-GB"/>
        </w:rPr>
        <w:t>reminder</w:t>
      </w:r>
      <w:r>
        <w:rPr>
          <w:rFonts w:ascii="Cambria" w:hAnsi="Cambria"/>
          <w:lang w:val="en-GB"/>
        </w:rPr>
        <w:t xml:space="preserve"> about the need for</w:t>
      </w:r>
      <w:r w:rsidR="00CF750B">
        <w:rPr>
          <w:rFonts w:ascii="Cambria" w:hAnsi="Cambria"/>
          <w:lang w:val="en-GB"/>
        </w:rPr>
        <w:t xml:space="preserve"> individual, institutional and societal change</w:t>
      </w:r>
      <w:r>
        <w:rPr>
          <w:rFonts w:ascii="Cambria" w:hAnsi="Cambria"/>
          <w:lang w:val="en-GB"/>
        </w:rPr>
        <w:t>.</w:t>
      </w:r>
    </w:p>
    <w:p w14:paraId="5B6F8031" w14:textId="4E62CAE4" w:rsidR="00A75231" w:rsidRDefault="00A75231" w:rsidP="009646FA">
      <w:pPr>
        <w:spacing w:after="120" w:line="276" w:lineRule="auto"/>
        <w:rPr>
          <w:rFonts w:ascii="Cambria" w:hAnsi="Cambria"/>
          <w:b/>
          <w:sz w:val="28"/>
          <w:szCs w:val="28"/>
          <w:lang w:val="en-GB"/>
        </w:rPr>
      </w:pPr>
      <w:r w:rsidRPr="00A75231">
        <w:rPr>
          <w:rFonts w:ascii="Cambria" w:hAnsi="Cambria"/>
          <w:b/>
          <w:sz w:val="28"/>
          <w:szCs w:val="28"/>
          <w:lang w:val="en-GB"/>
        </w:rPr>
        <w:t>How?</w:t>
      </w:r>
    </w:p>
    <w:p w14:paraId="7A300079" w14:textId="4BA087DB" w:rsidR="00A82EEA" w:rsidRDefault="00A82EEA" w:rsidP="009646FA">
      <w:pPr>
        <w:spacing w:after="120" w:line="276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 xml:space="preserve">The </w:t>
      </w:r>
      <w:r w:rsidR="00CF750B">
        <w:rPr>
          <w:rFonts w:ascii="Cambria" w:hAnsi="Cambria"/>
          <w:lang w:val="en-GB"/>
        </w:rPr>
        <w:t xml:space="preserve">2013 </w:t>
      </w:r>
      <w:r>
        <w:rPr>
          <w:rFonts w:ascii="Cambria" w:hAnsi="Cambria"/>
          <w:lang w:val="en-GB"/>
        </w:rPr>
        <w:t xml:space="preserve">Equinet publication on </w:t>
      </w:r>
      <w:r w:rsidR="00CF750B">
        <w:rPr>
          <w:rFonts w:ascii="Cambria" w:hAnsi="Cambria"/>
          <w:lang w:val="en-GB"/>
        </w:rPr>
        <w:t xml:space="preserve">‘Processes and Indicators for Measuring Impact of Equality Bodies’ offers a menu of thirty seven possible indicators that equality bodies could use. </w:t>
      </w:r>
      <w:r w:rsidR="009646FA">
        <w:rPr>
          <w:rFonts w:ascii="Cambria" w:hAnsi="Cambria"/>
          <w:lang w:val="en-GB"/>
        </w:rPr>
        <w:t>This choice respects the diversity of equality bodies and offers a framework within which to fit different mandates, situation, ambitions and understandings.</w:t>
      </w:r>
      <w:r w:rsidR="0030702A">
        <w:rPr>
          <w:rFonts w:ascii="Cambria" w:hAnsi="Cambria"/>
          <w:lang w:val="en-GB"/>
        </w:rPr>
        <w:t xml:space="preserve"> The framework</w:t>
      </w:r>
      <w:r w:rsidR="009646FA">
        <w:rPr>
          <w:rFonts w:ascii="Cambria" w:hAnsi="Cambria"/>
          <w:lang w:val="en-GB"/>
        </w:rPr>
        <w:t xml:space="preserve"> is a useful tool and the indicators selected are comprehensive.</w:t>
      </w:r>
    </w:p>
    <w:p w14:paraId="4A6AA2E7" w14:textId="2D9CDC36" w:rsidR="009646FA" w:rsidRPr="00A82EEA" w:rsidRDefault="009646FA" w:rsidP="009646FA">
      <w:pPr>
        <w:spacing w:after="120" w:line="276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The menu of indicators serves as a source from which to establish a small number of key shared indicators that could be used by all equality bodies.</w:t>
      </w:r>
    </w:p>
    <w:p w14:paraId="0E78FEFC" w14:textId="3F0E7847" w:rsidR="00A75231" w:rsidRDefault="00A75231" w:rsidP="009646FA">
      <w:pPr>
        <w:spacing w:after="120" w:line="276" w:lineRule="auto"/>
        <w:rPr>
          <w:rFonts w:ascii="Cambria" w:hAnsi="Cambria"/>
          <w:b/>
          <w:sz w:val="28"/>
          <w:szCs w:val="28"/>
          <w:lang w:val="en-GB"/>
        </w:rPr>
      </w:pPr>
      <w:r w:rsidRPr="00A75231">
        <w:rPr>
          <w:rFonts w:ascii="Cambria" w:hAnsi="Cambria"/>
          <w:b/>
          <w:sz w:val="28"/>
          <w:szCs w:val="28"/>
          <w:lang w:val="en-GB"/>
        </w:rPr>
        <w:t>Which?</w:t>
      </w:r>
    </w:p>
    <w:p w14:paraId="492E1D4E" w14:textId="56297882" w:rsidR="009646FA" w:rsidRPr="009646FA" w:rsidRDefault="009646FA" w:rsidP="009646FA">
      <w:pPr>
        <w:spacing w:after="120" w:line="276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Five indicators were agreed as a starting</w:t>
      </w:r>
      <w:r w:rsidR="0030702A">
        <w:rPr>
          <w:rFonts w:ascii="Cambria" w:hAnsi="Cambria"/>
          <w:lang w:val="en-GB"/>
        </w:rPr>
        <w:t xml:space="preserve"> point</w:t>
      </w:r>
      <w:bookmarkStart w:id="0" w:name="_GoBack"/>
      <w:bookmarkEnd w:id="0"/>
      <w:r>
        <w:rPr>
          <w:rFonts w:ascii="Cambria" w:hAnsi="Cambria"/>
          <w:lang w:val="en-GB"/>
        </w:rPr>
        <w:t>. They were all impact indicators and they focused on equality bodies as stimulating institutional change and societal change.</w:t>
      </w:r>
    </w:p>
    <w:p w14:paraId="1F4ED355" w14:textId="6DF62BFA" w:rsidR="00CF750B" w:rsidRDefault="00CF750B" w:rsidP="009646FA">
      <w:pPr>
        <w:spacing w:after="120" w:line="276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Institutional Change:</w:t>
      </w:r>
    </w:p>
    <w:p w14:paraId="2E0E1987" w14:textId="6888BAD1" w:rsidR="00CF750B" w:rsidRDefault="00CF750B" w:rsidP="009646FA">
      <w:pPr>
        <w:spacing w:after="120" w:line="276" w:lineRule="auto"/>
        <w:ind w:left="72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The number of policy recommendations made by the equality body and the number of policy recommendations taken up by policy makers</w:t>
      </w:r>
      <w:r w:rsidR="0030702A">
        <w:rPr>
          <w:rFonts w:ascii="Cambria" w:hAnsi="Cambria"/>
          <w:lang w:val="en-GB"/>
        </w:rPr>
        <w:t>, including the number of changes made in equal treatment legislation.</w:t>
      </w:r>
    </w:p>
    <w:p w14:paraId="18021128" w14:textId="4659226F" w:rsidR="00CF750B" w:rsidRDefault="00CF750B" w:rsidP="009646FA">
      <w:pPr>
        <w:spacing w:after="120" w:line="276" w:lineRule="auto"/>
        <w:ind w:left="72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The number of organisations that have developed employment and/or service provision related equality policies, procedures and practices as a result of their engagement with the equality body.</w:t>
      </w:r>
    </w:p>
    <w:p w14:paraId="06E3864E" w14:textId="6C5AE09B" w:rsidR="00CF750B" w:rsidRDefault="00CF750B" w:rsidP="009646FA">
      <w:pPr>
        <w:spacing w:after="120" w:line="276" w:lineRule="auto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Societal Change:</w:t>
      </w:r>
    </w:p>
    <w:p w14:paraId="3E1134C0" w14:textId="77777777" w:rsidR="009646FA" w:rsidRDefault="009646FA" w:rsidP="009646FA">
      <w:pPr>
        <w:spacing w:after="120" w:line="276" w:lineRule="auto"/>
        <w:ind w:left="72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Knowledge of the equality body among the general public.</w:t>
      </w:r>
    </w:p>
    <w:p w14:paraId="61A404D9" w14:textId="3521713C" w:rsidR="00CF750B" w:rsidRDefault="00CF750B" w:rsidP="009646FA">
      <w:pPr>
        <w:spacing w:after="120" w:line="276" w:lineRule="auto"/>
        <w:ind w:left="72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The level to which the equality body voice is deemed to be an authoritative voice by stakeholders identified as key by the equality body.</w:t>
      </w:r>
    </w:p>
    <w:p w14:paraId="23CA6984" w14:textId="58908F61" w:rsidR="00CF750B" w:rsidRPr="00CF750B" w:rsidRDefault="00CF750B" w:rsidP="009646FA">
      <w:pPr>
        <w:spacing w:after="120" w:line="276" w:lineRule="auto"/>
        <w:ind w:left="720"/>
        <w:rPr>
          <w:rFonts w:ascii="Cambria" w:hAnsi="Cambria"/>
          <w:lang w:val="en-GB"/>
        </w:rPr>
      </w:pPr>
      <w:r>
        <w:rPr>
          <w:rFonts w:ascii="Cambria" w:hAnsi="Cambria"/>
          <w:lang w:val="en-GB"/>
        </w:rPr>
        <w:t>The percentage of those who perceive that they have been discriminated against and do not take any action in response.</w:t>
      </w:r>
    </w:p>
    <w:sectPr w:rsidR="00CF750B" w:rsidRPr="00CF750B" w:rsidSect="002271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FA"/>
    <w:rsid w:val="00025061"/>
    <w:rsid w:val="000D6F2D"/>
    <w:rsid w:val="002271EC"/>
    <w:rsid w:val="002C5005"/>
    <w:rsid w:val="0030702A"/>
    <w:rsid w:val="009646FA"/>
    <w:rsid w:val="00A75231"/>
    <w:rsid w:val="00A82EEA"/>
    <w:rsid w:val="00B91421"/>
    <w:rsid w:val="00C0629A"/>
    <w:rsid w:val="00CE1BFA"/>
    <w:rsid w:val="00CF750B"/>
    <w:rsid w:val="00D47D2C"/>
    <w:rsid w:val="00F6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468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321</Words>
  <Characters>1834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2016-04-03T13:31:00Z</dcterms:created>
  <dcterms:modified xsi:type="dcterms:W3CDTF">2016-04-03T14:15:00Z</dcterms:modified>
</cp:coreProperties>
</file>