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1EB299" w14:textId="77777777" w:rsidR="007C60CD" w:rsidRDefault="007C60CD" w:rsidP="000263B4">
      <w:pPr>
        <w:spacing w:line="240" w:lineRule="auto"/>
        <w:jc w:val="both"/>
        <w:rPr>
          <w:b/>
          <w:lang w:val="en-GB"/>
        </w:rPr>
      </w:pPr>
    </w:p>
    <w:p w14:paraId="35010D27" w14:textId="44ACAB67" w:rsidR="00F66D27" w:rsidRPr="006075A4" w:rsidRDefault="007C60CD" w:rsidP="000263B4">
      <w:pPr>
        <w:spacing w:line="240" w:lineRule="auto"/>
        <w:jc w:val="both"/>
        <w:rPr>
          <w:lang w:val="en-GB"/>
        </w:rPr>
      </w:pPr>
      <w:r>
        <w:rPr>
          <w:b/>
          <w:noProof/>
          <w:sz w:val="28"/>
          <w:lang w:eastAsia="fr-BE"/>
        </w:rPr>
        <w:drawing>
          <wp:anchor distT="0" distB="0" distL="114300" distR="114300" simplePos="0" relativeHeight="251661312" behindDoc="0" locked="0" layoutInCell="1" allowOverlap="1" wp14:anchorId="545CC6BE" wp14:editId="1676F842">
            <wp:simplePos x="0" y="0"/>
            <wp:positionH relativeFrom="margin">
              <wp:posOffset>-685800</wp:posOffset>
            </wp:positionH>
            <wp:positionV relativeFrom="margin">
              <wp:posOffset>-914400</wp:posOffset>
            </wp:positionV>
            <wp:extent cx="7543800" cy="2336165"/>
            <wp:effectExtent l="0" t="0" r="0"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3800" cy="2336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1126" w:rsidRPr="006075A4">
        <w:rPr>
          <w:b/>
          <w:lang w:val="en-GB"/>
        </w:rPr>
        <w:t xml:space="preserve">Dear Equinet Members, </w:t>
      </w:r>
      <w:r w:rsidR="00F31126" w:rsidRPr="006075A4">
        <w:rPr>
          <w:b/>
          <w:lang w:val="en-GB"/>
        </w:rPr>
        <w:tab/>
      </w:r>
      <w:r w:rsidR="00F31126" w:rsidRPr="006075A4">
        <w:rPr>
          <w:b/>
          <w:lang w:val="en-GB"/>
        </w:rPr>
        <w:br/>
      </w:r>
      <w:r w:rsidR="00F31126" w:rsidRPr="006075A4">
        <w:rPr>
          <w:lang w:val="en-GB"/>
        </w:rPr>
        <w:t xml:space="preserve">This Members’ Bulletin gathers </w:t>
      </w:r>
      <w:r w:rsidR="00F31126" w:rsidRPr="006075A4">
        <w:rPr>
          <w:b/>
          <w:lang w:val="en-GB"/>
        </w:rPr>
        <w:t>the latest European Union (EU) and international developments</w:t>
      </w:r>
      <w:r w:rsidR="00F31126" w:rsidRPr="006075A4">
        <w:rPr>
          <w:lang w:val="en-GB"/>
        </w:rPr>
        <w:t xml:space="preserve">. It aims to give you an </w:t>
      </w:r>
      <w:r w:rsidR="00F31126" w:rsidRPr="006075A4">
        <w:rPr>
          <w:b/>
          <w:lang w:val="en-GB"/>
        </w:rPr>
        <w:t>overview of relevant policy and legal developments</w:t>
      </w:r>
      <w:r w:rsidR="00F31126" w:rsidRPr="006075A4">
        <w:rPr>
          <w:lang w:val="en-GB"/>
        </w:rPr>
        <w:t xml:space="preserve">, as well as latest calls for interest, funding opportunities and upcoming events. We very much hope this members’ bulletin will be useful in your day-to-day work and we would be grateful if you could </w:t>
      </w:r>
      <w:r w:rsidR="00F31126" w:rsidRPr="006075A4">
        <w:rPr>
          <w:b/>
          <w:lang w:val="en-GB"/>
        </w:rPr>
        <w:t>disseminate it among your colleagues</w:t>
      </w:r>
      <w:r w:rsidR="00F31126" w:rsidRPr="006075A4">
        <w:rPr>
          <w:lang w:val="en-GB"/>
        </w:rPr>
        <w:t xml:space="preserve">. Your feedback is also greatly appreciated. Should you have any comments or further questions, </w:t>
      </w:r>
      <w:r w:rsidR="00F31126" w:rsidRPr="006075A4">
        <w:rPr>
          <w:b/>
          <w:lang w:val="en-GB"/>
        </w:rPr>
        <w:t>please do not hesitate to contact Jessica Machacova, Equinet Project Officer</w:t>
      </w:r>
      <w:r w:rsidR="00F31126" w:rsidRPr="006075A4">
        <w:rPr>
          <w:lang w:val="en-GB"/>
        </w:rPr>
        <w:t xml:space="preserve"> (</w:t>
      </w:r>
      <w:hyperlink r:id="rId9" w:history="1">
        <w:r w:rsidR="00F31126" w:rsidRPr="006075A4">
          <w:rPr>
            <w:rStyle w:val="Hyperlink"/>
            <w:lang w:val="en-GB"/>
          </w:rPr>
          <w:t>Jessica.machacova@equineteurope.org</w:t>
        </w:r>
      </w:hyperlink>
      <w:r w:rsidR="00F31126" w:rsidRPr="006075A4">
        <w:rPr>
          <w:lang w:val="en-GB"/>
        </w:rPr>
        <w:t xml:space="preserve"> / 0032 2 212 31 80). </w:t>
      </w:r>
    </w:p>
    <w:p w14:paraId="04626731" w14:textId="77777777" w:rsidR="00CF7284" w:rsidRPr="006075A4" w:rsidRDefault="00CF7284" w:rsidP="000263B4">
      <w:pPr>
        <w:spacing w:line="240" w:lineRule="auto"/>
        <w:jc w:val="both"/>
        <w:rPr>
          <w:lang w:val="en-GB"/>
        </w:rPr>
      </w:pPr>
    </w:p>
    <w:p w14:paraId="4E1D63FE" w14:textId="33A83AA7" w:rsidR="002C3BF0" w:rsidRPr="006075A4" w:rsidRDefault="002C3BF0" w:rsidP="000263B4">
      <w:pPr>
        <w:shd w:val="clear" w:color="auto" w:fill="2F5496" w:themeFill="accent5" w:themeFillShade="BF"/>
        <w:spacing w:line="240" w:lineRule="auto"/>
        <w:jc w:val="center"/>
        <w:rPr>
          <w:b/>
          <w:color w:val="FFFFFF" w:themeColor="background1"/>
          <w:sz w:val="28"/>
          <w:lang w:val="en-GB"/>
        </w:rPr>
      </w:pPr>
      <w:r w:rsidRPr="006075A4">
        <w:rPr>
          <w:b/>
          <w:color w:val="FFFFFF" w:themeColor="background1"/>
          <w:sz w:val="28"/>
          <w:lang w:val="en-GB"/>
        </w:rPr>
        <w:t>Equinet Members’ Bulletin on latest EU and interna</w:t>
      </w:r>
      <w:r w:rsidR="003B08D6">
        <w:rPr>
          <w:b/>
          <w:color w:val="FFFFFF" w:themeColor="background1"/>
          <w:sz w:val="28"/>
          <w:lang w:val="en-GB"/>
        </w:rPr>
        <w:t>tional</w:t>
      </w:r>
      <w:r w:rsidRPr="006075A4">
        <w:rPr>
          <w:b/>
          <w:color w:val="FFFFFF" w:themeColor="background1"/>
          <w:sz w:val="28"/>
          <w:lang w:val="en-GB"/>
        </w:rPr>
        <w:t xml:space="preserve"> developments – Table of contents</w:t>
      </w:r>
    </w:p>
    <w:p w14:paraId="5A445A56" w14:textId="75DBFFAA" w:rsidR="001505A7" w:rsidRPr="007C60CD" w:rsidRDefault="002C3BF0" w:rsidP="007C60CD">
      <w:pPr>
        <w:spacing w:line="240" w:lineRule="auto"/>
        <w:jc w:val="both"/>
        <w:rPr>
          <w:b/>
          <w:i/>
          <w:color w:val="FF0000"/>
          <w:lang w:val="en-GB"/>
        </w:rPr>
      </w:pPr>
      <w:r w:rsidRPr="006075A4">
        <w:rPr>
          <w:b/>
          <w:i/>
          <w:color w:val="FF0000"/>
          <w:lang w:val="en-GB"/>
        </w:rPr>
        <w:t>(Ctrl + Click to follow the link)</w:t>
      </w:r>
      <w:bookmarkStart w:id="0" w:name="_Toc418770742"/>
      <w:bookmarkStart w:id="1" w:name="_Ref418783893"/>
      <w:bookmarkStart w:id="2" w:name="_Ref418783894"/>
      <w:bookmarkStart w:id="3" w:name="_Ref421267367"/>
    </w:p>
    <w:p w14:paraId="2DA6D08A" w14:textId="6EBA4E4E" w:rsidR="002B36E3" w:rsidRPr="00334A09" w:rsidRDefault="002B36E3" w:rsidP="000F6492">
      <w:pPr>
        <w:spacing w:line="240" w:lineRule="auto"/>
        <w:jc w:val="both"/>
        <w:rPr>
          <w:b/>
          <w:sz w:val="32"/>
          <w:lang w:val="en-GB"/>
        </w:rPr>
      </w:pPr>
      <w:r w:rsidRPr="00334A09">
        <w:rPr>
          <w:b/>
          <w:sz w:val="32"/>
          <w:lang w:val="en-GB"/>
        </w:rPr>
        <w:fldChar w:fldCharType="begin"/>
      </w:r>
      <w:r w:rsidRPr="00334A09">
        <w:rPr>
          <w:b/>
          <w:sz w:val="32"/>
          <w:lang w:val="en-GB"/>
        </w:rPr>
        <w:instrText xml:space="preserve"> REF _Ref429646320 \h  \* MERGEFORMAT </w:instrText>
      </w:r>
      <w:r w:rsidRPr="00334A09">
        <w:rPr>
          <w:b/>
          <w:sz w:val="32"/>
          <w:lang w:val="en-GB"/>
        </w:rPr>
      </w:r>
      <w:r w:rsidRPr="00334A09">
        <w:rPr>
          <w:b/>
          <w:sz w:val="32"/>
          <w:lang w:val="en-GB"/>
        </w:rPr>
        <w:fldChar w:fldCharType="separate"/>
      </w:r>
      <w:r w:rsidRPr="00334A09">
        <w:rPr>
          <w:b/>
          <w:color w:val="0070C0"/>
          <w:sz w:val="32"/>
          <w:u w:val="single"/>
          <w:lang w:val="en-GB"/>
        </w:rPr>
        <w:t>Highlight 1</w:t>
      </w:r>
      <w:r w:rsidRPr="00334A09">
        <w:rPr>
          <w:b/>
          <w:sz w:val="32"/>
          <w:lang w:val="en-GB"/>
        </w:rPr>
        <w:t>: The European Commission issues new roadmap on Work-Life Balance</w:t>
      </w:r>
      <w:r w:rsidRPr="00334A09">
        <w:rPr>
          <w:b/>
          <w:sz w:val="32"/>
          <w:lang w:val="en-GB"/>
        </w:rPr>
        <w:fldChar w:fldCharType="end"/>
      </w:r>
    </w:p>
    <w:p w14:paraId="1DF993E5" w14:textId="04B4ED20" w:rsidR="002B36E3" w:rsidRPr="00334A09" w:rsidRDefault="002B36E3" w:rsidP="000F6492">
      <w:pPr>
        <w:spacing w:line="240" w:lineRule="auto"/>
        <w:jc w:val="both"/>
        <w:rPr>
          <w:sz w:val="32"/>
          <w:szCs w:val="24"/>
          <w:lang w:val="en-GB"/>
        </w:rPr>
      </w:pPr>
      <w:r w:rsidRPr="00334A09">
        <w:rPr>
          <w:sz w:val="32"/>
          <w:szCs w:val="24"/>
          <w:lang w:val="en-GB"/>
        </w:rPr>
        <w:fldChar w:fldCharType="begin"/>
      </w:r>
      <w:r w:rsidRPr="00334A09">
        <w:rPr>
          <w:sz w:val="32"/>
          <w:szCs w:val="24"/>
          <w:lang w:val="en-GB"/>
        </w:rPr>
        <w:instrText xml:space="preserve"> REF _Ref429646322 \h  \* MERGEFORMAT </w:instrText>
      </w:r>
      <w:r w:rsidRPr="00334A09">
        <w:rPr>
          <w:sz w:val="32"/>
          <w:szCs w:val="24"/>
          <w:lang w:val="en-GB"/>
        </w:rPr>
      </w:r>
      <w:r w:rsidRPr="00334A09">
        <w:rPr>
          <w:sz w:val="32"/>
          <w:szCs w:val="24"/>
          <w:lang w:val="en-GB"/>
        </w:rPr>
        <w:fldChar w:fldCharType="separate"/>
      </w:r>
      <w:r w:rsidRPr="00334A09">
        <w:rPr>
          <w:b/>
          <w:color w:val="0070C0"/>
          <w:sz w:val="32"/>
          <w:szCs w:val="24"/>
          <w:u w:val="single"/>
          <w:lang w:val="en-GB"/>
        </w:rPr>
        <w:t>Highlight 2</w:t>
      </w:r>
      <w:r w:rsidRPr="00334A09">
        <w:rPr>
          <w:b/>
          <w:sz w:val="32"/>
          <w:szCs w:val="24"/>
          <w:lang w:val="en-GB"/>
        </w:rPr>
        <w:t>: EU Commissioner for Justice, Consumers and Gender Equality Vera Jourova meets</w:t>
      </w:r>
      <w:r w:rsidR="000F6492">
        <w:rPr>
          <w:b/>
          <w:sz w:val="32"/>
          <w:szCs w:val="24"/>
          <w:lang w:val="en-GB"/>
        </w:rPr>
        <w:t xml:space="preserve"> </w:t>
      </w:r>
      <w:r w:rsidRPr="00334A09">
        <w:rPr>
          <w:b/>
          <w:sz w:val="32"/>
          <w:szCs w:val="24"/>
          <w:lang w:val="en-GB"/>
        </w:rPr>
        <w:t>with Equinet</w:t>
      </w:r>
      <w:r w:rsidRPr="00334A09">
        <w:rPr>
          <w:sz w:val="32"/>
          <w:szCs w:val="24"/>
          <w:lang w:val="en-GB"/>
        </w:rPr>
        <w:t xml:space="preserve"> </w:t>
      </w:r>
      <w:r w:rsidRPr="00334A09">
        <w:rPr>
          <w:b/>
          <w:sz w:val="32"/>
          <w:szCs w:val="24"/>
          <w:lang w:val="en-GB"/>
        </w:rPr>
        <w:t>Chair and Executive Director</w:t>
      </w:r>
      <w:r w:rsidRPr="00334A09">
        <w:rPr>
          <w:sz w:val="32"/>
          <w:szCs w:val="24"/>
          <w:lang w:val="en-GB"/>
        </w:rPr>
        <w:fldChar w:fldCharType="end"/>
      </w:r>
    </w:p>
    <w:p w14:paraId="6CB8D784" w14:textId="4A111993" w:rsidR="002B36E3" w:rsidRPr="00334A09" w:rsidRDefault="002B36E3" w:rsidP="002B36E3">
      <w:pPr>
        <w:spacing w:line="240" w:lineRule="auto"/>
        <w:rPr>
          <w:b/>
          <w:color w:val="0070C0"/>
          <w:sz w:val="32"/>
          <w:u w:val="single"/>
          <w:lang w:val="en-GB"/>
        </w:rPr>
      </w:pPr>
      <w:r w:rsidRPr="00334A09">
        <w:rPr>
          <w:b/>
          <w:color w:val="0070C0"/>
          <w:sz w:val="32"/>
          <w:u w:val="single"/>
          <w:lang w:val="en-GB"/>
        </w:rPr>
        <w:fldChar w:fldCharType="begin"/>
      </w:r>
      <w:r w:rsidRPr="00334A09">
        <w:rPr>
          <w:b/>
          <w:color w:val="0070C0"/>
          <w:sz w:val="32"/>
          <w:u w:val="single"/>
          <w:lang w:val="en-GB"/>
        </w:rPr>
        <w:instrText xml:space="preserve"> REF _Ref429646323 \h  \* MERGEFORMAT </w:instrText>
      </w:r>
      <w:r w:rsidRPr="00334A09">
        <w:rPr>
          <w:b/>
          <w:color w:val="0070C0"/>
          <w:sz w:val="32"/>
          <w:u w:val="single"/>
          <w:lang w:val="en-GB"/>
        </w:rPr>
      </w:r>
      <w:r w:rsidRPr="00334A09">
        <w:rPr>
          <w:b/>
          <w:color w:val="0070C0"/>
          <w:sz w:val="32"/>
          <w:u w:val="single"/>
          <w:lang w:val="en-GB"/>
        </w:rPr>
        <w:fldChar w:fldCharType="separate"/>
      </w:r>
      <w:r w:rsidRPr="00334A09">
        <w:rPr>
          <w:b/>
          <w:color w:val="0070C0"/>
          <w:sz w:val="32"/>
          <w:u w:val="single"/>
          <w:lang w:val="en-GB"/>
        </w:rPr>
        <w:t>Thematic Policy Developments</w:t>
      </w:r>
      <w:r w:rsidRPr="00334A09">
        <w:rPr>
          <w:b/>
          <w:color w:val="0070C0"/>
          <w:sz w:val="32"/>
          <w:u w:val="single"/>
          <w:lang w:val="en-GB"/>
        </w:rPr>
        <w:fldChar w:fldCharType="end"/>
      </w:r>
    </w:p>
    <w:p w14:paraId="1BA5799C" w14:textId="6C01E6A1" w:rsidR="002B36E3" w:rsidRPr="00334A09" w:rsidRDefault="002B36E3" w:rsidP="002B36E3">
      <w:pPr>
        <w:pStyle w:val="ListParagraph"/>
        <w:numPr>
          <w:ilvl w:val="0"/>
          <w:numId w:val="37"/>
        </w:numPr>
        <w:spacing w:line="240" w:lineRule="auto"/>
        <w:rPr>
          <w:color w:val="0070C0"/>
          <w:sz w:val="28"/>
          <w:u w:val="single"/>
          <w:lang w:val="en-GB"/>
        </w:rPr>
      </w:pPr>
      <w:r w:rsidRPr="00334A09">
        <w:rPr>
          <w:color w:val="0070C0"/>
          <w:sz w:val="28"/>
          <w:u w:val="single"/>
          <w:lang w:val="en-GB"/>
        </w:rPr>
        <w:fldChar w:fldCharType="begin"/>
      </w:r>
      <w:r w:rsidRPr="00334A09">
        <w:rPr>
          <w:color w:val="0070C0"/>
          <w:sz w:val="28"/>
          <w:u w:val="single"/>
          <w:lang w:val="en-GB"/>
        </w:rPr>
        <w:instrText xml:space="preserve"> REF _Ref429646325 \h </w:instrText>
      </w:r>
      <w:r w:rsidRPr="00334A09">
        <w:rPr>
          <w:color w:val="0070C0"/>
          <w:sz w:val="28"/>
          <w:u w:val="single"/>
          <w:lang w:val="en-GB"/>
        </w:rPr>
      </w:r>
      <w:r w:rsidR="00334A09" w:rsidRPr="00334A09">
        <w:rPr>
          <w:color w:val="0070C0"/>
          <w:sz w:val="28"/>
          <w:u w:val="single"/>
          <w:lang w:val="en-GB"/>
        </w:rPr>
        <w:instrText xml:space="preserve"> \* MERGEFORMAT </w:instrText>
      </w:r>
      <w:r w:rsidRPr="00334A09">
        <w:rPr>
          <w:color w:val="0070C0"/>
          <w:sz w:val="28"/>
          <w:u w:val="single"/>
          <w:lang w:val="en-GB"/>
        </w:rPr>
        <w:fldChar w:fldCharType="separate"/>
      </w:r>
      <w:r w:rsidRPr="00334A09">
        <w:rPr>
          <w:color w:val="0070C0"/>
          <w:sz w:val="28"/>
          <w:u w:val="single"/>
          <w:lang w:val="en-US"/>
        </w:rPr>
        <w:t>General</w:t>
      </w:r>
      <w:r w:rsidRPr="00334A09">
        <w:rPr>
          <w:color w:val="0070C0"/>
          <w:sz w:val="28"/>
          <w:u w:val="single"/>
          <w:lang w:val="en-GB"/>
        </w:rPr>
        <w:fldChar w:fldCharType="end"/>
      </w:r>
    </w:p>
    <w:p w14:paraId="64B41F13" w14:textId="1FF9936B" w:rsidR="002B36E3" w:rsidRPr="00334A09" w:rsidRDefault="002B36E3" w:rsidP="002B36E3">
      <w:pPr>
        <w:pStyle w:val="ListParagraph"/>
        <w:numPr>
          <w:ilvl w:val="0"/>
          <w:numId w:val="37"/>
        </w:numPr>
        <w:spacing w:line="240" w:lineRule="auto"/>
        <w:rPr>
          <w:color w:val="0070C0"/>
          <w:sz w:val="28"/>
          <w:u w:val="single"/>
          <w:lang w:val="en-GB"/>
        </w:rPr>
      </w:pPr>
      <w:r w:rsidRPr="00334A09">
        <w:rPr>
          <w:color w:val="0070C0"/>
          <w:sz w:val="28"/>
          <w:u w:val="single"/>
          <w:lang w:val="en-GB"/>
        </w:rPr>
        <w:fldChar w:fldCharType="begin"/>
      </w:r>
      <w:r w:rsidRPr="00334A09">
        <w:rPr>
          <w:color w:val="0070C0"/>
          <w:sz w:val="28"/>
          <w:u w:val="single"/>
          <w:lang w:val="en-GB"/>
        </w:rPr>
        <w:instrText xml:space="preserve"> REF _Ref429646326 \h </w:instrText>
      </w:r>
      <w:r w:rsidRPr="00334A09">
        <w:rPr>
          <w:color w:val="0070C0"/>
          <w:sz w:val="28"/>
          <w:u w:val="single"/>
          <w:lang w:val="en-GB"/>
        </w:rPr>
      </w:r>
      <w:r w:rsidR="00334A09" w:rsidRPr="00334A09">
        <w:rPr>
          <w:color w:val="0070C0"/>
          <w:sz w:val="28"/>
          <w:u w:val="single"/>
          <w:lang w:val="en-GB"/>
        </w:rPr>
        <w:instrText xml:space="preserve"> \* MERGEFORMAT </w:instrText>
      </w:r>
      <w:r w:rsidRPr="00334A09">
        <w:rPr>
          <w:color w:val="0070C0"/>
          <w:sz w:val="28"/>
          <w:u w:val="single"/>
          <w:lang w:val="en-GB"/>
        </w:rPr>
        <w:fldChar w:fldCharType="separate"/>
      </w:r>
      <w:r w:rsidRPr="00334A09">
        <w:rPr>
          <w:color w:val="0070C0"/>
          <w:sz w:val="28"/>
          <w:u w:val="single"/>
          <w:lang w:val="en-US"/>
        </w:rPr>
        <w:t>Gender Equality</w:t>
      </w:r>
      <w:r w:rsidRPr="00334A09">
        <w:rPr>
          <w:color w:val="0070C0"/>
          <w:sz w:val="28"/>
          <w:u w:val="single"/>
          <w:lang w:val="en-GB"/>
        </w:rPr>
        <w:fldChar w:fldCharType="end"/>
      </w:r>
    </w:p>
    <w:p w14:paraId="654CF504" w14:textId="44993D1F" w:rsidR="002B36E3" w:rsidRPr="00334A09" w:rsidRDefault="002B36E3" w:rsidP="002B36E3">
      <w:pPr>
        <w:pStyle w:val="ListParagraph"/>
        <w:numPr>
          <w:ilvl w:val="0"/>
          <w:numId w:val="37"/>
        </w:numPr>
        <w:spacing w:line="240" w:lineRule="auto"/>
        <w:rPr>
          <w:color w:val="0070C0"/>
          <w:sz w:val="28"/>
          <w:u w:val="single"/>
          <w:lang w:val="en-GB"/>
        </w:rPr>
      </w:pPr>
      <w:r w:rsidRPr="00334A09">
        <w:rPr>
          <w:color w:val="0070C0"/>
          <w:sz w:val="28"/>
          <w:u w:val="single"/>
          <w:lang w:val="en-GB"/>
        </w:rPr>
        <w:fldChar w:fldCharType="begin"/>
      </w:r>
      <w:r w:rsidRPr="00334A09">
        <w:rPr>
          <w:color w:val="0070C0"/>
          <w:sz w:val="28"/>
          <w:u w:val="single"/>
          <w:lang w:val="en-GB"/>
        </w:rPr>
        <w:instrText xml:space="preserve"> REF _Ref429646328 \h </w:instrText>
      </w:r>
      <w:r w:rsidRPr="00334A09">
        <w:rPr>
          <w:color w:val="0070C0"/>
          <w:sz w:val="28"/>
          <w:u w:val="single"/>
          <w:lang w:val="en-GB"/>
        </w:rPr>
      </w:r>
      <w:r w:rsidR="00334A09" w:rsidRPr="00334A09">
        <w:rPr>
          <w:color w:val="0070C0"/>
          <w:sz w:val="28"/>
          <w:u w:val="single"/>
          <w:lang w:val="en-GB"/>
        </w:rPr>
        <w:instrText xml:space="preserve"> \* MERGEFORMAT </w:instrText>
      </w:r>
      <w:r w:rsidRPr="00334A09">
        <w:rPr>
          <w:color w:val="0070C0"/>
          <w:sz w:val="28"/>
          <w:u w:val="single"/>
          <w:lang w:val="en-GB"/>
        </w:rPr>
        <w:fldChar w:fldCharType="separate"/>
      </w:r>
      <w:r w:rsidRPr="00334A09">
        <w:rPr>
          <w:color w:val="0070C0"/>
          <w:sz w:val="28"/>
          <w:u w:val="single"/>
          <w:lang w:val="en-GB"/>
        </w:rPr>
        <w:t>Disability</w:t>
      </w:r>
      <w:r w:rsidRPr="00334A09">
        <w:rPr>
          <w:color w:val="0070C0"/>
          <w:sz w:val="28"/>
          <w:u w:val="single"/>
          <w:lang w:val="en-GB"/>
        </w:rPr>
        <w:fldChar w:fldCharType="end"/>
      </w:r>
    </w:p>
    <w:p w14:paraId="5407741A" w14:textId="45CAB284" w:rsidR="002B36E3" w:rsidRPr="00334A09" w:rsidRDefault="002B36E3" w:rsidP="002B36E3">
      <w:pPr>
        <w:pStyle w:val="ListParagraph"/>
        <w:numPr>
          <w:ilvl w:val="0"/>
          <w:numId w:val="37"/>
        </w:numPr>
        <w:spacing w:line="240" w:lineRule="auto"/>
        <w:rPr>
          <w:color w:val="0070C0"/>
          <w:sz w:val="28"/>
          <w:u w:val="single"/>
          <w:lang w:val="en-GB"/>
        </w:rPr>
      </w:pPr>
      <w:r w:rsidRPr="00334A09">
        <w:rPr>
          <w:color w:val="0070C0"/>
          <w:sz w:val="28"/>
          <w:u w:val="single"/>
          <w:lang w:val="en-GB"/>
        </w:rPr>
        <w:fldChar w:fldCharType="begin"/>
      </w:r>
      <w:r w:rsidRPr="00334A09">
        <w:rPr>
          <w:color w:val="0070C0"/>
          <w:sz w:val="28"/>
          <w:u w:val="single"/>
          <w:lang w:val="en-GB"/>
        </w:rPr>
        <w:instrText xml:space="preserve"> REF _Ref429646329 \h </w:instrText>
      </w:r>
      <w:r w:rsidRPr="00334A09">
        <w:rPr>
          <w:color w:val="0070C0"/>
          <w:sz w:val="28"/>
          <w:u w:val="single"/>
          <w:lang w:val="en-GB"/>
        </w:rPr>
      </w:r>
      <w:r w:rsidR="00334A09" w:rsidRPr="00334A09">
        <w:rPr>
          <w:color w:val="0070C0"/>
          <w:sz w:val="28"/>
          <w:u w:val="single"/>
          <w:lang w:val="en-GB"/>
        </w:rPr>
        <w:instrText xml:space="preserve"> \* MERGEFORMAT </w:instrText>
      </w:r>
      <w:r w:rsidRPr="00334A09">
        <w:rPr>
          <w:color w:val="0070C0"/>
          <w:sz w:val="28"/>
          <w:u w:val="single"/>
          <w:lang w:val="en-GB"/>
        </w:rPr>
        <w:fldChar w:fldCharType="separate"/>
      </w:r>
      <w:r w:rsidRPr="00334A09">
        <w:rPr>
          <w:color w:val="0070C0"/>
          <w:sz w:val="28"/>
          <w:u w:val="single"/>
          <w:lang w:val="en-GB"/>
        </w:rPr>
        <w:t>Age</w:t>
      </w:r>
      <w:r w:rsidRPr="00334A09">
        <w:rPr>
          <w:color w:val="0070C0"/>
          <w:sz w:val="28"/>
          <w:u w:val="single"/>
          <w:lang w:val="en-GB"/>
        </w:rPr>
        <w:fldChar w:fldCharType="end"/>
      </w:r>
    </w:p>
    <w:p w14:paraId="75B71A26" w14:textId="178782D0" w:rsidR="002B36E3" w:rsidRPr="00334A09" w:rsidRDefault="002B36E3" w:rsidP="002B36E3">
      <w:pPr>
        <w:spacing w:line="240" w:lineRule="auto"/>
        <w:rPr>
          <w:b/>
          <w:color w:val="0070C0"/>
          <w:sz w:val="32"/>
          <w:u w:val="single"/>
          <w:lang w:val="en-GB"/>
        </w:rPr>
      </w:pPr>
      <w:r w:rsidRPr="00334A09">
        <w:rPr>
          <w:b/>
          <w:color w:val="0070C0"/>
          <w:sz w:val="32"/>
          <w:u w:val="single"/>
          <w:lang w:val="en-GB"/>
        </w:rPr>
        <w:fldChar w:fldCharType="begin"/>
      </w:r>
      <w:r w:rsidRPr="00334A09">
        <w:rPr>
          <w:b/>
          <w:color w:val="0070C0"/>
          <w:sz w:val="32"/>
          <w:u w:val="single"/>
          <w:lang w:val="en-GB"/>
        </w:rPr>
        <w:instrText xml:space="preserve"> REF _Ref429646330 \h  \* MERGEFORMAT </w:instrText>
      </w:r>
      <w:r w:rsidRPr="00334A09">
        <w:rPr>
          <w:b/>
          <w:color w:val="0070C0"/>
          <w:sz w:val="32"/>
          <w:u w:val="single"/>
          <w:lang w:val="en-GB"/>
        </w:rPr>
      </w:r>
      <w:r w:rsidRPr="00334A09">
        <w:rPr>
          <w:b/>
          <w:color w:val="0070C0"/>
          <w:sz w:val="32"/>
          <w:u w:val="single"/>
          <w:lang w:val="en-GB"/>
        </w:rPr>
        <w:fldChar w:fldCharType="separate"/>
      </w:r>
      <w:r w:rsidRPr="00334A09">
        <w:rPr>
          <w:b/>
          <w:color w:val="0070C0"/>
          <w:sz w:val="32"/>
          <w:u w:val="single"/>
          <w:lang w:val="en-GB"/>
        </w:rPr>
        <w:t>Publications, funding opportunities and events</w:t>
      </w:r>
      <w:r w:rsidRPr="00334A09">
        <w:rPr>
          <w:b/>
          <w:color w:val="0070C0"/>
          <w:sz w:val="32"/>
          <w:u w:val="single"/>
          <w:lang w:val="en-GB"/>
        </w:rPr>
        <w:fldChar w:fldCharType="end"/>
      </w:r>
    </w:p>
    <w:p w14:paraId="68EA7E82" w14:textId="0C2F4D25" w:rsidR="002B36E3" w:rsidRPr="00334A09" w:rsidRDefault="002B36E3" w:rsidP="002B36E3">
      <w:pPr>
        <w:pStyle w:val="ListParagraph"/>
        <w:numPr>
          <w:ilvl w:val="0"/>
          <w:numId w:val="38"/>
        </w:numPr>
        <w:spacing w:line="240" w:lineRule="auto"/>
        <w:rPr>
          <w:color w:val="0070C0"/>
          <w:sz w:val="28"/>
          <w:u w:val="single"/>
          <w:lang w:val="en-GB"/>
        </w:rPr>
      </w:pPr>
      <w:r w:rsidRPr="00334A09">
        <w:rPr>
          <w:color w:val="0070C0"/>
          <w:sz w:val="28"/>
          <w:u w:val="single"/>
          <w:lang w:val="en-GB"/>
        </w:rPr>
        <w:fldChar w:fldCharType="begin"/>
      </w:r>
      <w:r w:rsidRPr="00334A09">
        <w:rPr>
          <w:color w:val="0070C0"/>
          <w:sz w:val="28"/>
          <w:u w:val="single"/>
          <w:lang w:val="en-GB"/>
        </w:rPr>
        <w:instrText xml:space="preserve"> REF _Ref429646334 \h </w:instrText>
      </w:r>
      <w:r w:rsidRPr="00334A09">
        <w:rPr>
          <w:color w:val="0070C0"/>
          <w:sz w:val="28"/>
          <w:u w:val="single"/>
          <w:lang w:val="en-GB"/>
        </w:rPr>
      </w:r>
      <w:r w:rsidR="00334A09" w:rsidRPr="00334A09">
        <w:rPr>
          <w:color w:val="0070C0"/>
          <w:sz w:val="28"/>
          <w:u w:val="single"/>
          <w:lang w:val="en-GB"/>
        </w:rPr>
        <w:instrText xml:space="preserve"> \* MERGEFORMAT </w:instrText>
      </w:r>
      <w:r w:rsidRPr="00334A09">
        <w:rPr>
          <w:color w:val="0070C0"/>
          <w:sz w:val="28"/>
          <w:u w:val="single"/>
          <w:lang w:val="en-GB"/>
        </w:rPr>
        <w:fldChar w:fldCharType="separate"/>
      </w:r>
      <w:r w:rsidRPr="00334A09">
        <w:rPr>
          <w:color w:val="0070C0"/>
          <w:sz w:val="28"/>
          <w:u w:val="single"/>
          <w:lang w:val="en-GB"/>
        </w:rPr>
        <w:t>General information</w:t>
      </w:r>
      <w:r w:rsidRPr="00334A09">
        <w:rPr>
          <w:color w:val="0070C0"/>
          <w:sz w:val="28"/>
          <w:u w:val="single"/>
          <w:lang w:val="en-GB"/>
        </w:rPr>
        <w:fldChar w:fldCharType="end"/>
      </w:r>
    </w:p>
    <w:p w14:paraId="7760237E" w14:textId="0DAF3A18" w:rsidR="002B36E3" w:rsidRPr="00334A09" w:rsidRDefault="002B36E3" w:rsidP="002B36E3">
      <w:pPr>
        <w:pStyle w:val="ListParagraph"/>
        <w:numPr>
          <w:ilvl w:val="0"/>
          <w:numId w:val="38"/>
        </w:numPr>
        <w:spacing w:line="240" w:lineRule="auto"/>
        <w:rPr>
          <w:color w:val="0070C0"/>
          <w:sz w:val="28"/>
          <w:u w:val="single"/>
          <w:lang w:val="en-GB"/>
        </w:rPr>
      </w:pPr>
      <w:r w:rsidRPr="00334A09">
        <w:rPr>
          <w:color w:val="0070C0"/>
          <w:sz w:val="28"/>
          <w:u w:val="single"/>
          <w:lang w:val="en-GB"/>
        </w:rPr>
        <w:fldChar w:fldCharType="begin"/>
      </w:r>
      <w:r w:rsidRPr="00334A09">
        <w:rPr>
          <w:color w:val="0070C0"/>
          <w:sz w:val="28"/>
          <w:u w:val="single"/>
          <w:lang w:val="en-GB"/>
        </w:rPr>
        <w:instrText xml:space="preserve"> REF _Ref429646335 \h </w:instrText>
      </w:r>
      <w:r w:rsidRPr="00334A09">
        <w:rPr>
          <w:color w:val="0070C0"/>
          <w:sz w:val="28"/>
          <w:u w:val="single"/>
          <w:lang w:val="en-GB"/>
        </w:rPr>
      </w:r>
      <w:r w:rsidR="00334A09" w:rsidRPr="00334A09">
        <w:rPr>
          <w:color w:val="0070C0"/>
          <w:sz w:val="28"/>
          <w:u w:val="single"/>
          <w:lang w:val="en-GB"/>
        </w:rPr>
        <w:instrText xml:space="preserve"> \* MERGEFORMAT </w:instrText>
      </w:r>
      <w:r w:rsidRPr="00334A09">
        <w:rPr>
          <w:color w:val="0070C0"/>
          <w:sz w:val="28"/>
          <w:u w:val="single"/>
          <w:lang w:val="en-GB"/>
        </w:rPr>
        <w:fldChar w:fldCharType="separate"/>
      </w:r>
      <w:r w:rsidRPr="00334A09">
        <w:rPr>
          <w:color w:val="0070C0"/>
          <w:sz w:val="28"/>
          <w:u w:val="single"/>
          <w:lang w:val="en-GB"/>
        </w:rPr>
        <w:t>Gender Equality</w:t>
      </w:r>
      <w:r w:rsidRPr="00334A09">
        <w:rPr>
          <w:color w:val="0070C0"/>
          <w:sz w:val="28"/>
          <w:u w:val="single"/>
          <w:lang w:val="en-GB"/>
        </w:rPr>
        <w:fldChar w:fldCharType="end"/>
      </w:r>
    </w:p>
    <w:p w14:paraId="7CABA703" w14:textId="1654604C" w:rsidR="00F93FE2" w:rsidRPr="00334A09" w:rsidRDefault="002B36E3" w:rsidP="002B36E3">
      <w:pPr>
        <w:pStyle w:val="ListParagraph"/>
        <w:numPr>
          <w:ilvl w:val="0"/>
          <w:numId w:val="38"/>
        </w:numPr>
        <w:spacing w:line="240" w:lineRule="auto"/>
        <w:rPr>
          <w:color w:val="0070C0"/>
          <w:sz w:val="28"/>
          <w:u w:val="single"/>
          <w:lang w:val="en-GB"/>
        </w:rPr>
      </w:pPr>
      <w:r w:rsidRPr="00334A09">
        <w:rPr>
          <w:color w:val="0070C0"/>
          <w:sz w:val="28"/>
          <w:u w:val="single"/>
          <w:lang w:val="en-GB"/>
        </w:rPr>
        <w:fldChar w:fldCharType="begin"/>
      </w:r>
      <w:r w:rsidRPr="00334A09">
        <w:rPr>
          <w:color w:val="0070C0"/>
          <w:sz w:val="28"/>
          <w:u w:val="single"/>
          <w:lang w:val="en-GB"/>
        </w:rPr>
        <w:instrText xml:space="preserve"> REF _Ref429646336 \h </w:instrText>
      </w:r>
      <w:r w:rsidRPr="00334A09">
        <w:rPr>
          <w:color w:val="0070C0"/>
          <w:sz w:val="28"/>
          <w:u w:val="single"/>
          <w:lang w:val="en-GB"/>
        </w:rPr>
      </w:r>
      <w:r w:rsidR="00334A09" w:rsidRPr="00334A09">
        <w:rPr>
          <w:color w:val="0070C0"/>
          <w:sz w:val="28"/>
          <w:u w:val="single"/>
          <w:lang w:val="en-GB"/>
        </w:rPr>
        <w:instrText xml:space="preserve"> \* MERGEFORMAT </w:instrText>
      </w:r>
      <w:r w:rsidRPr="00334A09">
        <w:rPr>
          <w:color w:val="0070C0"/>
          <w:sz w:val="28"/>
          <w:u w:val="single"/>
          <w:lang w:val="en-GB"/>
        </w:rPr>
        <w:fldChar w:fldCharType="separate"/>
      </w:r>
      <w:r w:rsidRPr="00334A09">
        <w:rPr>
          <w:color w:val="0070C0"/>
          <w:sz w:val="28"/>
          <w:u w:val="single"/>
          <w:lang w:val="en-GB"/>
        </w:rPr>
        <w:t>Religion and Belief</w:t>
      </w:r>
      <w:r w:rsidRPr="00334A09">
        <w:rPr>
          <w:color w:val="0070C0"/>
          <w:sz w:val="28"/>
          <w:u w:val="single"/>
          <w:lang w:val="en-GB"/>
        </w:rPr>
        <w:fldChar w:fldCharType="end"/>
      </w:r>
    </w:p>
    <w:p w14:paraId="41716A3D" w14:textId="77777777" w:rsidR="002B36E3" w:rsidRDefault="002B36E3">
      <w:pPr>
        <w:rPr>
          <w:rFonts w:ascii="Tahoma" w:eastAsiaTheme="majorEastAsia" w:hAnsi="Tahoma" w:cstheme="majorBidi"/>
          <w:b/>
          <w:color w:val="2E74B5" w:themeColor="accent1" w:themeShade="BF"/>
          <w:sz w:val="32"/>
          <w:szCs w:val="32"/>
          <w:lang w:val="en-GB"/>
        </w:rPr>
      </w:pPr>
      <w:bookmarkStart w:id="4" w:name="_Highlight:_Work-Life_Balance:"/>
      <w:bookmarkStart w:id="5" w:name="_Highlight_1:_Work-Life"/>
      <w:bookmarkEnd w:id="4"/>
      <w:bookmarkEnd w:id="5"/>
      <w:r>
        <w:rPr>
          <w:lang w:val="en-GB"/>
        </w:rPr>
        <w:br w:type="page"/>
      </w:r>
    </w:p>
    <w:p w14:paraId="040B29A2" w14:textId="76C011A2" w:rsidR="001140DC" w:rsidRDefault="00922F1E" w:rsidP="00F93FE2">
      <w:pPr>
        <w:pStyle w:val="Heading1"/>
        <w:spacing w:line="240" w:lineRule="auto"/>
        <w:jc w:val="both"/>
        <w:rPr>
          <w:lang w:val="en-GB"/>
        </w:rPr>
      </w:pPr>
      <w:bookmarkStart w:id="6" w:name="_Ref429646320"/>
      <w:r w:rsidRPr="006075A4">
        <w:rPr>
          <w:lang w:val="en-GB"/>
        </w:rPr>
        <w:lastRenderedPageBreak/>
        <w:t>Highlight</w:t>
      </w:r>
      <w:bookmarkEnd w:id="0"/>
      <w:bookmarkEnd w:id="1"/>
      <w:bookmarkEnd w:id="2"/>
      <w:bookmarkEnd w:id="3"/>
      <w:r w:rsidR="00E82E7C">
        <w:rPr>
          <w:lang w:val="en-GB"/>
        </w:rPr>
        <w:t xml:space="preserve"> 1</w:t>
      </w:r>
      <w:r w:rsidR="00F93FE2">
        <w:rPr>
          <w:lang w:val="en-GB"/>
        </w:rPr>
        <w:t>:</w:t>
      </w:r>
      <w:r w:rsidR="00234ECF">
        <w:rPr>
          <w:lang w:val="en-GB"/>
        </w:rPr>
        <w:t xml:space="preserve"> </w:t>
      </w:r>
      <w:r w:rsidR="00565043">
        <w:rPr>
          <w:lang w:val="en-GB"/>
        </w:rPr>
        <w:t>The European Commission issues new roadmap on Work-Life Balance</w:t>
      </w:r>
      <w:bookmarkEnd w:id="6"/>
      <w:r w:rsidR="008C1F79">
        <w:rPr>
          <w:lang w:val="en-GB"/>
        </w:rPr>
        <w:t xml:space="preserve"> </w:t>
      </w:r>
    </w:p>
    <w:p w14:paraId="43616600" w14:textId="46AC282C" w:rsidR="00F93FE2" w:rsidRDefault="00F93FE2" w:rsidP="00F93FE2">
      <w:pPr>
        <w:rPr>
          <w:lang w:val="en-GB"/>
        </w:rPr>
      </w:pPr>
    </w:p>
    <w:p w14:paraId="3BF6BF6D" w14:textId="2B9A4628" w:rsidR="008C1F79" w:rsidRDefault="00105F8D" w:rsidP="00105F8D">
      <w:pPr>
        <w:spacing w:line="276" w:lineRule="auto"/>
        <w:jc w:val="both"/>
        <w:rPr>
          <w:lang w:val="en-US"/>
        </w:rPr>
      </w:pPr>
      <w:r>
        <w:rPr>
          <w:noProof/>
          <w:lang w:eastAsia="fr-BE"/>
        </w:rPr>
        <w:drawing>
          <wp:anchor distT="0" distB="0" distL="114300" distR="114300" simplePos="0" relativeHeight="251671040" behindDoc="0" locked="0" layoutInCell="1" allowOverlap="1" wp14:anchorId="76B32F4D" wp14:editId="7DB771A8">
            <wp:simplePos x="0" y="0"/>
            <wp:positionH relativeFrom="margin">
              <wp:align>left</wp:align>
            </wp:positionH>
            <wp:positionV relativeFrom="margin">
              <wp:posOffset>781050</wp:posOffset>
            </wp:positionV>
            <wp:extent cx="2438400" cy="1371600"/>
            <wp:effectExtent l="0" t="0" r="0" b="0"/>
            <wp:wrapSquare wrapText="bothSides"/>
            <wp:docPr id="4" name="Picture 4" descr="https://media.licdn.com/mpr/mpr/p/3/005/096/33b/0089f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edia.licdn.com/mpr/mpr/p/3/005/096/33b/0089f1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38400" cy="1371600"/>
                    </a:xfrm>
                    <a:prstGeom prst="rect">
                      <a:avLst/>
                    </a:prstGeom>
                    <a:noFill/>
                    <a:ln>
                      <a:noFill/>
                    </a:ln>
                  </pic:spPr>
                </pic:pic>
              </a:graphicData>
            </a:graphic>
          </wp:anchor>
        </w:drawing>
      </w:r>
      <w:r>
        <w:rPr>
          <w:lang w:val="en-GB"/>
        </w:rPr>
        <w:t>On</w:t>
      </w:r>
      <w:r w:rsidR="008C1F79">
        <w:rPr>
          <w:lang w:val="en-GB"/>
        </w:rPr>
        <w:t xml:space="preserve"> the 28</w:t>
      </w:r>
      <w:r w:rsidR="008C1F79" w:rsidRPr="008C1F79">
        <w:rPr>
          <w:vertAlign w:val="superscript"/>
          <w:lang w:val="en-GB"/>
        </w:rPr>
        <w:t>th</w:t>
      </w:r>
      <w:r w:rsidR="008C1F79">
        <w:rPr>
          <w:lang w:val="en-GB"/>
        </w:rPr>
        <w:t xml:space="preserve"> of August 2015, the European Commission issued a </w:t>
      </w:r>
      <w:r w:rsidR="008C1F79" w:rsidRPr="008C1F79">
        <w:rPr>
          <w:b/>
          <w:lang w:val="en-GB"/>
        </w:rPr>
        <w:t>Roadmap</w:t>
      </w:r>
      <w:r w:rsidR="008C1F79">
        <w:rPr>
          <w:lang w:val="en-GB"/>
        </w:rPr>
        <w:t xml:space="preserve"> entitled: ‘</w:t>
      </w:r>
      <w:r w:rsidR="008C1F79" w:rsidRPr="008C1F79">
        <w:rPr>
          <w:i/>
          <w:lang w:val="en-US"/>
        </w:rPr>
        <w:t>New start to address the challenges of work-life balance faced by working families</w:t>
      </w:r>
      <w:r w:rsidR="008C1F79">
        <w:rPr>
          <w:lang w:val="en-US"/>
        </w:rPr>
        <w:t xml:space="preserve">’. The publication of this document by the EC follows the </w:t>
      </w:r>
      <w:r w:rsidR="008C1F79" w:rsidRPr="008C1F79">
        <w:rPr>
          <w:b/>
          <w:lang w:val="en-US"/>
        </w:rPr>
        <w:t>withdrawal</w:t>
      </w:r>
      <w:r w:rsidR="008C1F79">
        <w:rPr>
          <w:lang w:val="en-US"/>
        </w:rPr>
        <w:t xml:space="preserve">, in July 2015, of the </w:t>
      </w:r>
      <w:r w:rsidR="008C1F79" w:rsidRPr="008C1F79">
        <w:rPr>
          <w:b/>
          <w:lang w:val="en-US"/>
        </w:rPr>
        <w:t>2008 draft Maternity Leave Directive</w:t>
      </w:r>
      <w:r w:rsidR="008C1F79">
        <w:rPr>
          <w:lang w:val="en-US"/>
        </w:rPr>
        <w:t xml:space="preserve">, </w:t>
      </w:r>
      <w:r w:rsidR="008C1F79" w:rsidRPr="008C1F79">
        <w:rPr>
          <w:lang w:val="en-US"/>
        </w:rPr>
        <w:t>given the lack of progress by the co-legislators and despite the Commission's continuous and intensive efforts to facilitate an agreement</w:t>
      </w:r>
      <w:r w:rsidR="008C1F79">
        <w:rPr>
          <w:lang w:val="en-US"/>
        </w:rPr>
        <w:t xml:space="preserve">. </w:t>
      </w:r>
    </w:p>
    <w:p w14:paraId="74A02B41" w14:textId="49A1FD65" w:rsidR="008C1F79" w:rsidRPr="00105F8D" w:rsidRDefault="00105F8D" w:rsidP="00105F8D">
      <w:pPr>
        <w:spacing w:line="276" w:lineRule="auto"/>
        <w:jc w:val="both"/>
        <w:rPr>
          <w:i/>
          <w:lang w:val="en-US"/>
        </w:rPr>
      </w:pPr>
      <w:r w:rsidRPr="00105F8D">
        <w:rPr>
          <w:i/>
          <w:lang w:val="en-US"/>
        </w:rPr>
        <w:t>“</w:t>
      </w:r>
      <w:r w:rsidR="008C1F79" w:rsidRPr="00105F8D">
        <w:rPr>
          <w:i/>
          <w:lang w:val="en-US"/>
        </w:rPr>
        <w:t>The main reason behind the initiative is to address the low participation of women in the labour market by modernising and adapting the current EU legal and policy framework to today's labour market to allow for parents with children or those with dependent relatives to better balance caring an</w:t>
      </w:r>
      <w:r w:rsidRPr="00105F8D">
        <w:rPr>
          <w:i/>
          <w:lang w:val="en-US"/>
        </w:rPr>
        <w:t>d professional responsibilities”</w:t>
      </w:r>
    </w:p>
    <w:p w14:paraId="2B1714FA" w14:textId="087470C0" w:rsidR="00373745" w:rsidRPr="004E157B" w:rsidRDefault="004E157B" w:rsidP="00105F8D">
      <w:pPr>
        <w:spacing w:line="276" w:lineRule="auto"/>
        <w:jc w:val="both"/>
        <w:rPr>
          <w:lang w:val="en-US"/>
        </w:rPr>
      </w:pPr>
      <w:r w:rsidRPr="004E157B">
        <w:rPr>
          <w:lang w:val="en-US"/>
        </w:rPr>
        <w:t xml:space="preserve">The roadmap is based on a </w:t>
      </w:r>
      <w:r w:rsidRPr="004E157B">
        <w:rPr>
          <w:b/>
          <w:lang w:val="en-US"/>
        </w:rPr>
        <w:t>mix of legislative and non-legislative measures</w:t>
      </w:r>
      <w:r w:rsidRPr="004E157B">
        <w:rPr>
          <w:lang w:val="en-US"/>
        </w:rPr>
        <w:t xml:space="preserve"> to reach this objective, and offers notably to generalise ‘the existing rights to request flexible working arrangements to both parents and women and men with caring responsibilities and strengthening the enforcement of those rights’ or to launch a comprehensive policy framework ‘to address a wider range of policies that will support parents’ participation in the labour market’.</w:t>
      </w:r>
    </w:p>
    <w:p w14:paraId="7DFA95D7" w14:textId="7D281745" w:rsidR="00E82E7C" w:rsidRPr="00105F8D" w:rsidRDefault="00105F8D" w:rsidP="00105F8D">
      <w:pPr>
        <w:shd w:val="clear" w:color="auto" w:fill="D9D9D9" w:themeFill="background1" w:themeFillShade="D9"/>
        <w:rPr>
          <w:rStyle w:val="Hyperlink"/>
          <w:b/>
          <w:color w:val="auto"/>
          <w:u w:val="none"/>
          <w:lang w:val="en-US"/>
        </w:rPr>
      </w:pPr>
      <w:r w:rsidRPr="00105F8D">
        <w:rPr>
          <w:lang w:val="en-US"/>
        </w:rPr>
        <w:t>-</w:t>
      </w:r>
      <w:r>
        <w:rPr>
          <w:lang w:val="en-US"/>
        </w:rPr>
        <w:t xml:space="preserve"> </w:t>
      </w:r>
      <w:r w:rsidR="004E157B" w:rsidRPr="00105F8D">
        <w:rPr>
          <w:lang w:val="en-US"/>
        </w:rPr>
        <w:t xml:space="preserve">Read </w:t>
      </w:r>
      <w:hyperlink r:id="rId11" w:history="1">
        <w:r w:rsidR="004E157B" w:rsidRPr="00A07965">
          <w:rPr>
            <w:rStyle w:val="Hyperlink"/>
            <w:lang w:val="en-US"/>
          </w:rPr>
          <w:t>our full article</w:t>
        </w:r>
      </w:hyperlink>
      <w:r w:rsidR="00A07965">
        <w:rPr>
          <w:lang w:val="en-US"/>
        </w:rPr>
        <w:t xml:space="preserve"> </w:t>
      </w:r>
      <w:r w:rsidR="00A07965" w:rsidRPr="00A07965">
        <w:rPr>
          <w:b/>
          <w:lang w:val="en-US"/>
        </w:rPr>
        <w:t>on the Roadmap</w:t>
      </w:r>
      <w:r w:rsidRPr="00105F8D">
        <w:rPr>
          <w:lang w:val="en-US"/>
        </w:rPr>
        <w:br/>
        <w:t xml:space="preserve">- </w:t>
      </w:r>
      <w:r w:rsidR="00512E44" w:rsidRPr="00105F8D">
        <w:rPr>
          <w:lang w:val="en-US"/>
        </w:rPr>
        <w:t xml:space="preserve">Access the Roadmap </w:t>
      </w:r>
      <w:hyperlink r:id="rId12" w:history="1">
        <w:r w:rsidR="00512E44" w:rsidRPr="00105F8D">
          <w:rPr>
            <w:rStyle w:val="Hyperlink"/>
            <w:lang w:val="en-US"/>
          </w:rPr>
          <w:t>here</w:t>
        </w:r>
      </w:hyperlink>
      <w:r w:rsidRPr="00105F8D">
        <w:rPr>
          <w:rStyle w:val="Hyperlink"/>
          <w:u w:val="none"/>
          <w:lang w:val="en-US"/>
        </w:rPr>
        <w:tab/>
      </w:r>
      <w:r w:rsidRPr="00105F8D">
        <w:rPr>
          <w:lang w:val="en-US"/>
        </w:rPr>
        <w:br/>
      </w:r>
      <w:r>
        <w:rPr>
          <w:lang w:val="en-US"/>
        </w:rPr>
        <w:t xml:space="preserve">- </w:t>
      </w:r>
      <w:r w:rsidR="00512E44" w:rsidRPr="00105F8D">
        <w:rPr>
          <w:lang w:val="en-US"/>
        </w:rPr>
        <w:t xml:space="preserve">Read about </w:t>
      </w:r>
      <w:r w:rsidR="00512E44" w:rsidRPr="00105F8D">
        <w:rPr>
          <w:b/>
          <w:lang w:val="en-US"/>
        </w:rPr>
        <w:t xml:space="preserve">our Seminar held in </w:t>
      </w:r>
      <w:r w:rsidRPr="00105F8D">
        <w:rPr>
          <w:b/>
          <w:lang w:val="en-US"/>
        </w:rPr>
        <w:t>Tallinn</w:t>
      </w:r>
      <w:r w:rsidR="00512E44" w:rsidRPr="00105F8D">
        <w:rPr>
          <w:lang w:val="en-US"/>
        </w:rPr>
        <w:t xml:space="preserve"> in July 2015 ‘Work-Life Balance and Pregnancy and Parenthood related Discrimination’</w:t>
      </w:r>
      <w:hyperlink r:id="rId13" w:history="1">
        <w:r w:rsidR="00512E44" w:rsidRPr="00105F8D">
          <w:rPr>
            <w:rStyle w:val="Hyperlink"/>
            <w:lang w:val="en-US"/>
          </w:rPr>
          <w:t xml:space="preserve"> here</w:t>
        </w:r>
      </w:hyperlink>
      <w:r w:rsidRPr="00105F8D">
        <w:rPr>
          <w:rStyle w:val="Hyperlink"/>
          <w:u w:val="none"/>
          <w:lang w:val="en-US"/>
        </w:rPr>
        <w:tab/>
      </w:r>
      <w:r>
        <w:rPr>
          <w:rStyle w:val="Hyperlink"/>
          <w:lang w:val="en-US"/>
        </w:rPr>
        <w:br/>
      </w:r>
      <w:r w:rsidRPr="00105F8D">
        <w:rPr>
          <w:rStyle w:val="Hyperlink"/>
          <w:color w:val="auto"/>
          <w:u w:val="none"/>
          <w:lang w:val="en-US"/>
        </w:rPr>
        <w:t xml:space="preserve">- Read </w:t>
      </w:r>
      <w:r w:rsidRPr="00105F8D">
        <w:rPr>
          <w:rStyle w:val="Hyperlink"/>
          <w:b/>
          <w:color w:val="auto"/>
          <w:u w:val="none"/>
          <w:lang w:val="en-US"/>
        </w:rPr>
        <w:t xml:space="preserve">Equinet’s </w:t>
      </w:r>
      <w:r>
        <w:rPr>
          <w:rStyle w:val="Hyperlink"/>
          <w:b/>
          <w:color w:val="auto"/>
          <w:u w:val="none"/>
          <w:lang w:val="en-US"/>
        </w:rPr>
        <w:t>P</w:t>
      </w:r>
      <w:r w:rsidRPr="00105F8D">
        <w:rPr>
          <w:rStyle w:val="Hyperlink"/>
          <w:b/>
          <w:color w:val="auto"/>
          <w:u w:val="none"/>
          <w:lang w:val="en-US"/>
        </w:rPr>
        <w:t>er</w:t>
      </w:r>
      <w:r>
        <w:rPr>
          <w:rStyle w:val="Hyperlink"/>
          <w:b/>
          <w:color w:val="auto"/>
          <w:u w:val="none"/>
          <w:lang w:val="en-US"/>
        </w:rPr>
        <w:t>s</w:t>
      </w:r>
      <w:r w:rsidRPr="00105F8D">
        <w:rPr>
          <w:rStyle w:val="Hyperlink"/>
          <w:b/>
          <w:color w:val="auto"/>
          <w:u w:val="none"/>
          <w:lang w:val="en-US"/>
        </w:rPr>
        <w:t>pective</w:t>
      </w:r>
      <w:r>
        <w:rPr>
          <w:rStyle w:val="Hyperlink"/>
          <w:color w:val="auto"/>
          <w:u w:val="none"/>
          <w:lang w:val="en-US"/>
        </w:rPr>
        <w:t xml:space="preserve"> “Equality Bodies promoting a better Work-Life Balance for all” </w:t>
      </w:r>
      <w:hyperlink r:id="rId14" w:history="1">
        <w:r w:rsidRPr="00105F8D">
          <w:rPr>
            <w:rStyle w:val="Hyperlink"/>
            <w:lang w:val="en-US"/>
          </w:rPr>
          <w:t>here</w:t>
        </w:r>
      </w:hyperlink>
    </w:p>
    <w:p w14:paraId="0E2E2164" w14:textId="77777777" w:rsidR="00E82E7C" w:rsidRDefault="00E82E7C" w:rsidP="00565043">
      <w:pPr>
        <w:pBdr>
          <w:bottom w:val="dotted" w:sz="4" w:space="1" w:color="auto"/>
        </w:pBdr>
        <w:rPr>
          <w:rStyle w:val="Hyperlink"/>
          <w:lang w:val="en-US"/>
        </w:rPr>
      </w:pPr>
    </w:p>
    <w:p w14:paraId="11534588" w14:textId="0611A0E4" w:rsidR="00E82E7C" w:rsidRDefault="00E82E7C" w:rsidP="00105F8D">
      <w:pPr>
        <w:pStyle w:val="Heading1"/>
        <w:jc w:val="both"/>
        <w:rPr>
          <w:lang w:val="en-GB"/>
        </w:rPr>
      </w:pPr>
      <w:bookmarkStart w:id="7" w:name="_Highlight_2_:"/>
      <w:bookmarkStart w:id="8" w:name="_Ref429646322"/>
      <w:bookmarkEnd w:id="7"/>
      <w:r w:rsidRPr="006075A4">
        <w:rPr>
          <w:lang w:val="en-GB"/>
        </w:rPr>
        <w:t>Highlight</w:t>
      </w:r>
      <w:r w:rsidR="00105F8D">
        <w:rPr>
          <w:lang w:val="en-GB"/>
        </w:rPr>
        <w:t xml:space="preserve"> 2</w:t>
      </w:r>
      <w:r>
        <w:rPr>
          <w:lang w:val="en-GB"/>
        </w:rPr>
        <w:t xml:space="preserve">: EU Commissioner for Justice, Consumers and Gender Equality </w:t>
      </w:r>
      <w:r w:rsidR="00734615" w:rsidRPr="00A07965">
        <w:rPr>
          <w:lang w:val="en-GB"/>
        </w:rPr>
        <w:t>Věra Jourová</w:t>
      </w:r>
      <w:r w:rsidR="00565043">
        <w:rPr>
          <w:lang w:val="en-GB"/>
        </w:rPr>
        <w:t xml:space="preserve"> </w:t>
      </w:r>
      <w:r>
        <w:rPr>
          <w:lang w:val="en-GB"/>
        </w:rPr>
        <w:t>meets with Equinet Chair and Executive Director</w:t>
      </w:r>
      <w:bookmarkEnd w:id="8"/>
    </w:p>
    <w:p w14:paraId="26D4657A" w14:textId="77777777" w:rsidR="00105F8D" w:rsidRDefault="00105F8D" w:rsidP="00105F8D">
      <w:pPr>
        <w:rPr>
          <w:lang w:val="en-US"/>
        </w:rPr>
      </w:pPr>
      <w:r>
        <w:rPr>
          <w:noProof/>
          <w:lang w:eastAsia="fr-BE"/>
        </w:rPr>
        <w:drawing>
          <wp:anchor distT="0" distB="0" distL="114300" distR="114300" simplePos="0" relativeHeight="251651584" behindDoc="0" locked="0" layoutInCell="1" allowOverlap="1" wp14:anchorId="477C952D" wp14:editId="17BA17A3">
            <wp:simplePos x="0" y="0"/>
            <wp:positionH relativeFrom="margin">
              <wp:align>right</wp:align>
            </wp:positionH>
            <wp:positionV relativeFrom="margin">
              <wp:posOffset>6562725</wp:posOffset>
            </wp:positionV>
            <wp:extent cx="2371725" cy="1605280"/>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EDC.JPG"/>
                    <pic:cNvPicPr/>
                  </pic:nvPicPr>
                  <pic:blipFill>
                    <a:blip r:embed="rId15">
                      <a:extLst>
                        <a:ext uri="{28A0092B-C50C-407E-A947-70E740481C1C}">
                          <a14:useLocalDpi xmlns:a14="http://schemas.microsoft.com/office/drawing/2010/main" val="0"/>
                        </a:ext>
                      </a:extLst>
                    </a:blip>
                    <a:stretch>
                      <a:fillRect/>
                    </a:stretch>
                  </pic:blipFill>
                  <pic:spPr>
                    <a:xfrm>
                      <a:off x="0" y="0"/>
                      <a:ext cx="2371725" cy="1605280"/>
                    </a:xfrm>
                    <a:prstGeom prst="rect">
                      <a:avLst/>
                    </a:prstGeom>
                  </pic:spPr>
                </pic:pic>
              </a:graphicData>
            </a:graphic>
            <wp14:sizeRelH relativeFrom="margin">
              <wp14:pctWidth>0</wp14:pctWidth>
            </wp14:sizeRelH>
            <wp14:sizeRelV relativeFrom="margin">
              <wp14:pctHeight>0</wp14:pctHeight>
            </wp14:sizeRelV>
          </wp:anchor>
        </w:drawing>
      </w:r>
    </w:p>
    <w:p w14:paraId="49025B8F" w14:textId="3D45D27C" w:rsidR="00E82E7C" w:rsidRPr="00105F8D" w:rsidRDefault="00E82E7C" w:rsidP="00105F8D">
      <w:pPr>
        <w:jc w:val="both"/>
        <w:rPr>
          <w:lang w:val="en-GB"/>
        </w:rPr>
      </w:pPr>
      <w:r w:rsidRPr="00E82E7C">
        <w:rPr>
          <w:lang w:val="en-US"/>
        </w:rPr>
        <w:t xml:space="preserve">On 27th August 2015, Equinet Chair </w:t>
      </w:r>
      <w:r w:rsidRPr="00E82E7C">
        <w:rPr>
          <w:b/>
          <w:lang w:val="en-US"/>
        </w:rPr>
        <w:t>Evelyn Collins</w:t>
      </w:r>
      <w:r w:rsidRPr="00E82E7C">
        <w:rPr>
          <w:lang w:val="en-US"/>
        </w:rPr>
        <w:t xml:space="preserve">, Executive Director </w:t>
      </w:r>
      <w:r w:rsidRPr="00E82E7C">
        <w:rPr>
          <w:b/>
          <w:lang w:val="en-US"/>
        </w:rPr>
        <w:t>Anne Gaspard</w:t>
      </w:r>
      <w:r w:rsidRPr="00E82E7C">
        <w:rPr>
          <w:lang w:val="en-US"/>
        </w:rPr>
        <w:t xml:space="preserve"> and Project Officer </w:t>
      </w:r>
      <w:r w:rsidRPr="00E82E7C">
        <w:rPr>
          <w:b/>
          <w:lang w:val="en-US"/>
        </w:rPr>
        <w:t>Jessica Machacova</w:t>
      </w:r>
      <w:r w:rsidRPr="00E82E7C">
        <w:rPr>
          <w:lang w:val="en-US"/>
        </w:rPr>
        <w:t xml:space="preserve"> met the EU Commissioner for Justice, Consumers and Gender Equality </w:t>
      </w:r>
      <w:r w:rsidRPr="00E82E7C">
        <w:rPr>
          <w:b/>
          <w:lang w:val="en-US"/>
        </w:rPr>
        <w:t>Věra Jourová.</w:t>
      </w:r>
    </w:p>
    <w:p w14:paraId="7A7F68B1" w14:textId="77777777" w:rsidR="00E82E7C" w:rsidRDefault="00E82E7C" w:rsidP="00105F8D">
      <w:pPr>
        <w:pStyle w:val="NormalWeb"/>
        <w:shd w:val="clear" w:color="auto" w:fill="FFFFFF"/>
        <w:spacing w:before="0" w:beforeAutospacing="0" w:after="0" w:afterAutospacing="0" w:line="276" w:lineRule="auto"/>
        <w:jc w:val="both"/>
        <w:rPr>
          <w:rFonts w:asciiTheme="minorHAnsi" w:eastAsiaTheme="minorHAnsi" w:hAnsiTheme="minorHAnsi" w:cstheme="minorBidi"/>
          <w:sz w:val="22"/>
          <w:szCs w:val="22"/>
          <w:lang w:val="en-US" w:eastAsia="en-US"/>
        </w:rPr>
      </w:pPr>
      <w:r w:rsidRPr="00E82E7C">
        <w:rPr>
          <w:rFonts w:asciiTheme="minorHAnsi" w:eastAsiaTheme="minorHAnsi" w:hAnsiTheme="minorHAnsi" w:cstheme="minorBidi"/>
          <w:sz w:val="22"/>
          <w:szCs w:val="22"/>
          <w:lang w:val="en-US" w:eastAsia="en-US"/>
        </w:rPr>
        <w:t>This introductory meeting aimed to </w:t>
      </w:r>
      <w:r w:rsidRPr="00E82E7C">
        <w:rPr>
          <w:rFonts w:asciiTheme="minorHAnsi" w:eastAsiaTheme="minorHAnsi" w:hAnsiTheme="minorHAnsi" w:cstheme="minorBidi"/>
          <w:b/>
          <w:bCs/>
          <w:sz w:val="22"/>
          <w:szCs w:val="22"/>
          <w:lang w:val="en-US" w:eastAsia="en-US"/>
        </w:rPr>
        <w:t>present the role of Equinet and equality bodies and exchange on current EU priorities in relation to equality and non-discrimination</w:t>
      </w:r>
      <w:r w:rsidRPr="00E82E7C">
        <w:rPr>
          <w:rFonts w:asciiTheme="minorHAnsi" w:eastAsiaTheme="minorHAnsi" w:hAnsiTheme="minorHAnsi" w:cstheme="minorBidi"/>
          <w:sz w:val="22"/>
          <w:szCs w:val="22"/>
          <w:lang w:val="en-US" w:eastAsia="en-US"/>
        </w:rPr>
        <w:t>.</w:t>
      </w:r>
    </w:p>
    <w:p w14:paraId="70093C99" w14:textId="77777777" w:rsidR="00105F8D" w:rsidRPr="00E82E7C" w:rsidRDefault="00105F8D" w:rsidP="00105F8D">
      <w:pPr>
        <w:pStyle w:val="NormalWeb"/>
        <w:shd w:val="clear" w:color="auto" w:fill="FFFFFF"/>
        <w:spacing w:before="0" w:beforeAutospacing="0" w:after="0" w:afterAutospacing="0" w:line="276" w:lineRule="auto"/>
        <w:jc w:val="both"/>
        <w:rPr>
          <w:rFonts w:asciiTheme="minorHAnsi" w:eastAsiaTheme="minorHAnsi" w:hAnsiTheme="minorHAnsi" w:cstheme="minorBidi"/>
          <w:sz w:val="22"/>
          <w:szCs w:val="22"/>
          <w:lang w:val="en-US" w:eastAsia="en-US"/>
        </w:rPr>
      </w:pPr>
    </w:p>
    <w:p w14:paraId="04E05626" w14:textId="644F998E" w:rsidR="00E82E7C" w:rsidRPr="00E82E7C" w:rsidRDefault="00EF0A80" w:rsidP="00105F8D">
      <w:pPr>
        <w:pStyle w:val="NormalWeb"/>
        <w:shd w:val="clear" w:color="auto" w:fill="FFFFFF"/>
        <w:spacing w:before="0" w:beforeAutospacing="0" w:after="0" w:afterAutospacing="0" w:line="276" w:lineRule="auto"/>
        <w:jc w:val="both"/>
        <w:rPr>
          <w:rFonts w:asciiTheme="minorHAnsi" w:eastAsiaTheme="minorHAnsi" w:hAnsiTheme="minorHAnsi" w:cstheme="minorBidi"/>
          <w:sz w:val="22"/>
          <w:szCs w:val="22"/>
          <w:lang w:val="en-US" w:eastAsia="en-US"/>
        </w:rPr>
      </w:pPr>
      <w:hyperlink r:id="rId16" w:history="1">
        <w:r w:rsidR="00E82E7C" w:rsidRPr="00E82E7C">
          <w:rPr>
            <w:rFonts w:asciiTheme="minorHAnsi" w:eastAsiaTheme="minorHAnsi" w:hAnsiTheme="minorHAnsi" w:cstheme="minorBidi"/>
            <w:sz w:val="22"/>
            <w:szCs w:val="22"/>
            <w:lang w:val="en-US" w:eastAsia="en-US"/>
          </w:rPr>
          <w:t>Věra Jourová</w:t>
        </w:r>
      </w:hyperlink>
      <w:r w:rsidR="00E82E7C" w:rsidRPr="00E82E7C">
        <w:rPr>
          <w:rFonts w:asciiTheme="minorHAnsi" w:eastAsiaTheme="minorHAnsi" w:hAnsiTheme="minorHAnsi" w:cstheme="minorBidi"/>
          <w:sz w:val="22"/>
          <w:szCs w:val="22"/>
          <w:lang w:val="en-US" w:eastAsia="en-US"/>
        </w:rPr>
        <w:t> started the meeting by </w:t>
      </w:r>
      <w:r w:rsidR="00E82E7C" w:rsidRPr="00E82E7C">
        <w:rPr>
          <w:rFonts w:asciiTheme="minorHAnsi" w:eastAsiaTheme="minorHAnsi" w:hAnsiTheme="minorHAnsi" w:cstheme="minorBidi"/>
          <w:b/>
          <w:bCs/>
          <w:sz w:val="22"/>
          <w:szCs w:val="22"/>
          <w:lang w:val="en-US" w:eastAsia="en-US"/>
        </w:rPr>
        <w:t>presenting current EU priorities</w:t>
      </w:r>
      <w:r w:rsidR="00E82E7C" w:rsidRPr="00E82E7C">
        <w:rPr>
          <w:rFonts w:asciiTheme="minorHAnsi" w:eastAsiaTheme="minorHAnsi" w:hAnsiTheme="minorHAnsi" w:cstheme="minorBidi"/>
          <w:sz w:val="22"/>
          <w:szCs w:val="22"/>
          <w:lang w:val="en-US" w:eastAsia="en-US"/>
        </w:rPr>
        <w:t> and in particular, the </w:t>
      </w:r>
      <w:hyperlink r:id="rId17" w:history="1">
        <w:r w:rsidR="00E82E7C" w:rsidRPr="00E82E7C">
          <w:rPr>
            <w:rFonts w:asciiTheme="minorHAnsi" w:eastAsiaTheme="minorHAnsi" w:hAnsiTheme="minorHAnsi" w:cstheme="minorBidi"/>
            <w:sz w:val="22"/>
            <w:szCs w:val="22"/>
            <w:lang w:val="en-US" w:eastAsia="en-US"/>
          </w:rPr>
          <w:t>new </w:t>
        </w:r>
        <w:r w:rsidR="00E82E7C" w:rsidRPr="00E82E7C">
          <w:rPr>
            <w:rFonts w:asciiTheme="minorHAnsi" w:eastAsiaTheme="minorHAnsi" w:hAnsiTheme="minorHAnsi" w:cstheme="minorBidi"/>
            <w:b/>
            <w:bCs/>
            <w:sz w:val="22"/>
            <w:szCs w:val="22"/>
            <w:lang w:val="en-US" w:eastAsia="en-US"/>
          </w:rPr>
          <w:t>Roadmap on Work-Life Balance</w:t>
        </w:r>
      </w:hyperlink>
      <w:r w:rsidR="00E82E7C" w:rsidRPr="00E82E7C">
        <w:rPr>
          <w:rFonts w:asciiTheme="minorHAnsi" w:eastAsiaTheme="minorHAnsi" w:hAnsiTheme="minorHAnsi" w:cstheme="minorBidi"/>
          <w:sz w:val="22"/>
          <w:szCs w:val="22"/>
          <w:lang w:val="en-US" w:eastAsia="en-US"/>
        </w:rPr>
        <w:t> published by the European Commission in July 2015. Other policy priorities mentioned were the proposals on the </w:t>
      </w:r>
      <w:hyperlink r:id="rId18" w:history="1">
        <w:r w:rsidR="00E82E7C" w:rsidRPr="00E82E7C">
          <w:rPr>
            <w:rFonts w:asciiTheme="minorHAnsi" w:eastAsiaTheme="minorHAnsi" w:hAnsiTheme="minorHAnsi" w:cstheme="minorBidi"/>
            <w:b/>
            <w:bCs/>
            <w:color w:val="0070C0"/>
            <w:sz w:val="22"/>
            <w:szCs w:val="22"/>
            <w:u w:val="single"/>
            <w:lang w:val="en-US" w:eastAsia="en-US"/>
          </w:rPr>
          <w:t>EU Equal Treatment Directive</w:t>
        </w:r>
      </w:hyperlink>
      <w:r w:rsidR="00E82E7C" w:rsidRPr="00E82E7C">
        <w:rPr>
          <w:rFonts w:asciiTheme="minorHAnsi" w:eastAsiaTheme="minorHAnsi" w:hAnsiTheme="minorHAnsi" w:cstheme="minorBidi"/>
          <w:sz w:val="22"/>
          <w:szCs w:val="22"/>
          <w:lang w:val="en-US" w:eastAsia="en-US"/>
        </w:rPr>
        <w:t> and</w:t>
      </w:r>
      <w:r w:rsidR="00E82E7C">
        <w:rPr>
          <w:rFonts w:asciiTheme="minorHAnsi" w:eastAsiaTheme="minorHAnsi" w:hAnsiTheme="minorHAnsi" w:cstheme="minorBidi"/>
          <w:sz w:val="22"/>
          <w:szCs w:val="22"/>
          <w:lang w:val="en-US" w:eastAsia="en-US"/>
        </w:rPr>
        <w:t xml:space="preserve"> </w:t>
      </w:r>
      <w:hyperlink r:id="rId19" w:history="1">
        <w:r w:rsidR="00E82E7C" w:rsidRPr="00E82E7C">
          <w:rPr>
            <w:rFonts w:asciiTheme="minorHAnsi" w:eastAsiaTheme="minorHAnsi" w:hAnsiTheme="minorHAnsi" w:cstheme="minorBidi"/>
            <w:b/>
            <w:bCs/>
            <w:color w:val="0070C0"/>
            <w:sz w:val="22"/>
            <w:szCs w:val="22"/>
            <w:u w:val="single"/>
            <w:lang w:val="en-US" w:eastAsia="en-US"/>
          </w:rPr>
          <w:t>Women on Boards Directive</w:t>
        </w:r>
      </w:hyperlink>
      <w:r w:rsidR="00E82E7C" w:rsidRPr="00E82E7C">
        <w:rPr>
          <w:rFonts w:asciiTheme="minorHAnsi" w:eastAsiaTheme="minorHAnsi" w:hAnsiTheme="minorHAnsi" w:cstheme="minorBidi"/>
          <w:sz w:val="22"/>
          <w:szCs w:val="22"/>
          <w:lang w:val="en-US" w:eastAsia="en-US"/>
        </w:rPr>
        <w:t>.</w:t>
      </w:r>
    </w:p>
    <w:p w14:paraId="2D66B1B2" w14:textId="77777777" w:rsidR="00105F8D" w:rsidRDefault="00105F8D" w:rsidP="00105F8D">
      <w:pPr>
        <w:pStyle w:val="NormalWeb"/>
        <w:shd w:val="clear" w:color="auto" w:fill="FFFFFF"/>
        <w:spacing w:before="0" w:beforeAutospacing="0" w:after="0" w:afterAutospacing="0" w:line="276" w:lineRule="auto"/>
        <w:jc w:val="both"/>
        <w:rPr>
          <w:rFonts w:asciiTheme="minorHAnsi" w:eastAsiaTheme="minorHAnsi" w:hAnsiTheme="minorHAnsi" w:cstheme="minorBidi"/>
          <w:sz w:val="22"/>
          <w:szCs w:val="22"/>
          <w:lang w:val="en-US" w:eastAsia="en-US"/>
        </w:rPr>
      </w:pPr>
    </w:p>
    <w:p w14:paraId="56EB045E" w14:textId="77777777" w:rsidR="00105F8D" w:rsidRDefault="00E82E7C" w:rsidP="00105F8D">
      <w:pPr>
        <w:pStyle w:val="NormalWeb"/>
        <w:shd w:val="clear" w:color="auto" w:fill="FFFFFF"/>
        <w:spacing w:before="0" w:beforeAutospacing="0" w:after="0" w:afterAutospacing="0" w:line="276" w:lineRule="auto"/>
        <w:jc w:val="both"/>
        <w:rPr>
          <w:rFonts w:asciiTheme="minorHAnsi" w:eastAsiaTheme="minorHAnsi" w:hAnsiTheme="minorHAnsi" w:cstheme="minorBidi"/>
          <w:sz w:val="22"/>
          <w:szCs w:val="22"/>
          <w:lang w:val="en-US" w:eastAsia="en-US"/>
        </w:rPr>
      </w:pPr>
      <w:r w:rsidRPr="00E82E7C">
        <w:rPr>
          <w:rFonts w:asciiTheme="minorHAnsi" w:eastAsiaTheme="minorHAnsi" w:hAnsiTheme="minorHAnsi" w:cstheme="minorBidi"/>
          <w:sz w:val="22"/>
          <w:szCs w:val="22"/>
          <w:lang w:val="en-US" w:eastAsia="en-US"/>
        </w:rPr>
        <w:t>Evelyn Collins presented the crucial </w:t>
      </w:r>
      <w:r w:rsidRPr="00E82E7C">
        <w:rPr>
          <w:rFonts w:asciiTheme="minorHAnsi" w:eastAsiaTheme="minorHAnsi" w:hAnsiTheme="minorHAnsi" w:cstheme="minorBidi"/>
          <w:b/>
          <w:bCs/>
          <w:sz w:val="22"/>
          <w:szCs w:val="22"/>
          <w:lang w:val="en-US" w:eastAsia="en-US"/>
        </w:rPr>
        <w:t>role of equality bodies as watchdogs for equality in implementing the EU legislation and assisting citizens that are victims of discrimination</w:t>
      </w:r>
      <w:r w:rsidRPr="00E82E7C">
        <w:rPr>
          <w:rFonts w:asciiTheme="minorHAnsi" w:eastAsiaTheme="minorHAnsi" w:hAnsiTheme="minorHAnsi" w:cstheme="minorBidi"/>
          <w:sz w:val="22"/>
          <w:szCs w:val="22"/>
          <w:lang w:val="en-US" w:eastAsia="en-US"/>
        </w:rPr>
        <w:t>. She underlined the </w:t>
      </w:r>
      <w:r w:rsidRPr="00E82E7C">
        <w:rPr>
          <w:rFonts w:asciiTheme="minorHAnsi" w:eastAsiaTheme="minorHAnsi" w:hAnsiTheme="minorHAnsi" w:cstheme="minorBidi"/>
          <w:b/>
          <w:bCs/>
          <w:sz w:val="22"/>
          <w:szCs w:val="22"/>
          <w:lang w:val="en-US" w:eastAsia="en-US"/>
        </w:rPr>
        <w:t>need for clear standards for equality bodies</w:t>
      </w:r>
      <w:r w:rsidRPr="00E82E7C">
        <w:rPr>
          <w:rFonts w:asciiTheme="minorHAnsi" w:eastAsiaTheme="minorHAnsi" w:hAnsiTheme="minorHAnsi" w:cstheme="minorBidi"/>
          <w:sz w:val="22"/>
          <w:szCs w:val="22"/>
          <w:lang w:val="en-US" w:eastAsia="en-US"/>
        </w:rPr>
        <w:t> in order to secure their independence and powers.</w:t>
      </w:r>
    </w:p>
    <w:p w14:paraId="33034F26" w14:textId="77777777" w:rsidR="00105F8D" w:rsidRDefault="00105F8D" w:rsidP="00105F8D">
      <w:pPr>
        <w:pStyle w:val="NormalWeb"/>
        <w:shd w:val="clear" w:color="auto" w:fill="FFFFFF"/>
        <w:spacing w:before="0" w:beforeAutospacing="0" w:after="0" w:afterAutospacing="0" w:line="276" w:lineRule="auto"/>
        <w:jc w:val="both"/>
        <w:rPr>
          <w:rFonts w:asciiTheme="minorHAnsi" w:eastAsiaTheme="minorHAnsi" w:hAnsiTheme="minorHAnsi" w:cstheme="minorBidi"/>
          <w:sz w:val="22"/>
          <w:szCs w:val="22"/>
          <w:lang w:val="en-US" w:eastAsia="en-US"/>
        </w:rPr>
      </w:pPr>
    </w:p>
    <w:p w14:paraId="1EE0AF1A" w14:textId="77777777" w:rsidR="00105F8D" w:rsidRDefault="00E82E7C" w:rsidP="00105F8D">
      <w:pPr>
        <w:pStyle w:val="NormalWeb"/>
        <w:shd w:val="clear" w:color="auto" w:fill="FFFFFF"/>
        <w:spacing w:before="0" w:beforeAutospacing="0" w:after="0" w:afterAutospacing="0" w:line="276" w:lineRule="auto"/>
        <w:jc w:val="both"/>
        <w:rPr>
          <w:rFonts w:asciiTheme="minorHAnsi" w:eastAsiaTheme="minorHAnsi" w:hAnsiTheme="minorHAnsi" w:cstheme="minorBidi"/>
          <w:sz w:val="22"/>
          <w:szCs w:val="22"/>
          <w:lang w:val="en-US" w:eastAsia="en-US"/>
        </w:rPr>
      </w:pPr>
      <w:r w:rsidRPr="00E82E7C">
        <w:rPr>
          <w:rFonts w:asciiTheme="minorHAnsi" w:eastAsiaTheme="minorHAnsi" w:hAnsiTheme="minorHAnsi" w:cstheme="minorBidi"/>
          <w:sz w:val="22"/>
          <w:szCs w:val="22"/>
          <w:lang w:val="en-US" w:eastAsia="en-US"/>
        </w:rPr>
        <w:t>Equinet warmly thanks Commissioner Jourová and her cabinet for the meeting and very much looks forward to continuing this fruitful cooperation in the future.</w:t>
      </w:r>
    </w:p>
    <w:p w14:paraId="1A26EE98" w14:textId="77777777" w:rsidR="00105F8D" w:rsidRDefault="00105F8D" w:rsidP="00105F8D">
      <w:pPr>
        <w:pStyle w:val="NormalWeb"/>
        <w:shd w:val="clear" w:color="auto" w:fill="FFFFFF"/>
        <w:spacing w:before="0" w:beforeAutospacing="0" w:after="0" w:afterAutospacing="0" w:line="276" w:lineRule="auto"/>
        <w:jc w:val="both"/>
        <w:rPr>
          <w:rFonts w:asciiTheme="minorHAnsi" w:eastAsiaTheme="minorHAnsi" w:hAnsiTheme="minorHAnsi" w:cstheme="minorBidi"/>
          <w:sz w:val="22"/>
          <w:szCs w:val="22"/>
          <w:lang w:val="en-US" w:eastAsia="en-US"/>
        </w:rPr>
      </w:pPr>
    </w:p>
    <w:p w14:paraId="695DD490" w14:textId="40A2F60F" w:rsidR="00E82E7C" w:rsidRPr="00105F8D" w:rsidRDefault="00E82E7C" w:rsidP="00F74C95">
      <w:pPr>
        <w:pStyle w:val="NormalWeb"/>
        <w:shd w:val="clear" w:color="auto" w:fill="D9D9D9" w:themeFill="background1" w:themeFillShade="D9"/>
        <w:spacing w:before="0" w:beforeAutospacing="0" w:after="0" w:afterAutospacing="0" w:line="276" w:lineRule="auto"/>
        <w:jc w:val="both"/>
        <w:rPr>
          <w:rFonts w:asciiTheme="minorHAnsi" w:eastAsiaTheme="minorHAnsi" w:hAnsiTheme="minorHAnsi" w:cstheme="minorBidi"/>
          <w:sz w:val="20"/>
          <w:szCs w:val="22"/>
          <w:lang w:val="en-US" w:eastAsia="en-US"/>
        </w:rPr>
      </w:pPr>
      <w:r w:rsidRPr="00105F8D">
        <w:rPr>
          <w:rFonts w:asciiTheme="minorHAnsi" w:hAnsiTheme="minorHAnsi"/>
          <w:sz w:val="22"/>
          <w:lang w:val="en-US"/>
        </w:rPr>
        <w:t xml:space="preserve">Read our </w:t>
      </w:r>
      <w:r w:rsidRPr="00A07965">
        <w:rPr>
          <w:rFonts w:asciiTheme="minorHAnsi" w:hAnsiTheme="minorHAnsi"/>
          <w:b/>
          <w:sz w:val="22"/>
          <w:lang w:val="en-US"/>
        </w:rPr>
        <w:t>full article</w:t>
      </w:r>
      <w:r w:rsidRPr="00105F8D">
        <w:rPr>
          <w:rFonts w:asciiTheme="minorHAnsi" w:hAnsiTheme="minorHAnsi"/>
          <w:sz w:val="22"/>
          <w:lang w:val="en-US"/>
        </w:rPr>
        <w:t xml:space="preserve"> on the meeting </w:t>
      </w:r>
      <w:hyperlink r:id="rId20" w:history="1">
        <w:r w:rsidRPr="00105F8D">
          <w:rPr>
            <w:rStyle w:val="Hyperlink"/>
            <w:rFonts w:asciiTheme="minorHAnsi" w:hAnsiTheme="minorHAnsi"/>
            <w:sz w:val="22"/>
            <w:lang w:val="en-US"/>
          </w:rPr>
          <w:t>here</w:t>
        </w:r>
      </w:hyperlink>
      <w:r w:rsidR="000D5FBD">
        <w:rPr>
          <w:rFonts w:asciiTheme="minorHAnsi" w:hAnsiTheme="minorHAnsi"/>
          <w:sz w:val="22"/>
          <w:lang w:val="en-US"/>
        </w:rPr>
        <w:t xml:space="preserve">. </w:t>
      </w:r>
      <w:bookmarkStart w:id="9" w:name="_GoBack"/>
      <w:bookmarkEnd w:id="9"/>
    </w:p>
    <w:p w14:paraId="3826F7AE" w14:textId="77777777" w:rsidR="00A73FA9" w:rsidRPr="006075A4" w:rsidRDefault="00A73FA9" w:rsidP="000263B4">
      <w:pPr>
        <w:pBdr>
          <w:bottom w:val="dotted" w:sz="36" w:space="1" w:color="auto"/>
        </w:pBdr>
        <w:spacing w:line="240" w:lineRule="auto"/>
        <w:rPr>
          <w:lang w:val="en-GB"/>
        </w:rPr>
      </w:pPr>
    </w:p>
    <w:p w14:paraId="54158D4D" w14:textId="590BA1E0" w:rsidR="00F93FE2" w:rsidRDefault="00F93FE2">
      <w:pPr>
        <w:rPr>
          <w:rFonts w:ascii="Tahoma" w:eastAsiaTheme="majorEastAsia" w:hAnsi="Tahoma" w:cstheme="majorBidi"/>
          <w:b/>
          <w:color w:val="2E74B5" w:themeColor="accent1" w:themeShade="BF"/>
          <w:sz w:val="32"/>
          <w:szCs w:val="32"/>
          <w:lang w:val="en-GB"/>
        </w:rPr>
      </w:pPr>
      <w:bookmarkStart w:id="10" w:name="_Toc418770746"/>
      <w:bookmarkStart w:id="11" w:name="_Ref418784288"/>
      <w:bookmarkStart w:id="12" w:name="_Ref421267472"/>
      <w:r>
        <w:rPr>
          <w:lang w:val="en-GB"/>
        </w:rPr>
        <w:br w:type="page"/>
      </w:r>
    </w:p>
    <w:p w14:paraId="1FD19623" w14:textId="1F51CFE5" w:rsidR="0034362B" w:rsidRDefault="00A73FA9" w:rsidP="00382B08">
      <w:pPr>
        <w:pStyle w:val="Heading1"/>
        <w:spacing w:line="240" w:lineRule="auto"/>
        <w:rPr>
          <w:lang w:val="en-GB"/>
        </w:rPr>
      </w:pPr>
      <w:bookmarkStart w:id="13" w:name="_Thematic_Policy_Developments"/>
      <w:bookmarkStart w:id="14" w:name="_Ref429646323"/>
      <w:bookmarkEnd w:id="13"/>
      <w:r w:rsidRPr="006075A4">
        <w:rPr>
          <w:lang w:val="en-GB"/>
        </w:rPr>
        <w:lastRenderedPageBreak/>
        <w:t>Thematic Policy Developments</w:t>
      </w:r>
      <w:bookmarkStart w:id="15" w:name="_Toc418770747"/>
      <w:bookmarkStart w:id="16" w:name="_Ref418784309"/>
      <w:bookmarkEnd w:id="10"/>
      <w:bookmarkEnd w:id="11"/>
      <w:bookmarkEnd w:id="12"/>
      <w:bookmarkEnd w:id="14"/>
    </w:p>
    <w:p w14:paraId="2A91AB76" w14:textId="77777777" w:rsidR="00382B08" w:rsidRPr="00382B08" w:rsidRDefault="00382B08" w:rsidP="00382B08">
      <w:pPr>
        <w:rPr>
          <w:lang w:val="en-GB"/>
        </w:rPr>
      </w:pPr>
    </w:p>
    <w:p w14:paraId="122FE4BC" w14:textId="627C1666" w:rsidR="00565043" w:rsidRDefault="007C60CD" w:rsidP="00565043">
      <w:pPr>
        <w:pStyle w:val="Heading2"/>
        <w:pBdr>
          <w:top w:val="dotted" w:sz="4" w:space="1" w:color="auto"/>
          <w:bottom w:val="dotted" w:sz="4" w:space="1" w:color="auto"/>
        </w:pBdr>
        <w:jc w:val="center"/>
        <w:rPr>
          <w:lang w:val="en-US"/>
        </w:rPr>
      </w:pPr>
      <w:bookmarkStart w:id="17" w:name="_Gender_Equality"/>
      <w:bookmarkStart w:id="18" w:name="_Ref429646325"/>
      <w:bookmarkEnd w:id="17"/>
      <w:r w:rsidRPr="001A6505">
        <w:rPr>
          <w:lang w:val="en-US"/>
        </w:rPr>
        <w:t>General</w:t>
      </w:r>
      <w:bookmarkEnd w:id="18"/>
    </w:p>
    <w:p w14:paraId="4D742CCF" w14:textId="77777777" w:rsidR="00565043" w:rsidRPr="00565043" w:rsidRDefault="00565043" w:rsidP="00565043">
      <w:pPr>
        <w:rPr>
          <w:lang w:val="en-US"/>
        </w:rPr>
      </w:pPr>
    </w:p>
    <w:p w14:paraId="1A875998" w14:textId="6D55F0D0" w:rsidR="001A6505" w:rsidRPr="00565043" w:rsidRDefault="00F74C95" w:rsidP="00565043">
      <w:pPr>
        <w:jc w:val="both"/>
        <w:rPr>
          <w:b/>
          <w:sz w:val="24"/>
          <w:lang w:val="en-US"/>
        </w:rPr>
      </w:pPr>
      <w:r w:rsidRPr="00565043">
        <w:rPr>
          <w:b/>
          <w:sz w:val="24"/>
          <w:lang w:val="en-US"/>
        </w:rPr>
        <w:t xml:space="preserve">EUROPEAN COMMISSION: </w:t>
      </w:r>
      <w:r w:rsidR="001A6505" w:rsidRPr="00565043">
        <w:rPr>
          <w:b/>
          <w:sz w:val="24"/>
          <w:lang w:val="en-US"/>
        </w:rPr>
        <w:t>President of the European Commission Jean-Claude Juncker delivers first State of the Union speech</w:t>
      </w:r>
    </w:p>
    <w:p w14:paraId="20515FF3" w14:textId="4E893A2C" w:rsidR="001A6505" w:rsidRDefault="0067576B" w:rsidP="001A6505">
      <w:pPr>
        <w:jc w:val="both"/>
        <w:rPr>
          <w:lang w:val="en-US"/>
        </w:rPr>
      </w:pPr>
      <w:r>
        <w:rPr>
          <w:noProof/>
          <w:lang w:eastAsia="fr-BE"/>
        </w:rPr>
        <w:drawing>
          <wp:anchor distT="0" distB="0" distL="114300" distR="114300" simplePos="0" relativeHeight="251672064" behindDoc="0" locked="0" layoutInCell="1" allowOverlap="1" wp14:anchorId="55B20EB9" wp14:editId="1675C617">
            <wp:simplePos x="0" y="0"/>
            <wp:positionH relativeFrom="margin">
              <wp:posOffset>3369310</wp:posOffset>
            </wp:positionH>
            <wp:positionV relativeFrom="margin">
              <wp:posOffset>1583690</wp:posOffset>
            </wp:positionV>
            <wp:extent cx="2781300" cy="1480185"/>
            <wp:effectExtent l="0" t="0" r="0" b="5715"/>
            <wp:wrapSquare wrapText="bothSides"/>
            <wp:docPr id="1" name="Picture 1" descr="http://www.irishtimes.com/polopoly_fs/1.2345517.1441795635!/image/image.jpg_gen/derivatives/box_620_330/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rishtimes.com/polopoly_fs/1.2345517.1441795635!/image/image.jpg_gen/derivatives/box_620_330/image.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81300" cy="1480185"/>
                    </a:xfrm>
                    <a:prstGeom prst="rect">
                      <a:avLst/>
                    </a:prstGeom>
                    <a:noFill/>
                    <a:ln>
                      <a:noFill/>
                    </a:ln>
                  </pic:spPr>
                </pic:pic>
              </a:graphicData>
            </a:graphic>
            <wp14:sizeRelH relativeFrom="margin">
              <wp14:pctWidth>0</wp14:pctWidth>
            </wp14:sizeRelH>
          </wp:anchor>
        </w:drawing>
      </w:r>
      <w:r w:rsidR="001A6505">
        <w:rPr>
          <w:lang w:val="en-US"/>
        </w:rPr>
        <w:t>On 9</w:t>
      </w:r>
      <w:r w:rsidR="001A6505" w:rsidRPr="001A6505">
        <w:rPr>
          <w:vertAlign w:val="superscript"/>
          <w:lang w:val="en-US"/>
        </w:rPr>
        <w:t>th</w:t>
      </w:r>
      <w:r w:rsidR="001A6505">
        <w:rPr>
          <w:lang w:val="en-US"/>
        </w:rPr>
        <w:t xml:space="preserve"> September 2015, Jean-Claude Juncker, President of the European Commission, delivered </w:t>
      </w:r>
      <w:r w:rsidR="001A6505" w:rsidRPr="00565043">
        <w:rPr>
          <w:b/>
          <w:lang w:val="en-US"/>
        </w:rPr>
        <w:t>the first State of the Union speech</w:t>
      </w:r>
      <w:r w:rsidR="001A6505">
        <w:rPr>
          <w:lang w:val="en-US"/>
        </w:rPr>
        <w:t xml:space="preserve"> in front of the European Par</w:t>
      </w:r>
      <w:r w:rsidR="00565043">
        <w:rPr>
          <w:lang w:val="en-US"/>
        </w:rPr>
        <w:t xml:space="preserve">liament in Strasbourg, France. </w:t>
      </w:r>
      <w:r w:rsidR="001A6505">
        <w:rPr>
          <w:lang w:val="en-US"/>
        </w:rPr>
        <w:t>On this occasion, Jean-Claude Juncker called on Member States to further cooperate on asylum policies and to adopt the relocation plan of 160,000 refugees which will be discussed at the Extraordinary Council of Interior Ministers on Monday, 14</w:t>
      </w:r>
      <w:r w:rsidR="001A6505" w:rsidRPr="001A6505">
        <w:rPr>
          <w:vertAlign w:val="superscript"/>
          <w:lang w:val="en-US"/>
        </w:rPr>
        <w:t>th</w:t>
      </w:r>
      <w:r w:rsidR="001A6505">
        <w:rPr>
          <w:lang w:val="en-US"/>
        </w:rPr>
        <w:t xml:space="preserve"> September. </w:t>
      </w:r>
    </w:p>
    <w:p w14:paraId="3CB42221" w14:textId="7E68314B" w:rsidR="001A6505" w:rsidRDefault="001A6505" w:rsidP="00F74C95">
      <w:pPr>
        <w:shd w:val="clear" w:color="auto" w:fill="D9D9D9" w:themeFill="background1" w:themeFillShade="D9"/>
        <w:jc w:val="both"/>
        <w:rPr>
          <w:b/>
          <w:lang w:val="en-US"/>
        </w:rPr>
      </w:pPr>
      <w:r w:rsidRPr="009D41AF">
        <w:rPr>
          <w:b/>
          <w:lang w:val="en-US"/>
        </w:rPr>
        <w:t xml:space="preserve">The full text of the speech is available </w:t>
      </w:r>
      <w:hyperlink r:id="rId22" w:history="1">
        <w:r w:rsidRPr="009D41AF">
          <w:rPr>
            <w:rStyle w:val="Hyperlink"/>
            <w:b/>
            <w:lang w:val="en-US"/>
          </w:rPr>
          <w:t>here</w:t>
        </w:r>
      </w:hyperlink>
      <w:r w:rsidRPr="009D41AF">
        <w:rPr>
          <w:b/>
          <w:lang w:val="en-US"/>
        </w:rPr>
        <w:t xml:space="preserve">.  </w:t>
      </w:r>
      <w:bookmarkStart w:id="19" w:name="_Ref421267526"/>
    </w:p>
    <w:p w14:paraId="13E6A423" w14:textId="77777777" w:rsidR="003E0589" w:rsidRDefault="003E0589" w:rsidP="002B36E3">
      <w:pPr>
        <w:rPr>
          <w:lang w:val="en-US"/>
        </w:rPr>
      </w:pPr>
    </w:p>
    <w:p w14:paraId="3645F3D6" w14:textId="7D36DEB1" w:rsidR="007E13F1" w:rsidRPr="007E13F1" w:rsidRDefault="007E13F1" w:rsidP="007E13F1">
      <w:pPr>
        <w:jc w:val="both"/>
        <w:rPr>
          <w:b/>
          <w:sz w:val="24"/>
          <w:lang w:val="en-US"/>
        </w:rPr>
      </w:pPr>
      <w:r w:rsidRPr="007E13F1">
        <w:rPr>
          <w:b/>
          <w:sz w:val="24"/>
          <w:lang w:val="en-US"/>
        </w:rPr>
        <w:t>EUROPEAN PARLIAMENT: Resolution of 8</w:t>
      </w:r>
      <w:r w:rsidRPr="007E13F1">
        <w:rPr>
          <w:b/>
          <w:sz w:val="24"/>
          <w:vertAlign w:val="superscript"/>
          <w:lang w:val="en-US"/>
        </w:rPr>
        <w:t>th</w:t>
      </w:r>
      <w:r w:rsidRPr="007E13F1">
        <w:rPr>
          <w:b/>
          <w:sz w:val="24"/>
          <w:lang w:val="en-US"/>
        </w:rPr>
        <w:t xml:space="preserve"> September 2015 on the Situation of Fundamental Rights in the EU (2013-2014)</w:t>
      </w:r>
    </w:p>
    <w:p w14:paraId="6002C8F8" w14:textId="3769929B" w:rsidR="007E13F1" w:rsidRDefault="007E13F1" w:rsidP="008F60FF">
      <w:pPr>
        <w:jc w:val="both"/>
        <w:rPr>
          <w:lang w:val="en-US"/>
        </w:rPr>
      </w:pPr>
      <w:r>
        <w:rPr>
          <w:lang w:val="en-US"/>
        </w:rPr>
        <w:t>On 8</w:t>
      </w:r>
      <w:r w:rsidRPr="007E13F1">
        <w:rPr>
          <w:vertAlign w:val="superscript"/>
          <w:lang w:val="en-US"/>
        </w:rPr>
        <w:t>th</w:t>
      </w:r>
      <w:r>
        <w:rPr>
          <w:lang w:val="en-US"/>
        </w:rPr>
        <w:t xml:space="preserve"> September 2015, the European Parliament adopted the final version of the report on the Situation of Fundamental Rights in the EU 2013-2014. </w:t>
      </w:r>
      <w:r w:rsidR="008F60FF">
        <w:rPr>
          <w:lang w:val="en-US"/>
        </w:rPr>
        <w:t xml:space="preserve">The report calls on the European Commission to adopt </w:t>
      </w:r>
      <w:r w:rsidR="008F60FF" w:rsidRPr="008F60FF">
        <w:rPr>
          <w:b/>
          <w:lang w:val="en-US"/>
        </w:rPr>
        <w:t>an internal strategy on fundamental rights</w:t>
      </w:r>
      <w:r w:rsidR="008F60FF">
        <w:rPr>
          <w:lang w:val="en-US"/>
        </w:rPr>
        <w:t xml:space="preserve"> in the “near future”. It also urges the Council of the EU to adopt the </w:t>
      </w:r>
      <w:r w:rsidR="008F60FF" w:rsidRPr="008F60FF">
        <w:rPr>
          <w:b/>
          <w:lang w:val="en-US"/>
        </w:rPr>
        <w:t>horizontal Equal Treatment Directive</w:t>
      </w:r>
      <w:r w:rsidR="008F60FF">
        <w:rPr>
          <w:lang w:val="en-US"/>
        </w:rPr>
        <w:t xml:space="preserve"> as soon as possible. </w:t>
      </w:r>
    </w:p>
    <w:p w14:paraId="682A1AD9" w14:textId="76D798A9" w:rsidR="008F60FF" w:rsidRDefault="00565043" w:rsidP="008F60FF">
      <w:pPr>
        <w:jc w:val="both"/>
        <w:rPr>
          <w:lang w:val="en-US"/>
        </w:rPr>
      </w:pPr>
      <w:r>
        <w:rPr>
          <w:b/>
          <w:lang w:val="en-US"/>
        </w:rPr>
        <w:t>On two occasions, t</w:t>
      </w:r>
      <w:r w:rsidR="008F60FF" w:rsidRPr="00565043">
        <w:rPr>
          <w:b/>
          <w:lang w:val="en-US"/>
        </w:rPr>
        <w:t xml:space="preserve">he report </w:t>
      </w:r>
      <w:r>
        <w:rPr>
          <w:b/>
          <w:lang w:val="en-US"/>
        </w:rPr>
        <w:t>make</w:t>
      </w:r>
      <w:r w:rsidR="00EF0A80">
        <w:rPr>
          <w:b/>
          <w:lang w:val="en-US"/>
        </w:rPr>
        <w:t>s</w:t>
      </w:r>
      <w:r>
        <w:rPr>
          <w:b/>
          <w:lang w:val="en-US"/>
        </w:rPr>
        <w:t xml:space="preserve"> specific references to equality bodies</w:t>
      </w:r>
      <w:r w:rsidR="008F60FF">
        <w:rPr>
          <w:lang w:val="en-US"/>
        </w:rPr>
        <w:t>:</w:t>
      </w:r>
    </w:p>
    <w:p w14:paraId="6CBE464C" w14:textId="18952365" w:rsidR="008F60FF" w:rsidRDefault="008F60FF" w:rsidP="008F60FF">
      <w:pPr>
        <w:pStyle w:val="ListParagraph"/>
        <w:numPr>
          <w:ilvl w:val="0"/>
          <w:numId w:val="34"/>
        </w:numPr>
        <w:jc w:val="both"/>
        <w:rPr>
          <w:lang w:val="en-US"/>
        </w:rPr>
      </w:pPr>
      <w:r w:rsidRPr="008F60FF">
        <w:rPr>
          <w:lang w:val="en-US"/>
        </w:rPr>
        <w:t>“</w:t>
      </w:r>
      <w:r w:rsidR="00A07965">
        <w:rPr>
          <w:lang w:val="en-US"/>
        </w:rPr>
        <w:t>Point BK.</w:t>
      </w:r>
      <w:r w:rsidRPr="008F60FF">
        <w:rPr>
          <w:lang w:val="en-US"/>
        </w:rPr>
        <w:t xml:space="preserve"> Whereas the effectiveness of specialised institutions such as </w:t>
      </w:r>
      <w:r w:rsidRPr="008F60FF">
        <w:rPr>
          <w:b/>
          <w:lang w:val="en-US"/>
        </w:rPr>
        <w:t>national human rights institutions or equality bodies is important to help citizens better enforce their fundamental rights</w:t>
      </w:r>
      <w:r w:rsidRPr="008F60FF">
        <w:rPr>
          <w:lang w:val="en-US"/>
        </w:rPr>
        <w:t xml:space="preserve"> to the extent that Member States apply EU law;”</w:t>
      </w:r>
    </w:p>
    <w:p w14:paraId="3FEADE1F" w14:textId="03147663" w:rsidR="008F60FF" w:rsidRDefault="008F60FF" w:rsidP="008F60FF">
      <w:pPr>
        <w:pStyle w:val="ListParagraph"/>
        <w:numPr>
          <w:ilvl w:val="0"/>
          <w:numId w:val="34"/>
        </w:numPr>
        <w:jc w:val="both"/>
        <w:rPr>
          <w:lang w:val="en-US"/>
        </w:rPr>
      </w:pPr>
      <w:r>
        <w:rPr>
          <w:lang w:val="en-US"/>
        </w:rPr>
        <w:t>“</w:t>
      </w:r>
      <w:r w:rsidR="00A07965">
        <w:rPr>
          <w:lang w:val="en-US"/>
        </w:rPr>
        <w:t>Point 143</w:t>
      </w:r>
      <w:r w:rsidRPr="008F60FF">
        <w:rPr>
          <w:lang w:val="en-US"/>
        </w:rPr>
        <w:t xml:space="preserve">.  Calls on the EU institutions and the Member States to recognise that long-term investment in social inclusion is beneficial, as it tackles the high cost of discrimination and inequality; calls on the Member States for appropriate public investment to sustain education and healthcare and ensure that access to justice and redress in cases of discrimination are not put in </w:t>
      </w:r>
      <w:r w:rsidRPr="008F60FF">
        <w:rPr>
          <w:b/>
          <w:lang w:val="en-US"/>
        </w:rPr>
        <w:t>danger by drastic funding cuts in equality bodies’ budgets</w:t>
      </w:r>
      <w:r w:rsidRPr="008F60FF">
        <w:rPr>
          <w:lang w:val="en-US"/>
        </w:rPr>
        <w:t>; calls on EU and national institutions not to undermine social inclusion by budgetary measures affecting the functioning of community-based organisations working for equality;</w:t>
      </w:r>
      <w:r>
        <w:rPr>
          <w:lang w:val="en-US"/>
        </w:rPr>
        <w:t>”</w:t>
      </w:r>
    </w:p>
    <w:p w14:paraId="6023EED7" w14:textId="74F5BA81" w:rsidR="008F60FF" w:rsidRPr="008F60FF" w:rsidRDefault="008F60FF" w:rsidP="00A67E65">
      <w:pPr>
        <w:shd w:val="clear" w:color="auto" w:fill="D9D9D9" w:themeFill="background1" w:themeFillShade="D9"/>
        <w:jc w:val="both"/>
        <w:rPr>
          <w:b/>
          <w:lang w:val="en-US"/>
        </w:rPr>
      </w:pPr>
      <w:r w:rsidRPr="008F60FF">
        <w:rPr>
          <w:b/>
          <w:lang w:val="en-US"/>
        </w:rPr>
        <w:t xml:space="preserve">The full report is available </w:t>
      </w:r>
      <w:hyperlink r:id="rId23" w:history="1">
        <w:r w:rsidRPr="008F60FF">
          <w:rPr>
            <w:rStyle w:val="Hyperlink"/>
            <w:b/>
            <w:lang w:val="en-US"/>
          </w:rPr>
          <w:t>here.</w:t>
        </w:r>
      </w:hyperlink>
      <w:r>
        <w:rPr>
          <w:b/>
          <w:lang w:val="en-US"/>
        </w:rPr>
        <w:tab/>
      </w:r>
      <w:r w:rsidRPr="008F60FF">
        <w:rPr>
          <w:b/>
          <w:lang w:val="en-US"/>
        </w:rPr>
        <w:t xml:space="preserve"> </w:t>
      </w:r>
      <w:r>
        <w:rPr>
          <w:b/>
          <w:lang w:val="en-US"/>
        </w:rPr>
        <w:br/>
        <w:t xml:space="preserve">A summary of the report can also be found </w:t>
      </w:r>
      <w:hyperlink r:id="rId24" w:history="1">
        <w:r w:rsidRPr="008F60FF">
          <w:rPr>
            <w:rStyle w:val="Hyperlink"/>
            <w:b/>
            <w:lang w:val="en-US"/>
          </w:rPr>
          <w:t>here</w:t>
        </w:r>
      </w:hyperlink>
      <w:r>
        <w:rPr>
          <w:b/>
          <w:lang w:val="en-US"/>
        </w:rPr>
        <w:t xml:space="preserve">. </w:t>
      </w:r>
    </w:p>
    <w:p w14:paraId="3A825D66" w14:textId="77777777" w:rsidR="007E13F1" w:rsidRDefault="007E13F1" w:rsidP="002B36E3">
      <w:pPr>
        <w:rPr>
          <w:lang w:val="en-US"/>
        </w:rPr>
      </w:pPr>
    </w:p>
    <w:p w14:paraId="0442921D" w14:textId="77777777" w:rsidR="000F6492" w:rsidRDefault="000F6492" w:rsidP="000F6492">
      <w:pPr>
        <w:jc w:val="both"/>
        <w:rPr>
          <w:b/>
          <w:sz w:val="24"/>
          <w:lang w:val="en-US"/>
        </w:rPr>
      </w:pPr>
    </w:p>
    <w:p w14:paraId="08EC25C0" w14:textId="77777777" w:rsidR="000F6492" w:rsidRDefault="000F6492" w:rsidP="000F6492">
      <w:pPr>
        <w:jc w:val="both"/>
        <w:rPr>
          <w:b/>
          <w:sz w:val="24"/>
          <w:lang w:val="en-US"/>
        </w:rPr>
      </w:pPr>
    </w:p>
    <w:p w14:paraId="5A4CA7E7" w14:textId="42CDF652" w:rsidR="000F6492" w:rsidRDefault="000F6492" w:rsidP="000F6492">
      <w:pPr>
        <w:jc w:val="both"/>
        <w:rPr>
          <w:b/>
          <w:sz w:val="24"/>
          <w:lang w:val="en-US"/>
        </w:rPr>
      </w:pPr>
      <w:r w:rsidRPr="000F6492">
        <w:rPr>
          <w:b/>
          <w:sz w:val="24"/>
          <w:lang w:val="en-US"/>
        </w:rPr>
        <w:t xml:space="preserve">COUNCIL OF THE EUROPEAN UNION: </w:t>
      </w:r>
      <w:r>
        <w:rPr>
          <w:b/>
          <w:sz w:val="24"/>
          <w:lang w:val="en-US"/>
        </w:rPr>
        <w:t>Publication of the u</w:t>
      </w:r>
      <w:r w:rsidRPr="000F6492">
        <w:rPr>
          <w:b/>
          <w:sz w:val="24"/>
          <w:lang w:val="en-US"/>
        </w:rPr>
        <w:t xml:space="preserve">pdated proposal of Horizontal/Equal Treatment Directive </w:t>
      </w:r>
    </w:p>
    <w:p w14:paraId="726F8CE7" w14:textId="356524D3" w:rsidR="000F6492" w:rsidRPr="000F6492" w:rsidRDefault="000F6492" w:rsidP="000F6492">
      <w:pPr>
        <w:jc w:val="both"/>
        <w:rPr>
          <w:lang w:val="en-US"/>
        </w:rPr>
      </w:pPr>
      <w:r w:rsidRPr="000F6492">
        <w:rPr>
          <w:lang w:val="en-US"/>
        </w:rPr>
        <w:t xml:space="preserve">A consolidated version of the proposal </w:t>
      </w:r>
      <w:r w:rsidRPr="000F6492">
        <w:rPr>
          <w:lang w:val="en-US"/>
        </w:rPr>
        <w:t>for a Council Directive on impl</w:t>
      </w:r>
      <w:r w:rsidRPr="000F6492">
        <w:rPr>
          <w:lang w:val="en-US"/>
        </w:rPr>
        <w:t xml:space="preserve">ementing the principle of equal </w:t>
      </w:r>
      <w:r w:rsidRPr="000F6492">
        <w:rPr>
          <w:lang w:val="en-US"/>
        </w:rPr>
        <w:t>treatment between persons irrespective of religion or belief, disabilit</w:t>
      </w:r>
      <w:r w:rsidRPr="000F6492">
        <w:rPr>
          <w:lang w:val="en-US"/>
        </w:rPr>
        <w:t xml:space="preserve">y, age </w:t>
      </w:r>
      <w:r w:rsidRPr="000F6492">
        <w:rPr>
          <w:lang w:val="en-US"/>
        </w:rPr>
        <w:t>or sexual orientation</w:t>
      </w:r>
      <w:r w:rsidRPr="000F6492">
        <w:rPr>
          <w:lang w:val="en-US"/>
        </w:rPr>
        <w:t xml:space="preserve"> has been made public. It is available </w:t>
      </w:r>
      <w:hyperlink r:id="rId25" w:history="1">
        <w:r w:rsidRPr="000F6492">
          <w:rPr>
            <w:rStyle w:val="Hyperlink"/>
            <w:lang w:val="en-US"/>
          </w:rPr>
          <w:t>here</w:t>
        </w:r>
      </w:hyperlink>
      <w:r w:rsidRPr="000F6492">
        <w:rPr>
          <w:lang w:val="en-US"/>
        </w:rPr>
        <w:t>.</w:t>
      </w:r>
    </w:p>
    <w:p w14:paraId="51512749" w14:textId="77777777" w:rsidR="000F6492" w:rsidRPr="000F6492" w:rsidRDefault="000F6492" w:rsidP="000F6492">
      <w:pPr>
        <w:jc w:val="both"/>
        <w:rPr>
          <w:b/>
          <w:sz w:val="24"/>
          <w:lang w:val="en-US"/>
        </w:rPr>
      </w:pPr>
    </w:p>
    <w:p w14:paraId="514050E2" w14:textId="423B1201" w:rsidR="003E0589" w:rsidRDefault="003E0589" w:rsidP="00565043">
      <w:pPr>
        <w:pStyle w:val="Heading2"/>
        <w:pBdr>
          <w:top w:val="dotted" w:sz="4" w:space="1" w:color="auto"/>
          <w:bottom w:val="dotted" w:sz="4" w:space="1" w:color="auto"/>
        </w:pBdr>
        <w:jc w:val="center"/>
        <w:rPr>
          <w:lang w:val="en-US"/>
        </w:rPr>
      </w:pPr>
      <w:bookmarkStart w:id="20" w:name="_Ref429646326"/>
      <w:r>
        <w:rPr>
          <w:lang w:val="en-US"/>
        </w:rPr>
        <w:t>Gender Equality</w:t>
      </w:r>
      <w:bookmarkEnd w:id="20"/>
    </w:p>
    <w:p w14:paraId="79BDDFC5" w14:textId="29313674" w:rsidR="003E0589" w:rsidRPr="003E0589" w:rsidRDefault="003E0589" w:rsidP="003E0589">
      <w:pPr>
        <w:jc w:val="both"/>
        <w:rPr>
          <w:b/>
          <w:sz w:val="24"/>
          <w:lang w:val="en-US"/>
        </w:rPr>
      </w:pPr>
      <w:r>
        <w:rPr>
          <w:lang w:val="en-US"/>
        </w:rPr>
        <w:br/>
      </w:r>
      <w:r w:rsidRPr="003E0589">
        <w:rPr>
          <w:b/>
          <w:sz w:val="24"/>
          <w:lang w:val="en-US"/>
        </w:rPr>
        <w:t>EUROPEAN PARLIAMENT: Resolution of 9</w:t>
      </w:r>
      <w:r w:rsidR="007E13F1">
        <w:rPr>
          <w:b/>
          <w:sz w:val="24"/>
          <w:lang w:val="en-US"/>
        </w:rPr>
        <w:t>th</w:t>
      </w:r>
      <w:r w:rsidRPr="003E0589">
        <w:rPr>
          <w:b/>
          <w:sz w:val="24"/>
          <w:lang w:val="en-US"/>
        </w:rPr>
        <w:t xml:space="preserve"> September 2015 on empowering girls through education in the EU</w:t>
      </w:r>
    </w:p>
    <w:p w14:paraId="5B3973C7" w14:textId="77777777" w:rsidR="008F60FF" w:rsidRDefault="003E0589" w:rsidP="003E0589">
      <w:pPr>
        <w:jc w:val="both"/>
        <w:rPr>
          <w:lang w:val="en-US"/>
        </w:rPr>
      </w:pPr>
      <w:r>
        <w:rPr>
          <w:lang w:val="en-US"/>
        </w:rPr>
        <w:t>On 9</w:t>
      </w:r>
      <w:r w:rsidRPr="003E0589">
        <w:rPr>
          <w:vertAlign w:val="superscript"/>
          <w:lang w:val="en-US"/>
        </w:rPr>
        <w:t>th</w:t>
      </w:r>
      <w:r>
        <w:rPr>
          <w:lang w:val="en-US"/>
        </w:rPr>
        <w:t xml:space="preserve"> September 2015, the European Parliament adopted the final version of the report </w:t>
      </w:r>
      <w:r w:rsidRPr="00565043">
        <w:rPr>
          <w:b/>
          <w:lang w:val="en-US"/>
        </w:rPr>
        <w:t>“Empowering girls through education in the EU”</w:t>
      </w:r>
      <w:r>
        <w:rPr>
          <w:lang w:val="en-US"/>
        </w:rPr>
        <w:t xml:space="preserve">. The report provides recommendations to the EU and Member States to include a gender equality perspective in all educational systems. It calls on Member States to </w:t>
      </w:r>
      <w:r w:rsidRPr="003E0589">
        <w:rPr>
          <w:b/>
          <w:lang w:val="en-US"/>
        </w:rPr>
        <w:t>address gender stereotypes, ensure equal access to education and develop an intercultural approach to education</w:t>
      </w:r>
      <w:r>
        <w:rPr>
          <w:lang w:val="en-US"/>
        </w:rPr>
        <w:t xml:space="preserve">. </w:t>
      </w:r>
    </w:p>
    <w:p w14:paraId="3CD78CC2" w14:textId="461B92FA" w:rsidR="003E0589" w:rsidRPr="008F60FF" w:rsidRDefault="003E0589" w:rsidP="00A67E65">
      <w:pPr>
        <w:shd w:val="clear" w:color="auto" w:fill="D9D9D9" w:themeFill="background1" w:themeFillShade="D9"/>
        <w:jc w:val="both"/>
        <w:rPr>
          <w:b/>
          <w:lang w:val="en-US"/>
        </w:rPr>
      </w:pPr>
      <w:r w:rsidRPr="008F60FF">
        <w:rPr>
          <w:b/>
          <w:lang w:val="en-US"/>
        </w:rPr>
        <w:t xml:space="preserve">The full text of the report can be found </w:t>
      </w:r>
      <w:hyperlink r:id="rId26" w:history="1">
        <w:r w:rsidRPr="008F60FF">
          <w:rPr>
            <w:rStyle w:val="Hyperlink"/>
            <w:b/>
            <w:lang w:val="en-US"/>
          </w:rPr>
          <w:t>here</w:t>
        </w:r>
      </w:hyperlink>
      <w:r w:rsidRPr="008F60FF">
        <w:rPr>
          <w:b/>
          <w:lang w:val="en-US"/>
        </w:rPr>
        <w:t xml:space="preserve">. </w:t>
      </w:r>
    </w:p>
    <w:p w14:paraId="298670E3" w14:textId="77777777" w:rsidR="0034362B" w:rsidRPr="006075A4" w:rsidRDefault="0034362B" w:rsidP="00565043">
      <w:pPr>
        <w:spacing w:line="240" w:lineRule="auto"/>
        <w:jc w:val="both"/>
        <w:rPr>
          <w:lang w:val="en-GB"/>
        </w:rPr>
      </w:pPr>
      <w:bookmarkStart w:id="21" w:name="_Race/ethnic_origin"/>
      <w:bookmarkEnd w:id="19"/>
      <w:bookmarkEnd w:id="15"/>
      <w:bookmarkEnd w:id="16"/>
      <w:bookmarkEnd w:id="21"/>
    </w:p>
    <w:p w14:paraId="791EAFE3" w14:textId="64BA4F43" w:rsidR="00AB116C" w:rsidRDefault="004A7771" w:rsidP="00565043">
      <w:pPr>
        <w:pStyle w:val="Heading2"/>
        <w:pBdr>
          <w:top w:val="dotted" w:sz="4" w:space="1" w:color="auto"/>
          <w:bottom w:val="dotted" w:sz="4" w:space="1" w:color="auto"/>
        </w:pBdr>
        <w:spacing w:line="240" w:lineRule="auto"/>
        <w:jc w:val="center"/>
        <w:rPr>
          <w:lang w:val="en-GB"/>
        </w:rPr>
      </w:pPr>
      <w:bookmarkStart w:id="22" w:name="_Disability"/>
      <w:bookmarkStart w:id="23" w:name="_Toc418770750"/>
      <w:bookmarkStart w:id="24" w:name="_Ref418784334"/>
      <w:bookmarkStart w:id="25" w:name="_Ref421267538"/>
      <w:bookmarkStart w:id="26" w:name="_Ref429646328"/>
      <w:bookmarkEnd w:id="22"/>
      <w:r w:rsidRPr="006075A4">
        <w:rPr>
          <w:lang w:val="en-GB"/>
        </w:rPr>
        <w:t>Dis</w:t>
      </w:r>
      <w:r w:rsidRPr="00565043">
        <w:rPr>
          <w:lang w:val="en-GB"/>
        </w:rPr>
        <w:t>abilit</w:t>
      </w:r>
      <w:r w:rsidRPr="006075A4">
        <w:rPr>
          <w:lang w:val="en-GB"/>
        </w:rPr>
        <w:t>y</w:t>
      </w:r>
      <w:bookmarkEnd w:id="23"/>
      <w:bookmarkEnd w:id="24"/>
      <w:bookmarkEnd w:id="25"/>
      <w:bookmarkEnd w:id="26"/>
    </w:p>
    <w:p w14:paraId="5A7FB479" w14:textId="77777777" w:rsidR="00565043" w:rsidRDefault="00565043" w:rsidP="00CE7422">
      <w:pPr>
        <w:rPr>
          <w:b/>
          <w:bCs/>
          <w:sz w:val="24"/>
          <w:lang w:val="en-GB"/>
        </w:rPr>
      </w:pPr>
    </w:p>
    <w:p w14:paraId="79B79D05" w14:textId="2EE611DE" w:rsidR="009D41AF" w:rsidRPr="009D41AF" w:rsidRDefault="009D41AF" w:rsidP="00CE7422">
      <w:pPr>
        <w:rPr>
          <w:b/>
          <w:bCs/>
          <w:sz w:val="24"/>
          <w:lang w:val="en-GB"/>
        </w:rPr>
      </w:pPr>
      <w:r w:rsidRPr="009D41AF">
        <w:rPr>
          <w:b/>
          <w:bCs/>
          <w:sz w:val="24"/>
          <w:lang w:val="en-GB"/>
        </w:rPr>
        <w:t>UNCRPD – the UN Committee publishes its first concluding observations to the EU</w:t>
      </w:r>
    </w:p>
    <w:p w14:paraId="52CC8880" w14:textId="22DE029D" w:rsidR="00CE7422" w:rsidRPr="008B6F61" w:rsidRDefault="009D41AF" w:rsidP="009D41AF">
      <w:pPr>
        <w:spacing w:line="276" w:lineRule="auto"/>
        <w:jc w:val="both"/>
        <w:rPr>
          <w:rStyle w:val="Strong"/>
          <w:b w:val="0"/>
          <w:shd w:val="clear" w:color="auto" w:fill="FFFFFF"/>
          <w:lang w:val="en-US"/>
        </w:rPr>
      </w:pPr>
      <w:r>
        <w:rPr>
          <w:rStyle w:val="Strong"/>
          <w:b w:val="0"/>
          <w:shd w:val="clear" w:color="auto" w:fill="FFFFFF"/>
          <w:lang w:val="en-US"/>
        </w:rPr>
        <w:t>On 27</w:t>
      </w:r>
      <w:r w:rsidRPr="009D41AF">
        <w:rPr>
          <w:rStyle w:val="Strong"/>
          <w:b w:val="0"/>
          <w:shd w:val="clear" w:color="auto" w:fill="FFFFFF"/>
          <w:vertAlign w:val="superscript"/>
          <w:lang w:val="en-US"/>
        </w:rPr>
        <w:t>th</w:t>
      </w:r>
      <w:r>
        <w:rPr>
          <w:rStyle w:val="Strong"/>
          <w:b w:val="0"/>
          <w:shd w:val="clear" w:color="auto" w:fill="FFFFFF"/>
          <w:lang w:val="en-US"/>
        </w:rPr>
        <w:t xml:space="preserve"> and 28</w:t>
      </w:r>
      <w:r w:rsidRPr="009D41AF">
        <w:rPr>
          <w:rStyle w:val="Strong"/>
          <w:b w:val="0"/>
          <w:shd w:val="clear" w:color="auto" w:fill="FFFFFF"/>
          <w:vertAlign w:val="superscript"/>
          <w:lang w:val="en-US"/>
        </w:rPr>
        <w:t>th</w:t>
      </w:r>
      <w:r>
        <w:rPr>
          <w:rStyle w:val="Strong"/>
          <w:b w:val="0"/>
          <w:shd w:val="clear" w:color="auto" w:fill="FFFFFF"/>
          <w:lang w:val="en-US"/>
        </w:rPr>
        <w:t xml:space="preserve"> August 2015, t</w:t>
      </w:r>
      <w:r w:rsidR="00CE7422" w:rsidRPr="008B6F61">
        <w:rPr>
          <w:rStyle w:val="Strong"/>
          <w:b w:val="0"/>
          <w:shd w:val="clear" w:color="auto" w:fill="FFFFFF"/>
          <w:lang w:val="en-US"/>
        </w:rPr>
        <w:t>he UN Committee held a Constructive Dialogue with the EU delegation on the EU’s work on the UN Convention on the Rights of Persons with Disabilities (UN CRPD), the first international human rights treaty ever ratified by the EU.</w:t>
      </w:r>
    </w:p>
    <w:p w14:paraId="1A352B33" w14:textId="6FC4C5D2" w:rsidR="008B6F61" w:rsidRPr="008B6F61" w:rsidRDefault="008B6F61" w:rsidP="009D41AF">
      <w:pPr>
        <w:spacing w:line="276" w:lineRule="auto"/>
        <w:jc w:val="both"/>
        <w:rPr>
          <w:rStyle w:val="Strong"/>
          <w:shd w:val="clear" w:color="auto" w:fill="FFFFFF"/>
          <w:lang w:val="en-US"/>
        </w:rPr>
      </w:pPr>
      <w:r w:rsidRPr="008B6F61">
        <w:rPr>
          <w:rStyle w:val="Strong"/>
          <w:shd w:val="clear" w:color="auto" w:fill="FFFFFF"/>
          <w:lang w:val="en-US"/>
        </w:rPr>
        <w:t>According to the FRA, ‘</w:t>
      </w:r>
      <w:r w:rsidRPr="008B6F61">
        <w:rPr>
          <w:i/>
          <w:shd w:val="clear" w:color="auto" w:fill="FBFBFB"/>
          <w:lang w:val="en-US"/>
        </w:rPr>
        <w:t>This session is particularly important for the EU. It marks the first time that the Union has been reviewed by a UN human rights treaty body. Not only that, it marks an important step in gaining the feedback the EU needs to ensure that the rights of persons with disabilities are fully implemented in all its Member States</w:t>
      </w:r>
      <w:r w:rsidRPr="008B6F61">
        <w:rPr>
          <w:shd w:val="clear" w:color="auto" w:fill="FBFBFB"/>
          <w:lang w:val="en-US"/>
        </w:rPr>
        <w:t xml:space="preserve">.’ </w:t>
      </w:r>
    </w:p>
    <w:p w14:paraId="14AC0331" w14:textId="77777777" w:rsidR="009D41AF" w:rsidRDefault="00CE7422" w:rsidP="009D41AF">
      <w:pPr>
        <w:spacing w:line="276" w:lineRule="auto"/>
        <w:jc w:val="both"/>
        <w:rPr>
          <w:shd w:val="clear" w:color="auto" w:fill="FFFFFF"/>
          <w:lang w:val="en-US"/>
        </w:rPr>
      </w:pPr>
      <w:r w:rsidRPr="008B6F61">
        <w:rPr>
          <w:shd w:val="clear" w:color="auto" w:fill="FFFFFF"/>
          <w:lang w:val="en-US"/>
        </w:rPr>
        <w:t>The EU delegation consisted of</w:t>
      </w:r>
      <w:r w:rsidRPr="008B6F61">
        <w:rPr>
          <w:rStyle w:val="apple-converted-space"/>
          <w:shd w:val="clear" w:color="auto" w:fill="FFFFFF"/>
          <w:lang w:val="en-US"/>
        </w:rPr>
        <w:t> </w:t>
      </w:r>
      <w:r w:rsidRPr="008B6F61">
        <w:rPr>
          <w:rStyle w:val="Strong"/>
          <w:shd w:val="clear" w:color="auto" w:fill="FFFFFF"/>
          <w:lang w:val="en-US"/>
        </w:rPr>
        <w:t>Michel Servoz</w:t>
      </w:r>
      <w:r w:rsidRPr="008B6F61">
        <w:rPr>
          <w:shd w:val="clear" w:color="auto" w:fill="FFFFFF"/>
          <w:lang w:val="en-US"/>
        </w:rPr>
        <w:t>, Director-General of the Commission’s DG Employment, Social Affairs and Inclusion, and his colleagues of the</w:t>
      </w:r>
      <w:r w:rsidRPr="008B6F61">
        <w:rPr>
          <w:rStyle w:val="apple-converted-space"/>
          <w:shd w:val="clear" w:color="auto" w:fill="FFFFFF"/>
          <w:lang w:val="en-US"/>
        </w:rPr>
        <w:t> </w:t>
      </w:r>
      <w:r w:rsidRPr="008B6F61">
        <w:rPr>
          <w:rStyle w:val="Strong"/>
          <w:shd w:val="clear" w:color="auto" w:fill="FFFFFF"/>
          <w:lang w:val="en-US"/>
        </w:rPr>
        <w:t>UN CRPD focal point of the European Commission</w:t>
      </w:r>
      <w:r w:rsidRPr="008B6F61">
        <w:rPr>
          <w:shd w:val="clear" w:color="auto" w:fill="FFFFFF"/>
          <w:lang w:val="en-US"/>
        </w:rPr>
        <w:t>, the</w:t>
      </w:r>
      <w:r w:rsidRPr="008B6F61">
        <w:rPr>
          <w:rStyle w:val="apple-converted-space"/>
          <w:shd w:val="clear" w:color="auto" w:fill="FFFFFF"/>
          <w:lang w:val="en-US"/>
        </w:rPr>
        <w:t> </w:t>
      </w:r>
      <w:r w:rsidRPr="008B6F61">
        <w:rPr>
          <w:rStyle w:val="Strong"/>
          <w:shd w:val="clear" w:color="auto" w:fill="FFFFFF"/>
          <w:lang w:val="en-US"/>
        </w:rPr>
        <w:t>Disability Unit of DG Employment, Social Affairs and Inclusion</w:t>
      </w:r>
      <w:r w:rsidRPr="008B6F61">
        <w:rPr>
          <w:shd w:val="clear" w:color="auto" w:fill="FFFFFF"/>
          <w:lang w:val="en-US"/>
        </w:rPr>
        <w:t>. 20 representatives out of the 28 Member States of the EU were also present as observers.</w:t>
      </w:r>
    </w:p>
    <w:p w14:paraId="67CD6C26" w14:textId="4619E49C" w:rsidR="009D41AF" w:rsidRDefault="009D41AF" w:rsidP="009D41AF">
      <w:pPr>
        <w:spacing w:line="276" w:lineRule="auto"/>
        <w:jc w:val="both"/>
        <w:rPr>
          <w:shd w:val="clear" w:color="auto" w:fill="FFFFFF"/>
          <w:lang w:val="en-US"/>
        </w:rPr>
      </w:pPr>
      <w:r w:rsidRPr="009D41AF">
        <w:rPr>
          <w:shd w:val="clear" w:color="auto" w:fill="FFFFFF"/>
          <w:lang w:val="en-US"/>
        </w:rPr>
        <w:t>In September 2015, the UN Committee published its concluding observations. Among the main recommendations addressed to the EU, we can mention:</w:t>
      </w:r>
    </w:p>
    <w:p w14:paraId="02356622" w14:textId="51F6DF08" w:rsidR="009D41AF" w:rsidRPr="009D41AF" w:rsidRDefault="009D41AF" w:rsidP="009D41AF">
      <w:pPr>
        <w:spacing w:line="276" w:lineRule="auto"/>
        <w:jc w:val="both"/>
        <w:rPr>
          <w:i/>
          <w:lang w:val="en-GB"/>
        </w:rPr>
      </w:pPr>
      <w:r w:rsidRPr="009D41AF">
        <w:rPr>
          <w:i/>
          <w:lang w:val="en-GB"/>
        </w:rPr>
        <w:t xml:space="preserve">“17. The Committee recommends that the European Union regularly update the </w:t>
      </w:r>
      <w:r w:rsidRPr="009D41AF">
        <w:rPr>
          <w:b/>
          <w:i/>
          <w:lang w:val="en-GB"/>
        </w:rPr>
        <w:t>Declaration of Competence</w:t>
      </w:r>
      <w:r w:rsidRPr="009D41AF">
        <w:rPr>
          <w:i/>
          <w:lang w:val="en-GB"/>
        </w:rPr>
        <w:t xml:space="preserve"> and its list of instruments to include recently adopted instruments and those instruments that have no specific reference to disability but that are relevant to persons with disabilities.”</w:t>
      </w:r>
    </w:p>
    <w:p w14:paraId="4892EDF7" w14:textId="06D7294D" w:rsidR="009D41AF" w:rsidRDefault="009D41AF" w:rsidP="009D41AF">
      <w:pPr>
        <w:spacing w:line="276" w:lineRule="auto"/>
        <w:jc w:val="both"/>
        <w:rPr>
          <w:lang w:val="en-GB"/>
        </w:rPr>
      </w:pPr>
      <w:r w:rsidRPr="00734615">
        <w:rPr>
          <w:lang w:val="en-GB"/>
        </w:rPr>
        <w:t>“</w:t>
      </w:r>
      <w:r w:rsidRPr="00C106F4">
        <w:rPr>
          <w:lang w:val="en-GB"/>
        </w:rPr>
        <w:t>19</w:t>
      </w:r>
      <w:r w:rsidRPr="009D41AF">
        <w:rPr>
          <w:b/>
          <w:lang w:val="en-GB"/>
        </w:rPr>
        <w:t>.</w:t>
      </w:r>
      <w:r w:rsidRPr="009D41AF">
        <w:rPr>
          <w:lang w:val="en-GB"/>
        </w:rPr>
        <w:t xml:space="preserve"> </w:t>
      </w:r>
      <w:r w:rsidRPr="009D41AF">
        <w:rPr>
          <w:i/>
          <w:lang w:val="en-GB"/>
        </w:rPr>
        <w:t xml:space="preserve">The Committee recommends that the European Union adopt its proposed </w:t>
      </w:r>
      <w:r w:rsidRPr="009D41AF">
        <w:rPr>
          <w:b/>
          <w:i/>
          <w:lang w:val="en-GB"/>
        </w:rPr>
        <w:t>horizontal Equal Treatment Directive</w:t>
      </w:r>
      <w:r w:rsidRPr="009D41AF">
        <w:rPr>
          <w:i/>
          <w:lang w:val="en-GB"/>
        </w:rPr>
        <w:t xml:space="preserve"> extending protection from discrimination to persons with disabilities, including by the provision of reasonable accommodation, to all areas of competence.  Furthermore, the Committee recommends that the European Union ensure discrimination in all aspects based on disability is prohibited, including multiple and intersectional discrimination.”</w:t>
      </w:r>
    </w:p>
    <w:p w14:paraId="599BF98E" w14:textId="146F6E4C" w:rsidR="009D41AF" w:rsidRDefault="009D41AF" w:rsidP="009D41AF">
      <w:pPr>
        <w:spacing w:line="276" w:lineRule="auto"/>
        <w:jc w:val="both"/>
        <w:rPr>
          <w:lang w:val="en-GB"/>
        </w:rPr>
      </w:pPr>
      <w:r w:rsidRPr="00734615">
        <w:rPr>
          <w:lang w:val="en-GB"/>
        </w:rPr>
        <w:t>“</w:t>
      </w:r>
      <w:r w:rsidRPr="00C106F4">
        <w:rPr>
          <w:lang w:val="en-GB"/>
        </w:rPr>
        <w:t>29.</w:t>
      </w:r>
      <w:r w:rsidRPr="009D41AF">
        <w:rPr>
          <w:lang w:val="en-GB"/>
        </w:rPr>
        <w:t xml:space="preserve"> </w:t>
      </w:r>
      <w:r w:rsidRPr="009D41AF">
        <w:rPr>
          <w:i/>
          <w:lang w:val="en-GB"/>
        </w:rPr>
        <w:t xml:space="preserve">The Committee recommends that the European Union take efficient measures for prompt adoption of an amended </w:t>
      </w:r>
      <w:r w:rsidRPr="009D41AF">
        <w:rPr>
          <w:b/>
          <w:i/>
          <w:lang w:val="en-GB"/>
        </w:rPr>
        <w:t>European Accessibility Act</w:t>
      </w:r>
      <w:r w:rsidRPr="009D41AF">
        <w:rPr>
          <w:i/>
          <w:lang w:val="en-GB"/>
        </w:rPr>
        <w:t xml:space="preserve"> that is aligned to the Convention, as elaborated in the Committee’s General comment No. 2 (2014) on accessibility, including effective and accessible enforcement and complaint mechanisms. It further recommends that the European Union ensure participation of persons with disabilities, through their representative organisations, in the process of adoption of the Act.”</w:t>
      </w:r>
    </w:p>
    <w:p w14:paraId="4348E031" w14:textId="11A4A921" w:rsidR="009D41AF" w:rsidRDefault="009D41AF" w:rsidP="009D41AF">
      <w:pPr>
        <w:spacing w:line="276" w:lineRule="auto"/>
        <w:jc w:val="both"/>
        <w:rPr>
          <w:lang w:val="en-GB"/>
        </w:rPr>
      </w:pPr>
      <w:r w:rsidRPr="008C2829">
        <w:rPr>
          <w:lang w:val="en-GB"/>
        </w:rPr>
        <w:t>“</w:t>
      </w:r>
      <w:r w:rsidRPr="008F7FFC">
        <w:rPr>
          <w:lang w:val="en-GB"/>
        </w:rPr>
        <w:t>77.</w:t>
      </w:r>
      <w:r w:rsidRPr="008C2829">
        <w:rPr>
          <w:lang w:val="en-GB"/>
        </w:rPr>
        <w:t xml:space="preserve"> </w:t>
      </w:r>
      <w:r w:rsidRPr="009D41AF">
        <w:rPr>
          <w:i/>
          <w:lang w:val="en-GB"/>
        </w:rPr>
        <w:t xml:space="preserve">The Committee recommends that the European Union take measures to decouple the European Commission’s roles - by its removal from the </w:t>
      </w:r>
      <w:r w:rsidRPr="009D41AF">
        <w:rPr>
          <w:b/>
          <w:i/>
          <w:lang w:val="en-GB"/>
        </w:rPr>
        <w:t>independent monitoring framework</w:t>
      </w:r>
      <w:r w:rsidRPr="009D41AF">
        <w:rPr>
          <w:i/>
          <w:lang w:val="en-GB"/>
        </w:rPr>
        <w:t xml:space="preserve"> - to ensure full compliance with the </w:t>
      </w:r>
      <w:r w:rsidRPr="009D41AF">
        <w:rPr>
          <w:b/>
          <w:i/>
          <w:lang w:val="en-GB"/>
        </w:rPr>
        <w:t>Paris principles</w:t>
      </w:r>
      <w:r w:rsidRPr="009D41AF">
        <w:rPr>
          <w:i/>
          <w:lang w:val="en-GB"/>
        </w:rPr>
        <w:t>, and that the latter has adequate resources to perform its functions. It further recommends that the European Union consider the establishment of an inter-institutional coordination mechanism and designation of focal points in each EU institution, agency and body.”</w:t>
      </w:r>
    </w:p>
    <w:p w14:paraId="74F903DE" w14:textId="39C68D35" w:rsidR="009D41AF" w:rsidRDefault="009D41AF" w:rsidP="009D41AF">
      <w:pPr>
        <w:spacing w:line="276" w:lineRule="auto"/>
        <w:jc w:val="both"/>
        <w:rPr>
          <w:lang w:val="en-GB"/>
        </w:rPr>
      </w:pPr>
      <w:r>
        <w:rPr>
          <w:lang w:val="en-GB"/>
        </w:rPr>
        <w:t>As a next step, w</w:t>
      </w:r>
      <w:r w:rsidRPr="009D41AF">
        <w:rPr>
          <w:lang w:val="en-GB"/>
        </w:rPr>
        <w:t xml:space="preserve">ithin one year, the European Commission has to provide written information on the measures taken to implement the recommendations </w:t>
      </w:r>
      <w:r w:rsidRPr="009D41AF">
        <w:rPr>
          <w:b/>
          <w:lang w:val="en-GB"/>
        </w:rPr>
        <w:t>17, 29 and 77</w:t>
      </w:r>
      <w:r>
        <w:rPr>
          <w:lang w:val="en-GB"/>
        </w:rPr>
        <w:t xml:space="preserve">. </w:t>
      </w:r>
      <w:r w:rsidRPr="009D41AF">
        <w:rPr>
          <w:lang w:val="en-GB"/>
        </w:rPr>
        <w:t xml:space="preserve">The EU has to submit its next periodic implementation report </w:t>
      </w:r>
      <w:r w:rsidRPr="009D41AF">
        <w:rPr>
          <w:b/>
          <w:lang w:val="en-GB"/>
        </w:rPr>
        <w:t>by January 2019.</w:t>
      </w:r>
    </w:p>
    <w:p w14:paraId="1F65AACE" w14:textId="65C1E3CA" w:rsidR="005431C9" w:rsidRDefault="009D41AF" w:rsidP="00A67E65">
      <w:pPr>
        <w:shd w:val="clear" w:color="auto" w:fill="D9D9D9" w:themeFill="background1" w:themeFillShade="D9"/>
        <w:spacing w:line="276" w:lineRule="auto"/>
        <w:jc w:val="both"/>
        <w:rPr>
          <w:lang w:val="en-GB"/>
        </w:rPr>
      </w:pPr>
      <w:r>
        <w:rPr>
          <w:lang w:val="en-GB"/>
        </w:rPr>
        <w:t xml:space="preserve">The full </w:t>
      </w:r>
      <w:r w:rsidRPr="009D41AF">
        <w:rPr>
          <w:b/>
          <w:lang w:val="en-GB"/>
        </w:rPr>
        <w:t>concluding recommendations</w:t>
      </w:r>
      <w:r>
        <w:rPr>
          <w:lang w:val="en-GB"/>
        </w:rPr>
        <w:t xml:space="preserve"> can be found </w:t>
      </w:r>
      <w:hyperlink r:id="rId27" w:history="1">
        <w:r w:rsidRPr="009D41AF">
          <w:rPr>
            <w:rStyle w:val="Hyperlink"/>
            <w:lang w:val="en-GB"/>
          </w:rPr>
          <w:t>here</w:t>
        </w:r>
      </w:hyperlink>
      <w:r>
        <w:rPr>
          <w:lang w:val="en-GB"/>
        </w:rPr>
        <w:t>.</w:t>
      </w:r>
      <w:r>
        <w:rPr>
          <w:lang w:val="en-GB"/>
        </w:rPr>
        <w:tab/>
        <w:t xml:space="preserve"> </w:t>
      </w:r>
      <w:r>
        <w:rPr>
          <w:lang w:val="en-GB"/>
        </w:rPr>
        <w:br/>
        <w:t xml:space="preserve">An </w:t>
      </w:r>
      <w:r w:rsidRPr="009D41AF">
        <w:rPr>
          <w:b/>
          <w:lang w:val="en-GB"/>
        </w:rPr>
        <w:t>internal note</w:t>
      </w:r>
      <w:r>
        <w:rPr>
          <w:lang w:val="en-GB"/>
        </w:rPr>
        <w:t xml:space="preserve"> summarising main recommendations </w:t>
      </w:r>
      <w:r w:rsidR="000F6492">
        <w:rPr>
          <w:lang w:val="en-GB"/>
        </w:rPr>
        <w:t xml:space="preserve">is available on the </w:t>
      </w:r>
      <w:hyperlink r:id="rId28" w:history="1">
        <w:r w:rsidR="000F6492" w:rsidRPr="000F6492">
          <w:rPr>
            <w:rStyle w:val="Hyperlink"/>
            <w:lang w:val="en-GB"/>
          </w:rPr>
          <w:t>Equinet Members’ Area</w:t>
        </w:r>
      </w:hyperlink>
      <w:r>
        <w:rPr>
          <w:lang w:val="en-GB"/>
        </w:rPr>
        <w:t xml:space="preserve">. </w:t>
      </w:r>
    </w:p>
    <w:p w14:paraId="5B162A0D" w14:textId="77777777" w:rsidR="00565043" w:rsidRDefault="00565043" w:rsidP="002B36E3">
      <w:pPr>
        <w:rPr>
          <w:lang w:val="en-GB"/>
        </w:rPr>
      </w:pPr>
    </w:p>
    <w:p w14:paraId="2E7E601C" w14:textId="3AC8C62F" w:rsidR="003E0589" w:rsidRPr="003E0589" w:rsidRDefault="003E0589" w:rsidP="00565043">
      <w:pPr>
        <w:pStyle w:val="Heading2"/>
        <w:pBdr>
          <w:top w:val="dotted" w:sz="4" w:space="1" w:color="auto"/>
          <w:bottom w:val="dotted" w:sz="4" w:space="1" w:color="auto"/>
        </w:pBdr>
        <w:jc w:val="center"/>
        <w:rPr>
          <w:lang w:val="en-GB"/>
        </w:rPr>
      </w:pPr>
      <w:bookmarkStart w:id="27" w:name="_Ref429646329"/>
      <w:r>
        <w:rPr>
          <w:lang w:val="en-GB"/>
        </w:rPr>
        <w:t>Age</w:t>
      </w:r>
      <w:bookmarkEnd w:id="27"/>
    </w:p>
    <w:p w14:paraId="4367DB61" w14:textId="77777777" w:rsidR="00565043" w:rsidRDefault="00565043" w:rsidP="003E0589">
      <w:pPr>
        <w:jc w:val="both"/>
        <w:rPr>
          <w:b/>
          <w:sz w:val="24"/>
          <w:lang w:val="en-GB"/>
        </w:rPr>
      </w:pPr>
    </w:p>
    <w:p w14:paraId="6F1D1B9E" w14:textId="04681D1B" w:rsidR="003E0589" w:rsidRDefault="003E0589" w:rsidP="003E0589">
      <w:pPr>
        <w:jc w:val="both"/>
        <w:rPr>
          <w:b/>
          <w:sz w:val="24"/>
          <w:lang w:val="en-GB"/>
        </w:rPr>
      </w:pPr>
      <w:r w:rsidRPr="003E0589">
        <w:rPr>
          <w:b/>
          <w:sz w:val="24"/>
          <w:lang w:val="en-GB"/>
        </w:rPr>
        <w:t>E</w:t>
      </w:r>
      <w:r w:rsidR="007E13F1">
        <w:rPr>
          <w:b/>
          <w:sz w:val="24"/>
          <w:lang w:val="en-GB"/>
        </w:rPr>
        <w:t xml:space="preserve">UROPEAN PARLIAMENT: </w:t>
      </w:r>
      <w:r w:rsidRPr="003E0589">
        <w:rPr>
          <w:b/>
          <w:sz w:val="24"/>
          <w:lang w:val="en-GB"/>
        </w:rPr>
        <w:t>Resolution of 9</w:t>
      </w:r>
      <w:r w:rsidR="007E13F1">
        <w:rPr>
          <w:b/>
          <w:sz w:val="24"/>
          <w:lang w:val="en-GB"/>
        </w:rPr>
        <w:t>th</w:t>
      </w:r>
      <w:r w:rsidRPr="003E0589">
        <w:rPr>
          <w:b/>
          <w:sz w:val="24"/>
          <w:lang w:val="en-GB"/>
        </w:rPr>
        <w:t xml:space="preserve"> September 2015 on the Report on the implementation, results and overall assessment of the 2012 European Year for Active Ageing and Solidarity between Generations</w:t>
      </w:r>
    </w:p>
    <w:p w14:paraId="457E73E3" w14:textId="77777777" w:rsidR="008F60FF" w:rsidRDefault="003E0589" w:rsidP="003E0589">
      <w:pPr>
        <w:jc w:val="both"/>
        <w:rPr>
          <w:lang w:val="en-GB"/>
        </w:rPr>
      </w:pPr>
      <w:r>
        <w:rPr>
          <w:lang w:val="en-GB"/>
        </w:rPr>
        <w:t>On 9</w:t>
      </w:r>
      <w:r w:rsidRPr="003E0589">
        <w:rPr>
          <w:vertAlign w:val="superscript"/>
          <w:lang w:val="en-GB"/>
        </w:rPr>
        <w:t>th</w:t>
      </w:r>
      <w:r>
        <w:rPr>
          <w:lang w:val="en-GB"/>
        </w:rPr>
        <w:t xml:space="preserve"> September 2015, the European Parliament adopted the final version of the report on the implementation, results and overall assessment of the 2012 European Year for Active Ageing and Solidarity between Generations. </w:t>
      </w:r>
    </w:p>
    <w:p w14:paraId="4139CDE4" w14:textId="1F30AAA0" w:rsidR="003E0589" w:rsidRPr="008F60FF" w:rsidRDefault="003E0589" w:rsidP="00A67E65">
      <w:pPr>
        <w:shd w:val="clear" w:color="auto" w:fill="D9D9D9" w:themeFill="background1" w:themeFillShade="D9"/>
        <w:jc w:val="both"/>
        <w:rPr>
          <w:b/>
          <w:lang w:val="en-GB"/>
        </w:rPr>
      </w:pPr>
      <w:r w:rsidRPr="008F60FF">
        <w:rPr>
          <w:b/>
          <w:lang w:val="en-GB"/>
        </w:rPr>
        <w:t xml:space="preserve">The full report can be found </w:t>
      </w:r>
      <w:hyperlink r:id="rId29" w:history="1">
        <w:r w:rsidRPr="008F60FF">
          <w:rPr>
            <w:rStyle w:val="Hyperlink"/>
            <w:b/>
            <w:lang w:val="en-GB"/>
          </w:rPr>
          <w:t>here</w:t>
        </w:r>
      </w:hyperlink>
      <w:r w:rsidRPr="008F60FF">
        <w:rPr>
          <w:b/>
          <w:lang w:val="en-GB"/>
        </w:rPr>
        <w:t xml:space="preserve">. </w:t>
      </w:r>
    </w:p>
    <w:p w14:paraId="03BF218E" w14:textId="77777777" w:rsidR="009D41AF" w:rsidRPr="006075A4" w:rsidRDefault="009D41AF" w:rsidP="009D41AF">
      <w:pPr>
        <w:pBdr>
          <w:bottom w:val="dotted" w:sz="36" w:space="0" w:color="auto"/>
        </w:pBdr>
        <w:spacing w:line="240" w:lineRule="auto"/>
        <w:rPr>
          <w:lang w:val="en-GB"/>
        </w:rPr>
      </w:pPr>
    </w:p>
    <w:p w14:paraId="06406221" w14:textId="77777777" w:rsidR="009D41AF" w:rsidRDefault="009D41AF">
      <w:pPr>
        <w:rPr>
          <w:rFonts w:ascii="Tahoma" w:eastAsiaTheme="majorEastAsia" w:hAnsi="Tahoma" w:cstheme="majorBidi"/>
          <w:b/>
          <w:color w:val="2E74B5" w:themeColor="accent1" w:themeShade="BF"/>
          <w:sz w:val="32"/>
          <w:szCs w:val="32"/>
          <w:lang w:val="en-GB"/>
        </w:rPr>
      </w:pPr>
      <w:bookmarkStart w:id="28" w:name="_Latest_publications,_funding"/>
      <w:bookmarkStart w:id="29" w:name="_Toc418770751"/>
      <w:bookmarkStart w:id="30" w:name="_Ref418784342"/>
      <w:bookmarkStart w:id="31" w:name="_Ref421267554"/>
      <w:bookmarkEnd w:id="28"/>
      <w:r>
        <w:rPr>
          <w:lang w:val="en-GB"/>
        </w:rPr>
        <w:br w:type="page"/>
      </w:r>
    </w:p>
    <w:p w14:paraId="0D439E6D" w14:textId="5F4A1436" w:rsidR="004A7771" w:rsidRPr="009D41AF" w:rsidRDefault="002010CB" w:rsidP="009D41AF">
      <w:pPr>
        <w:pStyle w:val="Heading1"/>
        <w:rPr>
          <w:lang w:val="en-GB"/>
        </w:rPr>
      </w:pPr>
      <w:bookmarkStart w:id="32" w:name="_Ref429646330"/>
      <w:r>
        <w:rPr>
          <w:lang w:val="en-GB"/>
        </w:rPr>
        <w:t>P</w:t>
      </w:r>
      <w:r w:rsidR="00E91D96" w:rsidRPr="006075A4">
        <w:rPr>
          <w:lang w:val="en-GB"/>
        </w:rPr>
        <w:t xml:space="preserve">ublications, funding opportunities and </w:t>
      </w:r>
      <w:bookmarkEnd w:id="29"/>
      <w:bookmarkEnd w:id="30"/>
      <w:bookmarkEnd w:id="31"/>
      <w:r>
        <w:rPr>
          <w:lang w:val="en-GB"/>
        </w:rPr>
        <w:t>events</w:t>
      </w:r>
      <w:bookmarkEnd w:id="32"/>
    </w:p>
    <w:p w14:paraId="2F3265F4" w14:textId="77777777" w:rsidR="009D41AF" w:rsidRDefault="009D41AF" w:rsidP="002B36E3">
      <w:pPr>
        <w:rPr>
          <w:lang w:val="en-GB"/>
        </w:rPr>
      </w:pPr>
    </w:p>
    <w:p w14:paraId="1A88A9F8" w14:textId="767E4156" w:rsidR="00316E32" w:rsidRDefault="00565043" w:rsidP="00565043">
      <w:pPr>
        <w:pStyle w:val="Heading2"/>
        <w:pBdr>
          <w:top w:val="dotted" w:sz="4" w:space="1" w:color="auto"/>
          <w:bottom w:val="dotted" w:sz="4" w:space="1" w:color="auto"/>
        </w:pBdr>
        <w:spacing w:line="276" w:lineRule="auto"/>
        <w:jc w:val="center"/>
        <w:rPr>
          <w:color w:val="auto"/>
          <w:sz w:val="22"/>
          <w:szCs w:val="22"/>
          <w:lang w:val="en-GB"/>
        </w:rPr>
      </w:pPr>
      <w:bookmarkStart w:id="33" w:name="_Ref429646334"/>
      <w:r>
        <w:rPr>
          <w:lang w:val="en-GB"/>
        </w:rPr>
        <w:t>General information</w:t>
      </w:r>
      <w:bookmarkEnd w:id="33"/>
    </w:p>
    <w:p w14:paraId="649D8098" w14:textId="77777777" w:rsidR="00565043" w:rsidRDefault="00565043" w:rsidP="009D41AF">
      <w:pPr>
        <w:jc w:val="both"/>
        <w:rPr>
          <w:b/>
          <w:shd w:val="clear" w:color="auto" w:fill="92D050"/>
          <w:lang w:val="en-GB"/>
        </w:rPr>
      </w:pPr>
    </w:p>
    <w:p w14:paraId="561BAE15" w14:textId="77777777" w:rsidR="00565043" w:rsidRDefault="005431C9" w:rsidP="009D41AF">
      <w:pPr>
        <w:jc w:val="both"/>
        <w:rPr>
          <w:lang w:val="en-GB"/>
        </w:rPr>
      </w:pPr>
      <w:r w:rsidRPr="005431C9">
        <w:rPr>
          <w:b/>
          <w:shd w:val="clear" w:color="auto" w:fill="92D050"/>
          <w:lang w:val="en-GB"/>
        </w:rPr>
        <w:t>CALL FOR TENDERS</w:t>
      </w:r>
      <w:r>
        <w:rPr>
          <w:lang w:val="en-GB"/>
        </w:rPr>
        <w:t xml:space="preserve"> – </w:t>
      </w:r>
      <w:hyperlink r:id="rId30" w:history="1">
        <w:r w:rsidRPr="005431C9">
          <w:rPr>
            <w:rStyle w:val="Hyperlink"/>
            <w:lang w:val="en-GB"/>
          </w:rPr>
          <w:t>European Union Agency for Fundamental Rights (FRA): Data collection and research services on fundamental rights issues: FRANET Lot 26 Sweden</w:t>
        </w:r>
      </w:hyperlink>
      <w:r>
        <w:rPr>
          <w:lang w:val="en-GB"/>
        </w:rPr>
        <w:t xml:space="preserve"> </w:t>
      </w:r>
      <w:r w:rsidRPr="002010CB">
        <w:rPr>
          <w:i/>
          <w:lang w:val="en-GB"/>
        </w:rPr>
        <w:t>(Deadline: 30</w:t>
      </w:r>
      <w:r w:rsidRPr="002010CB">
        <w:rPr>
          <w:i/>
          <w:vertAlign w:val="superscript"/>
          <w:lang w:val="en-GB"/>
        </w:rPr>
        <w:t>th</w:t>
      </w:r>
      <w:r w:rsidRPr="002010CB">
        <w:rPr>
          <w:i/>
          <w:lang w:val="en-GB"/>
        </w:rPr>
        <w:t xml:space="preserve"> September 2015)</w:t>
      </w:r>
      <w:r w:rsidRPr="002010CB">
        <w:rPr>
          <w:i/>
          <w:lang w:val="en-GB"/>
        </w:rPr>
        <w:tab/>
      </w:r>
    </w:p>
    <w:p w14:paraId="3C9BC6B0" w14:textId="3B035CE6" w:rsidR="00565043" w:rsidRDefault="009D41AF" w:rsidP="002010CB">
      <w:pPr>
        <w:jc w:val="both"/>
        <w:rPr>
          <w:b/>
          <w:lang w:val="en-GB"/>
        </w:rPr>
      </w:pPr>
      <w:r w:rsidRPr="005431C9">
        <w:rPr>
          <w:b/>
          <w:shd w:val="clear" w:color="auto" w:fill="92D050"/>
          <w:lang w:val="en-GB"/>
        </w:rPr>
        <w:t>CALL FOR PROPOSALS</w:t>
      </w:r>
      <w:r>
        <w:rPr>
          <w:lang w:val="en-GB"/>
        </w:rPr>
        <w:t xml:space="preserve"> – E</w:t>
      </w:r>
      <w:r w:rsidR="00D0578E" w:rsidRPr="00D0578E">
        <w:rPr>
          <w:lang w:val="en-GB"/>
        </w:rPr>
        <w:t>uropean Commission</w:t>
      </w:r>
      <w:r>
        <w:rPr>
          <w:lang w:val="en-GB"/>
        </w:rPr>
        <w:t xml:space="preserve">: </w:t>
      </w:r>
      <w:hyperlink r:id="rId31" w:history="1">
        <w:r w:rsidR="00D0578E" w:rsidRPr="009D41AF">
          <w:rPr>
            <w:rStyle w:val="Hyperlink"/>
            <w:lang w:val="en-GB"/>
          </w:rPr>
          <w:t>Action grants to support transnational projects on promoting the quality of the national justice systems</w:t>
        </w:r>
      </w:hyperlink>
      <w:r w:rsidR="00382B08">
        <w:rPr>
          <w:lang w:val="en-GB"/>
        </w:rPr>
        <w:t xml:space="preserve"> </w:t>
      </w:r>
      <w:r w:rsidR="00382B08" w:rsidRPr="002010CB">
        <w:rPr>
          <w:i/>
          <w:lang w:val="en-GB"/>
        </w:rPr>
        <w:t>(</w:t>
      </w:r>
      <w:r w:rsidR="005431C9" w:rsidRPr="002010CB">
        <w:rPr>
          <w:i/>
          <w:lang w:val="en-GB"/>
        </w:rPr>
        <w:t xml:space="preserve">Deadline: </w:t>
      </w:r>
      <w:r w:rsidR="00D0578E" w:rsidRPr="002010CB">
        <w:rPr>
          <w:i/>
          <w:lang w:val="en-GB"/>
        </w:rPr>
        <w:t>13</w:t>
      </w:r>
      <w:r w:rsidR="00D0578E" w:rsidRPr="002010CB">
        <w:rPr>
          <w:i/>
          <w:vertAlign w:val="superscript"/>
          <w:lang w:val="en-GB"/>
        </w:rPr>
        <w:t>th</w:t>
      </w:r>
      <w:r w:rsidR="00D0578E" w:rsidRPr="002010CB">
        <w:rPr>
          <w:i/>
          <w:lang w:val="en-GB"/>
        </w:rPr>
        <w:t xml:space="preserve"> October </w:t>
      </w:r>
      <w:r w:rsidRPr="002010CB">
        <w:rPr>
          <w:i/>
          <w:lang w:val="en-GB"/>
        </w:rPr>
        <w:t>2015</w:t>
      </w:r>
      <w:r w:rsidR="00D0578E" w:rsidRPr="002010CB">
        <w:rPr>
          <w:i/>
          <w:lang w:val="en-GB"/>
        </w:rPr>
        <w:t>)</w:t>
      </w:r>
      <w:r w:rsidR="005431C9" w:rsidRPr="002010CB">
        <w:rPr>
          <w:i/>
          <w:lang w:val="en-GB"/>
        </w:rPr>
        <w:tab/>
      </w:r>
    </w:p>
    <w:p w14:paraId="071B1E11" w14:textId="77777777" w:rsidR="00565043" w:rsidRDefault="009D41AF" w:rsidP="002010CB">
      <w:pPr>
        <w:jc w:val="both"/>
        <w:rPr>
          <w:lang w:val="en-GB"/>
        </w:rPr>
      </w:pPr>
      <w:r w:rsidRPr="009D41AF">
        <w:rPr>
          <w:b/>
          <w:shd w:val="clear" w:color="auto" w:fill="92D050"/>
          <w:lang w:val="en-GB"/>
        </w:rPr>
        <w:t>CALL FOR PROPOSALS</w:t>
      </w:r>
      <w:r>
        <w:rPr>
          <w:lang w:val="en-GB"/>
        </w:rPr>
        <w:t xml:space="preserve"> – </w:t>
      </w:r>
      <w:r w:rsidRPr="008F7FFC">
        <w:rPr>
          <w:lang w:val="en-GB"/>
        </w:rPr>
        <w:t>European Commission:</w:t>
      </w:r>
      <w:r w:rsidRPr="009D41AF">
        <w:rPr>
          <w:b/>
          <w:lang w:val="en-GB"/>
        </w:rPr>
        <w:t xml:space="preserve"> </w:t>
      </w:r>
      <w:hyperlink r:id="rId32" w:history="1">
        <w:r w:rsidR="00382B08" w:rsidRPr="009D41AF">
          <w:rPr>
            <w:rStyle w:val="Hyperlink"/>
            <w:lang w:val="en-GB"/>
          </w:rPr>
          <w:t>Action grants to support projects to enhance the rights of persons suspected or accused of crime</w:t>
        </w:r>
      </w:hyperlink>
      <w:r w:rsidR="005431C9">
        <w:rPr>
          <w:lang w:val="en-GB"/>
        </w:rPr>
        <w:t xml:space="preserve"> </w:t>
      </w:r>
      <w:r w:rsidR="005431C9" w:rsidRPr="002010CB">
        <w:rPr>
          <w:i/>
          <w:lang w:val="en-GB"/>
        </w:rPr>
        <w:t xml:space="preserve">(Deadline: </w:t>
      </w:r>
      <w:r w:rsidR="00382B08" w:rsidRPr="002010CB">
        <w:rPr>
          <w:i/>
          <w:lang w:val="en-GB"/>
        </w:rPr>
        <w:t>28</w:t>
      </w:r>
      <w:r w:rsidR="00382B08" w:rsidRPr="002010CB">
        <w:rPr>
          <w:i/>
          <w:vertAlign w:val="superscript"/>
          <w:lang w:val="en-GB"/>
        </w:rPr>
        <w:t>th</w:t>
      </w:r>
      <w:r w:rsidR="00382B08" w:rsidRPr="002010CB">
        <w:rPr>
          <w:i/>
          <w:lang w:val="en-GB"/>
        </w:rPr>
        <w:t xml:space="preserve"> October 2015)</w:t>
      </w:r>
      <w:r w:rsidR="002010CB">
        <w:rPr>
          <w:i/>
          <w:lang w:val="en-GB"/>
        </w:rPr>
        <w:tab/>
      </w:r>
    </w:p>
    <w:p w14:paraId="0EB5ECA7" w14:textId="18533181" w:rsidR="00565043" w:rsidRDefault="00A37D41" w:rsidP="002010CB">
      <w:pPr>
        <w:jc w:val="both"/>
        <w:rPr>
          <w:lang w:val="en-GB"/>
        </w:rPr>
      </w:pPr>
      <w:r>
        <w:rPr>
          <w:b/>
          <w:shd w:val="clear" w:color="auto" w:fill="FFC000"/>
          <w:lang w:val="en-GB"/>
        </w:rPr>
        <w:t>SAVE THE DATE</w:t>
      </w:r>
      <w:r w:rsidR="002010CB">
        <w:rPr>
          <w:b/>
          <w:lang w:val="en-GB"/>
        </w:rPr>
        <w:t xml:space="preserve"> – European Commission: 6</w:t>
      </w:r>
      <w:r w:rsidR="002010CB" w:rsidRPr="002010CB">
        <w:rPr>
          <w:b/>
          <w:vertAlign w:val="superscript"/>
          <w:lang w:val="en-GB"/>
        </w:rPr>
        <w:t>th</w:t>
      </w:r>
      <w:r w:rsidR="002010CB">
        <w:rPr>
          <w:b/>
          <w:lang w:val="en-GB"/>
        </w:rPr>
        <w:t xml:space="preserve"> </w:t>
      </w:r>
      <w:r w:rsidR="002010CB" w:rsidRPr="002010CB">
        <w:rPr>
          <w:b/>
          <w:lang w:val="en-GB"/>
        </w:rPr>
        <w:t>EU Diversity Charters Annual Forum - 'Multipliers and actors in diversity management: moving to the next level'</w:t>
      </w:r>
      <w:r w:rsidR="002010CB">
        <w:rPr>
          <w:b/>
          <w:lang w:val="en-GB"/>
        </w:rPr>
        <w:t xml:space="preserve"> (28</w:t>
      </w:r>
      <w:r w:rsidR="002010CB" w:rsidRPr="002010CB">
        <w:rPr>
          <w:b/>
          <w:vertAlign w:val="superscript"/>
          <w:lang w:val="en-GB"/>
        </w:rPr>
        <w:t>th</w:t>
      </w:r>
      <w:r w:rsidR="002010CB">
        <w:rPr>
          <w:b/>
          <w:lang w:val="en-GB"/>
        </w:rPr>
        <w:t xml:space="preserve"> October 2015, Luxembourg, Luxembourg)</w:t>
      </w:r>
      <w:r w:rsidR="002010CB">
        <w:rPr>
          <w:b/>
          <w:lang w:val="en-GB"/>
        </w:rPr>
        <w:tab/>
      </w:r>
      <w:r w:rsidR="002010CB">
        <w:rPr>
          <w:b/>
          <w:lang w:val="en-GB"/>
        </w:rPr>
        <w:br/>
      </w:r>
      <w:r w:rsidR="002010CB">
        <w:rPr>
          <w:lang w:val="en-GB"/>
        </w:rPr>
        <w:t xml:space="preserve"> “</w:t>
      </w:r>
      <w:r w:rsidR="002010CB" w:rsidRPr="002010CB">
        <w:rPr>
          <w:lang w:val="en-GB"/>
        </w:rPr>
        <w:t xml:space="preserve">This years' Forum will focus on </w:t>
      </w:r>
      <w:r w:rsidR="002010CB" w:rsidRPr="002010CB">
        <w:rPr>
          <w:b/>
          <w:lang w:val="en-GB"/>
        </w:rPr>
        <w:t>multipliers in diversity management and the role that actors like public sector and media play in it</w:t>
      </w:r>
      <w:r w:rsidR="002010CB" w:rsidRPr="002010CB">
        <w:rPr>
          <w:lang w:val="en-GB"/>
        </w:rPr>
        <w:t>. The Annual Forum brings together around 150 diversity experts, public sector and media representatives from the EU Member States to discuss the benefits of diversity in the workplace and how to develop the diversity management further.”</w:t>
      </w:r>
      <w:r w:rsidR="002010CB">
        <w:rPr>
          <w:lang w:val="en-GB"/>
        </w:rPr>
        <w:tab/>
      </w:r>
      <w:r w:rsidR="002010CB">
        <w:rPr>
          <w:lang w:val="en-GB"/>
        </w:rPr>
        <w:br/>
        <w:t xml:space="preserve">More information is available </w:t>
      </w:r>
      <w:hyperlink r:id="rId33" w:history="1">
        <w:r w:rsidR="00334A09" w:rsidRPr="00334A09">
          <w:rPr>
            <w:rStyle w:val="Hyperlink"/>
            <w:lang w:val="en-GB"/>
          </w:rPr>
          <w:t>here</w:t>
        </w:r>
      </w:hyperlink>
      <w:r w:rsidR="002010CB">
        <w:rPr>
          <w:lang w:val="en-GB"/>
        </w:rPr>
        <w:t xml:space="preserve">. </w:t>
      </w:r>
    </w:p>
    <w:p w14:paraId="7220C21D" w14:textId="0B503D40" w:rsidR="00A37D41" w:rsidRPr="00565043" w:rsidRDefault="00A37D41" w:rsidP="002010CB">
      <w:pPr>
        <w:jc w:val="both"/>
        <w:rPr>
          <w:lang w:val="en-GB"/>
        </w:rPr>
      </w:pPr>
      <w:r w:rsidRPr="00565043">
        <w:rPr>
          <w:b/>
          <w:shd w:val="clear" w:color="auto" w:fill="FFC000"/>
          <w:lang w:val="en-GB"/>
        </w:rPr>
        <w:t>SAVE THE DATE</w:t>
      </w:r>
      <w:r>
        <w:rPr>
          <w:lang w:val="en-GB"/>
        </w:rPr>
        <w:t xml:space="preserve"> </w:t>
      </w:r>
      <w:r w:rsidRPr="00565043">
        <w:rPr>
          <w:b/>
          <w:lang w:val="en-GB"/>
        </w:rPr>
        <w:t xml:space="preserve">- Next meetings of the </w:t>
      </w:r>
      <w:r w:rsidR="00334A09">
        <w:rPr>
          <w:b/>
          <w:lang w:val="en-GB"/>
        </w:rPr>
        <w:t xml:space="preserve">FRA and the </w:t>
      </w:r>
      <w:r w:rsidRPr="00565043">
        <w:rPr>
          <w:b/>
          <w:lang w:val="en-GB"/>
        </w:rPr>
        <w:t>C</w:t>
      </w:r>
      <w:r w:rsidR="00565043">
        <w:rPr>
          <w:b/>
          <w:lang w:val="en-GB"/>
        </w:rPr>
        <w:t xml:space="preserve">ouncil </w:t>
      </w:r>
      <w:r w:rsidRPr="00565043">
        <w:rPr>
          <w:b/>
          <w:lang w:val="en-GB"/>
        </w:rPr>
        <w:t>o</w:t>
      </w:r>
      <w:r w:rsidR="00565043">
        <w:rPr>
          <w:b/>
          <w:lang w:val="en-GB"/>
        </w:rPr>
        <w:t xml:space="preserve">f </w:t>
      </w:r>
      <w:r w:rsidRPr="00565043">
        <w:rPr>
          <w:b/>
          <w:lang w:val="en-GB"/>
        </w:rPr>
        <w:t>E</w:t>
      </w:r>
      <w:r w:rsidR="00565043">
        <w:rPr>
          <w:b/>
          <w:lang w:val="en-GB"/>
        </w:rPr>
        <w:t>urope</w:t>
      </w:r>
      <w:r w:rsidRPr="00565043">
        <w:rPr>
          <w:b/>
          <w:lang w:val="en-GB"/>
        </w:rPr>
        <w:t>-FRA-EQUINET-ENNHRI Platform</w:t>
      </w:r>
      <w:r w:rsidR="00565043" w:rsidRPr="00565043">
        <w:rPr>
          <w:b/>
          <w:lang w:val="en-GB"/>
        </w:rPr>
        <w:t>s</w:t>
      </w:r>
    </w:p>
    <w:p w14:paraId="541CDD02" w14:textId="19530836" w:rsidR="00565043" w:rsidRPr="00334A09" w:rsidRDefault="00565043" w:rsidP="00565043">
      <w:pPr>
        <w:pStyle w:val="ListParagraph"/>
        <w:numPr>
          <w:ilvl w:val="0"/>
          <w:numId w:val="36"/>
        </w:numPr>
        <w:jc w:val="both"/>
        <w:rPr>
          <w:i/>
          <w:color w:val="FF0000"/>
          <w:lang w:val="en-GB"/>
        </w:rPr>
      </w:pPr>
      <w:r w:rsidRPr="00565043">
        <w:rPr>
          <w:b/>
          <w:lang w:val="en-GB"/>
        </w:rPr>
        <w:t>Thursday 15</w:t>
      </w:r>
      <w:r w:rsidRPr="00565043">
        <w:rPr>
          <w:b/>
          <w:vertAlign w:val="superscript"/>
          <w:lang w:val="en-GB"/>
        </w:rPr>
        <w:t>th</w:t>
      </w:r>
      <w:r w:rsidRPr="00565043">
        <w:rPr>
          <w:b/>
          <w:lang w:val="en-GB"/>
        </w:rPr>
        <w:t xml:space="preserve"> October 2015</w:t>
      </w:r>
      <w:r>
        <w:rPr>
          <w:lang w:val="en-GB"/>
        </w:rPr>
        <w:t xml:space="preserve"> – Thematic Platform Social Rights (Council of Europe, Strasbourg</w:t>
      </w:r>
      <w:r w:rsidR="00334A09">
        <w:rPr>
          <w:lang w:val="en-GB"/>
        </w:rPr>
        <w:t>, France</w:t>
      </w:r>
      <w:r>
        <w:rPr>
          <w:lang w:val="en-GB"/>
        </w:rPr>
        <w:t>)</w:t>
      </w:r>
      <w:r w:rsidR="00334A09">
        <w:rPr>
          <w:lang w:val="en-GB"/>
        </w:rPr>
        <w:t xml:space="preserve"> </w:t>
      </w:r>
      <w:r w:rsidR="00334A09" w:rsidRPr="00334A09">
        <w:rPr>
          <w:i/>
          <w:color w:val="FF0000"/>
          <w:lang w:val="en-GB"/>
        </w:rPr>
        <w:t>(preceded by the meeting of Equinet Policy Formation Working Group on Wednesday 14</w:t>
      </w:r>
      <w:r w:rsidR="00334A09" w:rsidRPr="00334A09">
        <w:rPr>
          <w:i/>
          <w:color w:val="FF0000"/>
          <w:vertAlign w:val="superscript"/>
          <w:lang w:val="en-GB"/>
        </w:rPr>
        <w:t>th</w:t>
      </w:r>
      <w:r w:rsidR="00334A09" w:rsidRPr="00334A09">
        <w:rPr>
          <w:i/>
          <w:color w:val="FF0000"/>
          <w:lang w:val="en-GB"/>
        </w:rPr>
        <w:t xml:space="preserve"> October)</w:t>
      </w:r>
    </w:p>
    <w:p w14:paraId="204A875C" w14:textId="2CAF5CF5" w:rsidR="00334A09" w:rsidRDefault="00334A09" w:rsidP="00334A09">
      <w:pPr>
        <w:pStyle w:val="ListParagraph"/>
        <w:numPr>
          <w:ilvl w:val="0"/>
          <w:numId w:val="36"/>
        </w:numPr>
        <w:jc w:val="both"/>
        <w:rPr>
          <w:lang w:val="en-GB"/>
        </w:rPr>
      </w:pPr>
      <w:r w:rsidRPr="00334A09">
        <w:rPr>
          <w:b/>
          <w:lang w:val="en-GB"/>
        </w:rPr>
        <w:t>Thursday 19</w:t>
      </w:r>
      <w:r w:rsidRPr="00334A09">
        <w:rPr>
          <w:b/>
          <w:vertAlign w:val="superscript"/>
          <w:lang w:val="en-GB"/>
        </w:rPr>
        <w:t>th</w:t>
      </w:r>
      <w:r w:rsidRPr="00334A09">
        <w:rPr>
          <w:b/>
          <w:lang w:val="en-GB"/>
        </w:rPr>
        <w:t xml:space="preserve"> and Friday 20</w:t>
      </w:r>
      <w:r w:rsidRPr="00334A09">
        <w:rPr>
          <w:b/>
          <w:vertAlign w:val="superscript"/>
          <w:lang w:val="en-GB"/>
        </w:rPr>
        <w:t>th</w:t>
      </w:r>
      <w:r w:rsidRPr="00334A09">
        <w:rPr>
          <w:b/>
          <w:lang w:val="en-GB"/>
        </w:rPr>
        <w:t xml:space="preserve"> November</w:t>
      </w:r>
      <w:r>
        <w:rPr>
          <w:lang w:val="en-GB"/>
        </w:rPr>
        <w:t xml:space="preserve"> - F</w:t>
      </w:r>
      <w:r w:rsidRPr="00334A09">
        <w:rPr>
          <w:lang w:val="en-GB"/>
        </w:rPr>
        <w:t>RA meeting with national stakeholders</w:t>
      </w:r>
      <w:r>
        <w:rPr>
          <w:lang w:val="en-GB"/>
        </w:rPr>
        <w:t xml:space="preserve"> (Vienna, Austria)</w:t>
      </w:r>
    </w:p>
    <w:p w14:paraId="4AF3A615" w14:textId="216EB4AB" w:rsidR="00D0578E" w:rsidRDefault="00565043" w:rsidP="00565043">
      <w:pPr>
        <w:pStyle w:val="ListParagraph"/>
        <w:numPr>
          <w:ilvl w:val="0"/>
          <w:numId w:val="36"/>
        </w:numPr>
        <w:jc w:val="both"/>
        <w:rPr>
          <w:lang w:val="en-GB"/>
        </w:rPr>
      </w:pPr>
      <w:r>
        <w:rPr>
          <w:b/>
          <w:lang w:val="en-GB"/>
        </w:rPr>
        <w:t>Thursday 3</w:t>
      </w:r>
      <w:r w:rsidRPr="00565043">
        <w:rPr>
          <w:b/>
          <w:vertAlign w:val="superscript"/>
          <w:lang w:val="en-GB"/>
        </w:rPr>
        <w:t>rd</w:t>
      </w:r>
      <w:r>
        <w:rPr>
          <w:b/>
          <w:lang w:val="en-GB"/>
        </w:rPr>
        <w:t xml:space="preserve"> and Friday 4</w:t>
      </w:r>
      <w:r w:rsidRPr="00565043">
        <w:rPr>
          <w:b/>
          <w:vertAlign w:val="superscript"/>
          <w:lang w:val="en-GB"/>
        </w:rPr>
        <w:t>th</w:t>
      </w:r>
      <w:r>
        <w:rPr>
          <w:b/>
          <w:lang w:val="en-GB"/>
        </w:rPr>
        <w:t xml:space="preserve"> December 2015 </w:t>
      </w:r>
      <w:r>
        <w:rPr>
          <w:lang w:val="en-GB"/>
        </w:rPr>
        <w:t>– Operational Platform for Roma Equality (OPRE – Council of Europe, Strasbourg</w:t>
      </w:r>
      <w:r w:rsidR="00334A09">
        <w:rPr>
          <w:lang w:val="en-GB"/>
        </w:rPr>
        <w:t>, France</w:t>
      </w:r>
      <w:r>
        <w:rPr>
          <w:lang w:val="en-GB"/>
        </w:rPr>
        <w:t>)</w:t>
      </w:r>
    </w:p>
    <w:p w14:paraId="49B60FB0" w14:textId="77777777" w:rsidR="00565043" w:rsidRPr="00565043" w:rsidRDefault="00565043" w:rsidP="002B36E3">
      <w:pPr>
        <w:rPr>
          <w:lang w:val="en-GB"/>
        </w:rPr>
      </w:pPr>
    </w:p>
    <w:p w14:paraId="7B912236" w14:textId="7A7C7C5A" w:rsidR="00792086" w:rsidRDefault="00F93FE2" w:rsidP="00565043">
      <w:pPr>
        <w:pStyle w:val="Heading2"/>
        <w:pBdr>
          <w:top w:val="dotted" w:sz="4" w:space="1" w:color="auto"/>
          <w:bottom w:val="dotted" w:sz="4" w:space="1" w:color="auto"/>
        </w:pBdr>
        <w:spacing w:line="240" w:lineRule="auto"/>
        <w:jc w:val="center"/>
        <w:rPr>
          <w:lang w:val="en-GB"/>
        </w:rPr>
      </w:pPr>
      <w:bookmarkStart w:id="34" w:name="_Gender_Equality_1"/>
      <w:bookmarkStart w:id="35" w:name="_Ref429646335"/>
      <w:bookmarkEnd w:id="34"/>
      <w:r w:rsidRPr="006075A4">
        <w:rPr>
          <w:lang w:val="en-GB"/>
        </w:rPr>
        <w:t>Gender Equality</w:t>
      </w:r>
      <w:bookmarkEnd w:id="35"/>
    </w:p>
    <w:p w14:paraId="42A359F6" w14:textId="3A70B05F" w:rsidR="00565043" w:rsidRDefault="00E82D69" w:rsidP="002C1322">
      <w:pPr>
        <w:spacing w:before="360" w:after="360" w:line="276" w:lineRule="auto"/>
        <w:jc w:val="both"/>
        <w:rPr>
          <w:rFonts w:eastAsiaTheme="majorEastAsia" w:cstheme="majorBidi"/>
          <w:b/>
          <w:lang w:val="en-GB"/>
        </w:rPr>
      </w:pPr>
      <w:r w:rsidRPr="009D41AF">
        <w:rPr>
          <w:b/>
          <w:shd w:val="clear" w:color="auto" w:fill="92D050"/>
          <w:lang w:val="en-GB"/>
        </w:rPr>
        <w:t>CALL FOR PROPOSALS</w:t>
      </w:r>
      <w:r w:rsidRPr="00E82D69">
        <w:rPr>
          <w:b/>
          <w:lang w:val="en-GB"/>
        </w:rPr>
        <w:t xml:space="preserve"> – </w:t>
      </w:r>
      <w:r w:rsidRPr="00334A09">
        <w:rPr>
          <w:lang w:val="en-GB"/>
        </w:rPr>
        <w:t>European Commission:</w:t>
      </w:r>
      <w:r w:rsidR="00334A09" w:rsidRPr="00334A09">
        <w:rPr>
          <w:lang w:val="en-GB"/>
        </w:rPr>
        <w:t xml:space="preserve"> </w:t>
      </w:r>
      <w:hyperlink r:id="rId34" w:history="1">
        <w:r w:rsidR="00334A09" w:rsidRPr="00334A09">
          <w:rPr>
            <w:rStyle w:val="Hyperlink"/>
            <w:lang w:val="en-GB"/>
          </w:rPr>
          <w:t>Action grants to support transnational projects to combat sexual harassment and sexual violence against women</w:t>
        </w:r>
      </w:hyperlink>
      <w:r w:rsidRPr="00E82D69">
        <w:rPr>
          <w:b/>
          <w:lang w:val="en-GB"/>
        </w:rPr>
        <w:t xml:space="preserve"> </w:t>
      </w:r>
      <w:r w:rsidR="002010CB" w:rsidRPr="002010CB">
        <w:rPr>
          <w:i/>
          <w:lang w:val="en-GB"/>
        </w:rPr>
        <w:t xml:space="preserve">(Deadline: </w:t>
      </w:r>
      <w:r w:rsidRPr="002010CB">
        <w:rPr>
          <w:i/>
          <w:lang w:val="en-GB"/>
        </w:rPr>
        <w:t>13</w:t>
      </w:r>
      <w:r w:rsidRPr="002010CB">
        <w:rPr>
          <w:i/>
          <w:vertAlign w:val="superscript"/>
          <w:lang w:val="en-GB"/>
        </w:rPr>
        <w:t>th</w:t>
      </w:r>
      <w:r w:rsidRPr="002010CB">
        <w:rPr>
          <w:i/>
          <w:lang w:val="en-GB"/>
        </w:rPr>
        <w:t>October 2015)</w:t>
      </w:r>
    </w:p>
    <w:p w14:paraId="464054FF" w14:textId="72A6926B" w:rsidR="00565043" w:rsidRDefault="002C1322" w:rsidP="002C1322">
      <w:pPr>
        <w:spacing w:before="360" w:after="360" w:line="276" w:lineRule="auto"/>
        <w:jc w:val="both"/>
        <w:rPr>
          <w:rFonts w:eastAsiaTheme="majorEastAsia" w:cstheme="majorBidi"/>
          <w:b/>
          <w:lang w:val="en-GB"/>
        </w:rPr>
      </w:pPr>
      <w:r w:rsidRPr="00E82D69">
        <w:rPr>
          <w:rFonts w:eastAsia="Times New Roman" w:cs="Times New Roman"/>
          <w:b/>
          <w:bCs/>
          <w:color w:val="FFFFFF" w:themeColor="background1"/>
          <w:shd w:val="clear" w:color="auto" w:fill="7030A0"/>
          <w:lang w:val="en-GB" w:eastAsia="fr-BE"/>
        </w:rPr>
        <w:t>PUBLICATION</w:t>
      </w:r>
      <w:r w:rsidRPr="00E82D69">
        <w:rPr>
          <w:rFonts w:eastAsia="Times New Roman" w:cs="Times New Roman"/>
          <w:b/>
          <w:bCs/>
          <w:lang w:val="en-GB" w:eastAsia="fr-BE"/>
        </w:rPr>
        <w:t xml:space="preserve"> – European Parliament: </w:t>
      </w:r>
      <w:r w:rsidRPr="008935EA">
        <w:rPr>
          <w:b/>
          <w:lang w:val="en-US"/>
        </w:rPr>
        <w:t>Study on Mat</w:t>
      </w:r>
      <w:r>
        <w:rPr>
          <w:b/>
          <w:lang w:val="en-US"/>
        </w:rPr>
        <w:t xml:space="preserve">ernity, Paternity and Parental </w:t>
      </w:r>
      <w:r w:rsidR="00A67E65">
        <w:rPr>
          <w:b/>
          <w:lang w:val="en-US"/>
        </w:rPr>
        <w:t>leave</w:t>
      </w:r>
      <w:r w:rsidR="00A67E65">
        <w:rPr>
          <w:b/>
          <w:lang w:val="en-US"/>
        </w:rPr>
        <w:tab/>
      </w:r>
      <w:r>
        <w:rPr>
          <w:b/>
          <w:lang w:val="en-US"/>
        </w:rPr>
        <w:br/>
      </w:r>
      <w:r w:rsidRPr="008935EA">
        <w:rPr>
          <w:lang w:val="en-US"/>
        </w:rPr>
        <w:t xml:space="preserve">Upon request by the FEMM </w:t>
      </w:r>
      <w:r>
        <w:rPr>
          <w:lang w:val="en-US"/>
        </w:rPr>
        <w:t>(</w:t>
      </w:r>
      <w:r w:rsidRPr="008935EA">
        <w:rPr>
          <w:lang w:val="en-US"/>
        </w:rPr>
        <w:t>Women’s Rights</w:t>
      </w:r>
      <w:r>
        <w:rPr>
          <w:lang w:val="en-US"/>
        </w:rPr>
        <w:t xml:space="preserve"> and Gender Equality) Committee</w:t>
      </w:r>
      <w:r w:rsidRPr="008935EA">
        <w:rPr>
          <w:lang w:val="en-US"/>
        </w:rPr>
        <w:t xml:space="preserve">, the Policy Department C: Citizens' Rights and Constitutional Affairs has developed a number of figures </w:t>
      </w:r>
      <w:r w:rsidR="008C2829" w:rsidRPr="00E82D69">
        <w:rPr>
          <w:b/>
          <w:lang w:val="en-US"/>
        </w:rPr>
        <w:t>visualizing</w:t>
      </w:r>
      <w:r w:rsidRPr="00E82D69">
        <w:rPr>
          <w:b/>
          <w:lang w:val="en-US"/>
        </w:rPr>
        <w:t xml:space="preserve"> duration of and compensation rates of previous incomes during maternity, paternity and parental leave in the Member States of the European Union</w:t>
      </w:r>
      <w:r w:rsidRPr="008935EA">
        <w:rPr>
          <w:lang w:val="en-US"/>
        </w:rPr>
        <w:t xml:space="preserve">. The study </w:t>
      </w:r>
      <w:r>
        <w:rPr>
          <w:lang w:val="en-US"/>
        </w:rPr>
        <w:t>is</w:t>
      </w:r>
      <w:r w:rsidRPr="008935EA">
        <w:rPr>
          <w:lang w:val="en-US"/>
        </w:rPr>
        <w:t xml:space="preserve"> available </w:t>
      </w:r>
      <w:hyperlink r:id="rId35" w:history="1">
        <w:r w:rsidRPr="008935EA">
          <w:rPr>
            <w:rStyle w:val="Hyperlink"/>
            <w:lang w:val="en-US"/>
          </w:rPr>
          <w:t>here</w:t>
        </w:r>
      </w:hyperlink>
      <w:r w:rsidRPr="008935EA">
        <w:rPr>
          <w:lang w:val="en-US"/>
        </w:rPr>
        <w:t xml:space="preserve">. </w:t>
      </w:r>
    </w:p>
    <w:p w14:paraId="3154FD30" w14:textId="77777777" w:rsidR="00565043" w:rsidRDefault="00A67E65" w:rsidP="00E82D69">
      <w:pPr>
        <w:spacing w:before="360" w:after="360" w:line="276" w:lineRule="auto"/>
        <w:jc w:val="both"/>
        <w:rPr>
          <w:rFonts w:eastAsiaTheme="majorEastAsia" w:cstheme="majorBidi"/>
          <w:b/>
          <w:lang w:val="en-GB"/>
        </w:rPr>
      </w:pPr>
      <w:r w:rsidRPr="00A67E65">
        <w:rPr>
          <w:b/>
          <w:color w:val="FFFFFF" w:themeColor="background1"/>
          <w:shd w:val="clear" w:color="auto" w:fill="7030A0"/>
          <w:lang w:val="en-US"/>
        </w:rPr>
        <w:t>PUBLICATION</w:t>
      </w:r>
      <w:r>
        <w:rPr>
          <w:lang w:val="en-US"/>
        </w:rPr>
        <w:t xml:space="preserve"> – </w:t>
      </w:r>
      <w:r w:rsidRPr="00A37D41">
        <w:rPr>
          <w:b/>
          <w:lang w:val="en-US"/>
        </w:rPr>
        <w:t>European Parliament: Reports on the policy on gende</w:t>
      </w:r>
      <w:r w:rsidR="00A37D41" w:rsidRPr="00A37D41">
        <w:rPr>
          <w:b/>
          <w:lang w:val="en-US"/>
        </w:rPr>
        <w:t>r equality in</w:t>
      </w:r>
      <w:r w:rsidR="00A37D41">
        <w:rPr>
          <w:b/>
          <w:lang w:val="en-US"/>
        </w:rPr>
        <w:t xml:space="preserve"> Poland, Belgium, Czech Republic, France, Germany, Latvia, Slovenia and Sweden.</w:t>
      </w:r>
      <w:r w:rsidR="00A37D41">
        <w:rPr>
          <w:b/>
          <w:lang w:val="en-US"/>
        </w:rPr>
        <w:tab/>
      </w:r>
      <w:r>
        <w:rPr>
          <w:lang w:val="en-US"/>
        </w:rPr>
        <w:br/>
        <w:t xml:space="preserve">Upon request by the FEMM Committee, the European Parliament published </w:t>
      </w:r>
      <w:r w:rsidR="00A37D41">
        <w:rPr>
          <w:lang w:val="en-US"/>
        </w:rPr>
        <w:t xml:space="preserve">six new reports covering the recent developments in gender equality policies in </w:t>
      </w:r>
      <w:hyperlink r:id="rId36" w:history="1">
        <w:r w:rsidR="00A37D41" w:rsidRPr="00A37D41">
          <w:rPr>
            <w:rStyle w:val="Hyperlink"/>
            <w:lang w:val="en-US"/>
          </w:rPr>
          <w:t>Czech Republic</w:t>
        </w:r>
      </w:hyperlink>
      <w:r w:rsidR="00A37D41">
        <w:rPr>
          <w:lang w:val="en-US"/>
        </w:rPr>
        <w:t xml:space="preserve">, </w:t>
      </w:r>
      <w:hyperlink r:id="rId37" w:history="1">
        <w:r w:rsidR="00A37D41" w:rsidRPr="00A37D41">
          <w:rPr>
            <w:rStyle w:val="Hyperlink"/>
            <w:lang w:val="en-US"/>
          </w:rPr>
          <w:t>France</w:t>
        </w:r>
      </w:hyperlink>
      <w:r w:rsidR="00A37D41">
        <w:rPr>
          <w:lang w:val="en-US"/>
        </w:rPr>
        <w:t xml:space="preserve">, </w:t>
      </w:r>
      <w:hyperlink r:id="rId38" w:history="1">
        <w:r w:rsidR="00A37D41" w:rsidRPr="00A37D41">
          <w:rPr>
            <w:rStyle w:val="Hyperlink"/>
            <w:lang w:val="en-US"/>
          </w:rPr>
          <w:t>Germany</w:t>
        </w:r>
      </w:hyperlink>
      <w:r w:rsidR="00A37D41">
        <w:rPr>
          <w:lang w:val="en-US"/>
        </w:rPr>
        <w:t xml:space="preserve">, </w:t>
      </w:r>
      <w:hyperlink r:id="rId39" w:history="1">
        <w:r w:rsidR="00A37D41" w:rsidRPr="00A37D41">
          <w:rPr>
            <w:rStyle w:val="Hyperlink"/>
            <w:lang w:val="en-US"/>
          </w:rPr>
          <w:t>Latvia</w:t>
        </w:r>
      </w:hyperlink>
      <w:r w:rsidR="00A37D41">
        <w:rPr>
          <w:lang w:val="en-US"/>
        </w:rPr>
        <w:t xml:space="preserve">, </w:t>
      </w:r>
      <w:hyperlink r:id="rId40" w:history="1">
        <w:r w:rsidR="00A37D41" w:rsidRPr="00A37D41">
          <w:rPr>
            <w:rStyle w:val="Hyperlink"/>
            <w:lang w:val="en-US"/>
          </w:rPr>
          <w:t>Slovenia</w:t>
        </w:r>
      </w:hyperlink>
      <w:r w:rsidR="00A37D41">
        <w:rPr>
          <w:lang w:val="en-US"/>
        </w:rPr>
        <w:t xml:space="preserve"> and </w:t>
      </w:r>
      <w:hyperlink r:id="rId41" w:history="1">
        <w:r w:rsidR="00A37D41" w:rsidRPr="00A37D41">
          <w:rPr>
            <w:rStyle w:val="Hyperlink"/>
            <w:lang w:val="en-US"/>
          </w:rPr>
          <w:t>Sweden</w:t>
        </w:r>
      </w:hyperlink>
      <w:r w:rsidR="00A37D41">
        <w:rPr>
          <w:lang w:val="en-US"/>
        </w:rPr>
        <w:t xml:space="preserve">. </w:t>
      </w:r>
      <w:r w:rsidR="00A37D41">
        <w:rPr>
          <w:lang w:val="en-US"/>
        </w:rPr>
        <w:br/>
        <w:t xml:space="preserve">The Gender Equality papers on </w:t>
      </w:r>
      <w:hyperlink r:id="rId42" w:history="1">
        <w:r w:rsidR="00A37D41" w:rsidRPr="00A37D41">
          <w:rPr>
            <w:rStyle w:val="Hyperlink"/>
            <w:lang w:val="en-US"/>
          </w:rPr>
          <w:t>Poland</w:t>
        </w:r>
      </w:hyperlink>
      <w:r w:rsidR="00A37D41">
        <w:rPr>
          <w:lang w:val="en-US"/>
        </w:rPr>
        <w:t xml:space="preserve"> and </w:t>
      </w:r>
      <w:hyperlink r:id="rId43" w:history="1">
        <w:r w:rsidR="00A37D41" w:rsidRPr="00A37D41">
          <w:rPr>
            <w:rStyle w:val="Hyperlink"/>
            <w:lang w:val="en-US"/>
          </w:rPr>
          <w:t>Belgium</w:t>
        </w:r>
      </w:hyperlink>
      <w:r w:rsidR="00A37D41">
        <w:rPr>
          <w:lang w:val="en-US"/>
        </w:rPr>
        <w:t xml:space="preserve"> were also updated.  </w:t>
      </w:r>
    </w:p>
    <w:p w14:paraId="5C325164" w14:textId="275B1ED9" w:rsidR="00B51454" w:rsidRPr="00565043" w:rsidRDefault="00E82D69" w:rsidP="00E82D69">
      <w:pPr>
        <w:spacing w:before="360" w:after="360" w:line="276" w:lineRule="auto"/>
        <w:jc w:val="both"/>
        <w:rPr>
          <w:rFonts w:eastAsiaTheme="majorEastAsia" w:cstheme="majorBidi"/>
          <w:b/>
          <w:lang w:val="en-GB"/>
        </w:rPr>
      </w:pPr>
      <w:r w:rsidRPr="00E82D69">
        <w:rPr>
          <w:rFonts w:eastAsia="Times New Roman" w:cs="Times New Roman"/>
          <w:b/>
          <w:bCs/>
          <w:color w:val="FFFFFF" w:themeColor="background1"/>
          <w:shd w:val="clear" w:color="auto" w:fill="7030A0"/>
          <w:lang w:val="en-GB" w:eastAsia="fr-BE"/>
        </w:rPr>
        <w:t>PUBLICATION</w:t>
      </w:r>
      <w:r>
        <w:rPr>
          <w:rFonts w:eastAsia="Times New Roman" w:cs="Times New Roman"/>
          <w:b/>
          <w:bCs/>
          <w:color w:val="000000"/>
          <w:lang w:val="en-GB" w:eastAsia="fr-BE"/>
        </w:rPr>
        <w:t xml:space="preserve"> - </w:t>
      </w:r>
      <w:r w:rsidR="00B51454" w:rsidRPr="00B51454">
        <w:rPr>
          <w:rFonts w:eastAsiaTheme="majorEastAsia" w:cstheme="majorBidi"/>
          <w:b/>
          <w:lang w:val="en-GB"/>
        </w:rPr>
        <w:t>Council of Europe</w:t>
      </w:r>
      <w:r>
        <w:rPr>
          <w:rFonts w:eastAsiaTheme="majorEastAsia" w:cstheme="majorBidi"/>
          <w:b/>
          <w:lang w:val="en-GB"/>
        </w:rPr>
        <w:t>: N</w:t>
      </w:r>
      <w:r w:rsidR="00B51454" w:rsidRPr="00B51454">
        <w:rPr>
          <w:rFonts w:eastAsiaTheme="majorEastAsia" w:cstheme="majorBidi"/>
          <w:b/>
          <w:lang w:val="en-GB"/>
        </w:rPr>
        <w:t>ew brochure on European Standards on Gen</w:t>
      </w:r>
      <w:r>
        <w:rPr>
          <w:rFonts w:eastAsiaTheme="majorEastAsia" w:cstheme="majorBidi"/>
          <w:b/>
          <w:lang w:val="en-GB"/>
        </w:rPr>
        <w:t>der Equality and Women’s Rights</w:t>
      </w:r>
      <w:r>
        <w:rPr>
          <w:rFonts w:eastAsiaTheme="majorEastAsia" w:cstheme="majorBidi"/>
          <w:b/>
          <w:lang w:val="en-GB"/>
        </w:rPr>
        <w:br/>
      </w:r>
      <w:r w:rsidR="00B51454" w:rsidRPr="00B51454">
        <w:rPr>
          <w:rFonts w:eastAsiaTheme="majorEastAsia" w:cstheme="majorBidi"/>
          <w:lang w:val="en-GB"/>
        </w:rPr>
        <w:t>The Gender Equality Unit has published a </w:t>
      </w:r>
      <w:hyperlink r:id="rId44" w:history="1">
        <w:r w:rsidR="00B51454" w:rsidRPr="00B51454">
          <w:rPr>
            <w:rFonts w:eastAsiaTheme="majorEastAsia" w:cstheme="majorBidi"/>
            <w:lang w:val="en-GB"/>
          </w:rPr>
          <w:t>new brochure</w:t>
        </w:r>
      </w:hyperlink>
      <w:r w:rsidR="00B51454" w:rsidRPr="00B51454">
        <w:rPr>
          <w:rFonts w:eastAsiaTheme="majorEastAsia" w:cstheme="majorBidi"/>
          <w:lang w:val="en-GB"/>
        </w:rPr>
        <w:t> bringing together the main Council of Europe instruments on gender equality and women’s rights.</w:t>
      </w:r>
      <w:r w:rsidR="00B51454">
        <w:rPr>
          <w:rFonts w:eastAsiaTheme="majorEastAsia" w:cstheme="majorBidi"/>
          <w:lang w:val="en-GB"/>
        </w:rPr>
        <w:t xml:space="preserve"> The brochure is accessible</w:t>
      </w:r>
      <w:hyperlink r:id="rId45" w:history="1">
        <w:r w:rsidR="00B51454" w:rsidRPr="00A37D41">
          <w:rPr>
            <w:rStyle w:val="Hyperlink"/>
            <w:rFonts w:eastAsiaTheme="majorEastAsia" w:cstheme="majorBidi"/>
            <w:u w:val="none"/>
            <w:lang w:val="en-GB"/>
          </w:rPr>
          <w:t xml:space="preserve"> </w:t>
        </w:r>
        <w:r w:rsidR="00B51454" w:rsidRPr="00B51454">
          <w:rPr>
            <w:rStyle w:val="Hyperlink"/>
            <w:rFonts w:eastAsiaTheme="majorEastAsia" w:cstheme="majorBidi"/>
            <w:lang w:val="en-GB"/>
          </w:rPr>
          <w:t>here</w:t>
        </w:r>
      </w:hyperlink>
      <w:r w:rsidR="000D5FBD">
        <w:rPr>
          <w:rFonts w:eastAsiaTheme="majorEastAsia" w:cstheme="majorBidi"/>
          <w:lang w:val="en-GB"/>
        </w:rPr>
        <w:t>.</w:t>
      </w:r>
    </w:p>
    <w:p w14:paraId="112DD337" w14:textId="77777777" w:rsidR="00E82D69" w:rsidRDefault="00E82D69" w:rsidP="00565043">
      <w:pPr>
        <w:pStyle w:val="Heading2"/>
        <w:pBdr>
          <w:top w:val="dotted" w:sz="4" w:space="1" w:color="auto"/>
          <w:bottom w:val="dotted" w:sz="4" w:space="1" w:color="auto"/>
        </w:pBdr>
        <w:jc w:val="center"/>
        <w:rPr>
          <w:lang w:val="en-GB"/>
        </w:rPr>
      </w:pPr>
      <w:bookmarkStart w:id="36" w:name="_Race/ethnic_origin_1"/>
      <w:bookmarkStart w:id="37" w:name="_Ref429646336"/>
      <w:bookmarkEnd w:id="36"/>
      <w:r>
        <w:rPr>
          <w:lang w:val="en-GB"/>
        </w:rPr>
        <w:t>Religion and Belief</w:t>
      </w:r>
      <w:bookmarkEnd w:id="37"/>
    </w:p>
    <w:p w14:paraId="38C07917" w14:textId="77777777" w:rsidR="002B36E3" w:rsidRDefault="002B36E3" w:rsidP="002B36E3">
      <w:pPr>
        <w:rPr>
          <w:lang w:val="en-GB"/>
        </w:rPr>
      </w:pPr>
    </w:p>
    <w:p w14:paraId="7440C50F" w14:textId="77777777" w:rsidR="002B36E3" w:rsidRDefault="00A37D41" w:rsidP="002B36E3">
      <w:pPr>
        <w:rPr>
          <w:b/>
          <w:bCs/>
          <w:lang w:val="en-GB"/>
        </w:rPr>
      </w:pPr>
      <w:r w:rsidRPr="002B36E3">
        <w:rPr>
          <w:b/>
          <w:bCs/>
          <w:shd w:val="clear" w:color="auto" w:fill="FFC000" w:themeFill="accent4"/>
          <w:lang w:val="en-GB"/>
        </w:rPr>
        <w:t>SAVE THE DATE</w:t>
      </w:r>
      <w:r w:rsidR="00AD118F" w:rsidRPr="002B36E3">
        <w:rPr>
          <w:b/>
          <w:lang w:val="en-GB"/>
        </w:rPr>
        <w:t xml:space="preserve"> – E</w:t>
      </w:r>
      <w:r w:rsidR="00E82D69" w:rsidRPr="002B36E3">
        <w:rPr>
          <w:b/>
          <w:lang w:val="en-GB"/>
        </w:rPr>
        <w:t xml:space="preserve">uropean </w:t>
      </w:r>
      <w:r w:rsidR="00AD118F" w:rsidRPr="002B36E3">
        <w:rPr>
          <w:b/>
          <w:lang w:val="en-GB"/>
        </w:rPr>
        <w:t>C</w:t>
      </w:r>
      <w:r w:rsidR="00E82D69" w:rsidRPr="002B36E3">
        <w:rPr>
          <w:b/>
          <w:lang w:val="en-GB"/>
        </w:rPr>
        <w:t>ommission</w:t>
      </w:r>
      <w:r w:rsidR="00AD118F" w:rsidRPr="002B36E3">
        <w:rPr>
          <w:b/>
          <w:lang w:val="en-GB"/>
        </w:rPr>
        <w:t xml:space="preserve"> Annual Colloquium on Fundamental Rights, Brussels, 1</w:t>
      </w:r>
      <w:r w:rsidR="00AD118F" w:rsidRPr="002B36E3">
        <w:rPr>
          <w:b/>
          <w:vertAlign w:val="superscript"/>
          <w:lang w:val="en-GB"/>
        </w:rPr>
        <w:t>st</w:t>
      </w:r>
      <w:r w:rsidR="00AD118F" w:rsidRPr="002B36E3">
        <w:rPr>
          <w:b/>
          <w:lang w:val="en-GB"/>
        </w:rPr>
        <w:t xml:space="preserve"> and 2</w:t>
      </w:r>
      <w:r w:rsidR="00AD118F" w:rsidRPr="002B36E3">
        <w:rPr>
          <w:b/>
          <w:vertAlign w:val="superscript"/>
          <w:lang w:val="en-GB"/>
        </w:rPr>
        <w:t>nd</w:t>
      </w:r>
      <w:r w:rsidR="00AD118F" w:rsidRPr="002B36E3">
        <w:rPr>
          <w:b/>
          <w:lang w:val="en-GB"/>
        </w:rPr>
        <w:t xml:space="preserve"> October 2015</w:t>
      </w:r>
    </w:p>
    <w:p w14:paraId="05AC9029" w14:textId="4AF24B4F" w:rsidR="00AD118F" w:rsidRPr="002B36E3" w:rsidRDefault="00E82D69" w:rsidP="002B36E3">
      <w:pPr>
        <w:jc w:val="both"/>
        <w:rPr>
          <w:b/>
          <w:bCs/>
          <w:lang w:val="en-GB"/>
        </w:rPr>
      </w:pPr>
      <w:r>
        <w:rPr>
          <w:lang w:val="en-GB"/>
        </w:rPr>
        <w:t xml:space="preserve">The </w:t>
      </w:r>
      <w:r w:rsidR="00AD118F">
        <w:rPr>
          <w:rFonts w:eastAsiaTheme="majorEastAsia" w:cstheme="majorBidi"/>
          <w:lang w:val="en-GB"/>
        </w:rPr>
        <w:t>Vice President</w:t>
      </w:r>
      <w:r>
        <w:rPr>
          <w:rFonts w:eastAsiaTheme="majorEastAsia" w:cstheme="majorBidi"/>
          <w:lang w:val="en-GB"/>
        </w:rPr>
        <w:t xml:space="preserve"> of the European Commission</w:t>
      </w:r>
      <w:r w:rsidR="00AD118F" w:rsidRPr="00AD118F">
        <w:rPr>
          <w:rFonts w:eastAsiaTheme="majorEastAsia" w:cstheme="majorBidi"/>
          <w:lang w:val="en-GB"/>
        </w:rPr>
        <w:t xml:space="preserve">, </w:t>
      </w:r>
      <w:r w:rsidR="00AD118F" w:rsidRPr="00E82D69">
        <w:rPr>
          <w:rFonts w:eastAsiaTheme="majorEastAsia" w:cstheme="majorBidi"/>
          <w:b/>
          <w:lang w:val="en-GB"/>
        </w:rPr>
        <w:t>Frans Timmermans</w:t>
      </w:r>
      <w:r w:rsidR="00AD118F" w:rsidRPr="00AD118F">
        <w:rPr>
          <w:rFonts w:eastAsiaTheme="majorEastAsia" w:cstheme="majorBidi"/>
          <w:lang w:val="en-GB"/>
        </w:rPr>
        <w:t xml:space="preserve">, in cooperation with EU Commissioner for Justice, Consumers and Gender Equality, </w:t>
      </w:r>
      <w:r w:rsidR="00AD118F" w:rsidRPr="00E82D69">
        <w:rPr>
          <w:rFonts w:eastAsiaTheme="majorEastAsia" w:cstheme="majorBidi"/>
          <w:b/>
          <w:lang w:val="en-GB"/>
        </w:rPr>
        <w:t>Věra Jourová</w:t>
      </w:r>
      <w:r w:rsidR="00AD118F" w:rsidRPr="00AD118F">
        <w:rPr>
          <w:rFonts w:eastAsiaTheme="majorEastAsia" w:cstheme="majorBidi"/>
          <w:lang w:val="en-GB"/>
        </w:rPr>
        <w:t>, will host the first Annual Colloquium on fundamental rights in the EU.</w:t>
      </w:r>
    </w:p>
    <w:p w14:paraId="214C0ED1" w14:textId="7E947BAD" w:rsidR="00AD118F" w:rsidRDefault="00AD118F" w:rsidP="00E82D69">
      <w:pPr>
        <w:spacing w:line="276" w:lineRule="auto"/>
        <w:jc w:val="both"/>
        <w:rPr>
          <w:rFonts w:eastAsiaTheme="majorEastAsia" w:cstheme="majorBidi"/>
          <w:lang w:val="en-GB"/>
        </w:rPr>
      </w:pPr>
      <w:r w:rsidRPr="00AD118F">
        <w:rPr>
          <w:rFonts w:eastAsiaTheme="majorEastAsia" w:cstheme="majorBidi"/>
          <w:lang w:val="en-GB"/>
        </w:rPr>
        <w:t>For this first edition the central theme will be: </w:t>
      </w:r>
      <w:r>
        <w:rPr>
          <w:rFonts w:eastAsiaTheme="majorEastAsia" w:cstheme="majorBidi"/>
          <w:lang w:val="en-GB"/>
        </w:rPr>
        <w:t>‘</w:t>
      </w:r>
      <w:r w:rsidRPr="00AD118F">
        <w:rPr>
          <w:rFonts w:eastAsiaTheme="majorEastAsia" w:cstheme="majorBidi"/>
          <w:b/>
          <w:lang w:val="en-GB"/>
        </w:rPr>
        <w:t>Tolerance and respect: preventing and combating antisemitic and anti-Muslim hatred in Europe</w:t>
      </w:r>
      <w:r>
        <w:rPr>
          <w:rFonts w:eastAsiaTheme="majorEastAsia" w:cstheme="majorBidi"/>
          <w:lang w:val="en-GB"/>
        </w:rPr>
        <w:t>’</w:t>
      </w:r>
      <w:r w:rsidRPr="00AD118F">
        <w:rPr>
          <w:rFonts w:eastAsiaTheme="majorEastAsia" w:cstheme="majorBidi"/>
          <w:lang w:val="en-GB"/>
        </w:rPr>
        <w:t>.</w:t>
      </w:r>
    </w:p>
    <w:p w14:paraId="21598739" w14:textId="6C0A8E4C" w:rsidR="00AD118F" w:rsidRDefault="00AD118F" w:rsidP="00132B10">
      <w:pPr>
        <w:spacing w:line="276" w:lineRule="auto"/>
        <w:jc w:val="both"/>
        <w:rPr>
          <w:rFonts w:eastAsiaTheme="majorEastAsia" w:cstheme="majorBidi"/>
          <w:lang w:val="en-GB"/>
        </w:rPr>
      </w:pPr>
      <w:r w:rsidRPr="00AD118F">
        <w:rPr>
          <w:rFonts w:eastAsiaTheme="majorEastAsia" w:cstheme="majorBidi"/>
          <w:lang w:val="en-GB"/>
        </w:rPr>
        <w:t>The Colloquium will be held in Brussels and will bring together a selected number of high level participants from across the EU: national Ministers, representatives of leading NGOs and international institutions, MEPs and renowned academics and</w:t>
      </w:r>
      <w:r w:rsidRPr="00AD118F">
        <w:rPr>
          <w:rFonts w:ascii="Arial" w:hAnsi="Arial" w:cs="Arial"/>
          <w:color w:val="333333"/>
          <w:shd w:val="clear" w:color="auto" w:fill="F7FBFF"/>
          <w:lang w:val="en-US"/>
        </w:rPr>
        <w:t xml:space="preserve"> </w:t>
      </w:r>
      <w:r w:rsidRPr="00AD118F">
        <w:rPr>
          <w:rFonts w:eastAsiaTheme="majorEastAsia" w:cstheme="majorBidi"/>
          <w:lang w:val="en-GB"/>
        </w:rPr>
        <w:t>philosopher</w:t>
      </w:r>
      <w:r w:rsidR="00E0485B">
        <w:rPr>
          <w:rFonts w:eastAsiaTheme="majorEastAsia" w:cstheme="majorBidi"/>
          <w:lang w:val="en-GB"/>
        </w:rPr>
        <w:t>s</w:t>
      </w:r>
      <w:r w:rsidR="00334A09">
        <w:rPr>
          <w:rFonts w:eastAsiaTheme="majorEastAsia" w:cstheme="majorBidi"/>
          <w:lang w:val="en-GB"/>
        </w:rPr>
        <w:t xml:space="preserve">. </w:t>
      </w:r>
      <w:r w:rsidR="00132B10" w:rsidRPr="00132B10">
        <w:rPr>
          <w:rFonts w:eastAsiaTheme="majorEastAsia" w:cstheme="majorBidi"/>
          <w:b/>
          <w:lang w:val="en-GB"/>
        </w:rPr>
        <w:t>Christine Lüders</w:t>
      </w:r>
      <w:r w:rsidR="00132B10" w:rsidRPr="00132B10">
        <w:rPr>
          <w:rFonts w:eastAsiaTheme="majorEastAsia" w:cstheme="majorBidi"/>
          <w:lang w:val="en-GB"/>
        </w:rPr>
        <w:t xml:space="preserve">, Director of </w:t>
      </w:r>
      <w:r w:rsidR="00132B10">
        <w:rPr>
          <w:rFonts w:eastAsiaTheme="majorEastAsia" w:cstheme="majorBidi"/>
          <w:lang w:val="en-GB"/>
        </w:rPr>
        <w:t xml:space="preserve">the German Federal Anti-Discrimination </w:t>
      </w:r>
      <w:r w:rsidR="00132B10" w:rsidRPr="00132B10">
        <w:rPr>
          <w:rFonts w:eastAsiaTheme="majorEastAsia" w:cstheme="majorBidi"/>
          <w:lang w:val="en-GB"/>
        </w:rPr>
        <w:t xml:space="preserve">Agency </w:t>
      </w:r>
      <w:r w:rsidR="00132B10">
        <w:rPr>
          <w:rFonts w:eastAsiaTheme="majorEastAsia" w:cstheme="majorBidi"/>
          <w:lang w:val="en-GB"/>
        </w:rPr>
        <w:t>and</w:t>
      </w:r>
      <w:r>
        <w:rPr>
          <w:rFonts w:eastAsiaTheme="majorEastAsia" w:cstheme="majorBidi"/>
          <w:lang w:val="en-GB"/>
        </w:rPr>
        <w:t xml:space="preserve"> </w:t>
      </w:r>
      <w:r w:rsidRPr="00AD118F">
        <w:rPr>
          <w:rFonts w:eastAsiaTheme="majorEastAsia" w:cstheme="majorBidi"/>
          <w:b/>
          <w:lang w:val="en-GB"/>
        </w:rPr>
        <w:t>Evelyn Collins</w:t>
      </w:r>
      <w:r>
        <w:rPr>
          <w:rFonts w:eastAsiaTheme="majorEastAsia" w:cstheme="majorBidi"/>
          <w:lang w:val="en-GB"/>
        </w:rPr>
        <w:t xml:space="preserve">, </w:t>
      </w:r>
      <w:r w:rsidR="00132B10">
        <w:rPr>
          <w:rFonts w:eastAsiaTheme="majorEastAsia" w:cstheme="majorBidi"/>
          <w:lang w:val="en-GB"/>
        </w:rPr>
        <w:t xml:space="preserve">Chair of </w:t>
      </w:r>
      <w:r w:rsidR="00E0485B">
        <w:rPr>
          <w:rFonts w:eastAsiaTheme="majorEastAsia" w:cstheme="majorBidi"/>
          <w:lang w:val="en-GB"/>
        </w:rPr>
        <w:t xml:space="preserve">the </w:t>
      </w:r>
      <w:r w:rsidR="00132B10">
        <w:rPr>
          <w:rFonts w:eastAsiaTheme="majorEastAsia" w:cstheme="majorBidi"/>
          <w:lang w:val="en-GB"/>
        </w:rPr>
        <w:t xml:space="preserve">Equinet Executive Board and Chief Executive of the Equality Commission for Northern Ireland, </w:t>
      </w:r>
      <w:r>
        <w:rPr>
          <w:rFonts w:eastAsiaTheme="majorEastAsia" w:cstheme="majorBidi"/>
          <w:lang w:val="en-GB"/>
        </w:rPr>
        <w:t>ha</w:t>
      </w:r>
      <w:r w:rsidR="00E0485B">
        <w:rPr>
          <w:rFonts w:eastAsiaTheme="majorEastAsia" w:cstheme="majorBidi"/>
          <w:lang w:val="en-GB"/>
        </w:rPr>
        <w:t>ve</w:t>
      </w:r>
      <w:r>
        <w:rPr>
          <w:rFonts w:eastAsiaTheme="majorEastAsia" w:cstheme="majorBidi"/>
          <w:lang w:val="en-GB"/>
        </w:rPr>
        <w:t xml:space="preserve"> been invited to attend this important event</w:t>
      </w:r>
      <w:r w:rsidR="00E0485B">
        <w:rPr>
          <w:rFonts w:eastAsiaTheme="majorEastAsia" w:cstheme="majorBidi"/>
          <w:lang w:val="en-GB"/>
        </w:rPr>
        <w:t xml:space="preserve"> as speaker and as rapporteur, respectively</w:t>
      </w:r>
      <w:r>
        <w:rPr>
          <w:rFonts w:eastAsiaTheme="majorEastAsia" w:cstheme="majorBidi"/>
          <w:lang w:val="en-GB"/>
        </w:rPr>
        <w:t>.</w:t>
      </w:r>
    </w:p>
    <w:p w14:paraId="2A74C513" w14:textId="5CB92D30" w:rsidR="003E0589" w:rsidRPr="003E0589" w:rsidRDefault="00AD118F" w:rsidP="003E0589">
      <w:pPr>
        <w:shd w:val="clear" w:color="auto" w:fill="D9D9D9" w:themeFill="background1" w:themeFillShade="D9"/>
        <w:spacing w:line="276" w:lineRule="auto"/>
        <w:jc w:val="both"/>
        <w:rPr>
          <w:rFonts w:eastAsiaTheme="majorEastAsia" w:cstheme="majorBidi"/>
          <w:b/>
          <w:lang w:val="en-US"/>
        </w:rPr>
      </w:pPr>
      <w:r w:rsidRPr="00E82D69">
        <w:rPr>
          <w:rFonts w:eastAsiaTheme="majorEastAsia" w:cstheme="majorBidi"/>
          <w:b/>
          <w:lang w:val="en-GB"/>
        </w:rPr>
        <w:t>More information on the Colloquium</w:t>
      </w:r>
      <w:r w:rsidR="00132B10">
        <w:rPr>
          <w:rFonts w:eastAsiaTheme="majorEastAsia" w:cstheme="majorBidi"/>
          <w:b/>
          <w:lang w:val="en-GB"/>
        </w:rPr>
        <w:t xml:space="preserve"> as well as the latest draft agenda</w:t>
      </w:r>
      <w:r w:rsidR="00E82D69" w:rsidRPr="00E82D69">
        <w:rPr>
          <w:rFonts w:eastAsiaTheme="majorEastAsia" w:cstheme="majorBidi"/>
          <w:b/>
          <w:lang w:val="en-GB"/>
        </w:rPr>
        <w:t xml:space="preserve"> can be found </w:t>
      </w:r>
      <w:hyperlink r:id="rId46" w:history="1">
        <w:r w:rsidRPr="00E82D69">
          <w:rPr>
            <w:rStyle w:val="Hyperlink"/>
            <w:rFonts w:eastAsiaTheme="majorEastAsia" w:cstheme="majorBidi"/>
            <w:b/>
            <w:lang w:val="en-GB"/>
          </w:rPr>
          <w:t>here</w:t>
        </w:r>
      </w:hyperlink>
      <w:r w:rsidRPr="00E82D69">
        <w:rPr>
          <w:rFonts w:eastAsiaTheme="majorEastAsia" w:cstheme="majorBidi"/>
          <w:b/>
          <w:lang w:val="en-GB"/>
        </w:rPr>
        <w:t xml:space="preserve"> </w:t>
      </w:r>
    </w:p>
    <w:p w14:paraId="17FC8BEA" w14:textId="77777777" w:rsidR="003E0589" w:rsidRPr="003E0589" w:rsidRDefault="003E0589" w:rsidP="00205E7A">
      <w:pPr>
        <w:spacing w:line="240" w:lineRule="auto"/>
        <w:rPr>
          <w:lang w:val="en-US"/>
        </w:rPr>
      </w:pPr>
    </w:p>
    <w:p w14:paraId="32307DAD" w14:textId="2CB7F5C1" w:rsidR="003E0589" w:rsidRDefault="003E0589" w:rsidP="00205E7A">
      <w:pPr>
        <w:pStyle w:val="Heading2"/>
        <w:pBdr>
          <w:top w:val="dotted" w:sz="4" w:space="1" w:color="auto"/>
          <w:bottom w:val="dotted" w:sz="4" w:space="1" w:color="auto"/>
        </w:pBdr>
        <w:jc w:val="center"/>
        <w:rPr>
          <w:lang w:val="en-GB"/>
        </w:rPr>
      </w:pPr>
      <w:r>
        <w:rPr>
          <w:lang w:val="en-GB"/>
        </w:rPr>
        <w:t>Sexual Orientation and Gender Identity</w:t>
      </w:r>
    </w:p>
    <w:p w14:paraId="792D6503" w14:textId="77777777" w:rsidR="003E0589" w:rsidRPr="003E0589" w:rsidRDefault="003E0589" w:rsidP="003E0589">
      <w:pPr>
        <w:rPr>
          <w:lang w:val="en-GB"/>
        </w:rPr>
      </w:pPr>
    </w:p>
    <w:p w14:paraId="285BBF9C" w14:textId="091E496D" w:rsidR="003E0589" w:rsidRDefault="003E0589" w:rsidP="00205E7A">
      <w:pPr>
        <w:spacing w:line="240" w:lineRule="auto"/>
        <w:jc w:val="both"/>
        <w:rPr>
          <w:lang w:val="en-GB"/>
        </w:rPr>
      </w:pPr>
      <w:r w:rsidRPr="003E0589">
        <w:rPr>
          <w:b/>
          <w:color w:val="FFFFFF" w:themeColor="background1"/>
          <w:shd w:val="clear" w:color="auto" w:fill="7030A0"/>
          <w:lang w:val="en-GB"/>
        </w:rPr>
        <w:t xml:space="preserve">PUBLICATION </w:t>
      </w:r>
      <w:r w:rsidRPr="003E0589">
        <w:rPr>
          <w:b/>
          <w:lang w:val="en-GB"/>
        </w:rPr>
        <w:t>– United Nations – Office of the High Commissioner for Human Rights – Factsheet on the rights of intersex people</w:t>
      </w:r>
      <w:r>
        <w:rPr>
          <w:b/>
          <w:lang w:val="en-GB"/>
        </w:rPr>
        <w:tab/>
      </w:r>
      <w:r>
        <w:rPr>
          <w:lang w:val="en-GB"/>
        </w:rPr>
        <w:br/>
        <w:t xml:space="preserve">In the context of the “Free &amp; Equal” Campaign, the Office of the UN High Commission for Human Rights published </w:t>
      </w:r>
      <w:hyperlink r:id="rId47" w:history="1">
        <w:r w:rsidR="00334A09" w:rsidRPr="00334A09">
          <w:rPr>
            <w:rStyle w:val="Hyperlink"/>
            <w:lang w:val="en-GB"/>
          </w:rPr>
          <w:t>a factsheet</w:t>
        </w:r>
      </w:hyperlink>
      <w:r>
        <w:rPr>
          <w:lang w:val="en-GB"/>
        </w:rPr>
        <w:t xml:space="preserve"> on the rights of intersex people. </w:t>
      </w:r>
    </w:p>
    <w:p w14:paraId="4707689F" w14:textId="77777777" w:rsidR="003E0589" w:rsidRPr="006075A4" w:rsidRDefault="003E0589" w:rsidP="000263B4">
      <w:pPr>
        <w:pBdr>
          <w:bottom w:val="dotted" w:sz="36" w:space="1" w:color="auto"/>
        </w:pBdr>
        <w:spacing w:line="240" w:lineRule="auto"/>
        <w:rPr>
          <w:lang w:val="en-GB"/>
        </w:rPr>
      </w:pPr>
    </w:p>
    <w:p w14:paraId="0CDD684B" w14:textId="2AB444E0" w:rsidR="002010CB" w:rsidRPr="002010CB" w:rsidRDefault="002010CB" w:rsidP="002010CB">
      <w:pPr>
        <w:pStyle w:val="Heading2"/>
        <w:spacing w:line="240" w:lineRule="auto"/>
        <w:rPr>
          <w:lang w:val="en-GB"/>
        </w:rPr>
      </w:pPr>
    </w:p>
    <w:sectPr w:rsidR="002010CB" w:rsidRPr="002010CB" w:rsidSect="006415D5">
      <w:footerReference w:type="default" r:id="rId4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9C6D94" w14:textId="77777777" w:rsidR="00A06CF3" w:rsidRDefault="00A06CF3" w:rsidP="001140DC">
      <w:pPr>
        <w:spacing w:after="0" w:line="240" w:lineRule="auto"/>
      </w:pPr>
      <w:r>
        <w:separator/>
      </w:r>
    </w:p>
  </w:endnote>
  <w:endnote w:type="continuationSeparator" w:id="0">
    <w:p w14:paraId="44F8AE91" w14:textId="77777777" w:rsidR="00A06CF3" w:rsidRDefault="00A06CF3" w:rsidP="00114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0768080"/>
      <w:docPartObj>
        <w:docPartGallery w:val="Page Numbers (Bottom of Page)"/>
        <w:docPartUnique/>
      </w:docPartObj>
    </w:sdtPr>
    <w:sdtEndPr>
      <w:rPr>
        <w:noProof/>
      </w:rPr>
    </w:sdtEndPr>
    <w:sdtContent>
      <w:p w14:paraId="4691FE19" w14:textId="77777777" w:rsidR="00512E44" w:rsidRDefault="00512E44">
        <w:pPr>
          <w:pStyle w:val="Footer"/>
          <w:jc w:val="center"/>
        </w:pPr>
        <w:r>
          <w:fldChar w:fldCharType="begin"/>
        </w:r>
        <w:r>
          <w:instrText xml:space="preserve"> PAGE   \* MERGEFORMAT </w:instrText>
        </w:r>
        <w:r>
          <w:fldChar w:fldCharType="separate"/>
        </w:r>
        <w:r w:rsidR="000D5FBD">
          <w:rPr>
            <w:noProof/>
          </w:rPr>
          <w:t>8</w:t>
        </w:r>
        <w:r>
          <w:rPr>
            <w:noProof/>
          </w:rPr>
          <w:fldChar w:fldCharType="end"/>
        </w:r>
      </w:p>
    </w:sdtContent>
  </w:sdt>
  <w:p w14:paraId="69CDCD89" w14:textId="77777777" w:rsidR="00512E44" w:rsidRDefault="00512E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09ABBB" w14:textId="77777777" w:rsidR="00A06CF3" w:rsidRDefault="00A06CF3" w:rsidP="001140DC">
      <w:pPr>
        <w:spacing w:after="0" w:line="240" w:lineRule="auto"/>
      </w:pPr>
      <w:r>
        <w:separator/>
      </w:r>
    </w:p>
  </w:footnote>
  <w:footnote w:type="continuationSeparator" w:id="0">
    <w:p w14:paraId="1766BE6E" w14:textId="77777777" w:rsidR="00A06CF3" w:rsidRDefault="00A06CF3" w:rsidP="001140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E2214"/>
    <w:multiLevelType w:val="hybridMultilevel"/>
    <w:tmpl w:val="85EC244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7E1683B"/>
    <w:multiLevelType w:val="hybridMultilevel"/>
    <w:tmpl w:val="CA7A21E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D0E10B0"/>
    <w:multiLevelType w:val="hybridMultilevel"/>
    <w:tmpl w:val="C6FE9E5E"/>
    <w:lvl w:ilvl="0" w:tplc="1EF4E384">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D0E1381"/>
    <w:multiLevelType w:val="hybridMultilevel"/>
    <w:tmpl w:val="D512D03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E6B5BDD"/>
    <w:multiLevelType w:val="hybridMultilevel"/>
    <w:tmpl w:val="07A0064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2C676E5"/>
    <w:multiLevelType w:val="hybridMultilevel"/>
    <w:tmpl w:val="FF2E406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40F3AA6"/>
    <w:multiLevelType w:val="hybridMultilevel"/>
    <w:tmpl w:val="5EC8AF9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5394E98"/>
    <w:multiLevelType w:val="hybridMultilevel"/>
    <w:tmpl w:val="7C9E571C"/>
    <w:lvl w:ilvl="0" w:tplc="080C0001">
      <w:start w:val="1"/>
      <w:numFmt w:val="bullet"/>
      <w:lvlText w:val=""/>
      <w:lvlJc w:val="left"/>
      <w:pPr>
        <w:ind w:left="765"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8" w15:restartNumberingAfterBreak="0">
    <w:nsid w:val="1C0532EB"/>
    <w:multiLevelType w:val="hybridMultilevel"/>
    <w:tmpl w:val="3F028B0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DD53859"/>
    <w:multiLevelType w:val="hybridMultilevel"/>
    <w:tmpl w:val="E988A352"/>
    <w:lvl w:ilvl="0" w:tplc="0C78D7AC">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1F31A1A"/>
    <w:multiLevelType w:val="hybridMultilevel"/>
    <w:tmpl w:val="F8EC1516"/>
    <w:lvl w:ilvl="0" w:tplc="A6BAC28C">
      <w:start w:val="24"/>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3CD1781"/>
    <w:multiLevelType w:val="hybridMultilevel"/>
    <w:tmpl w:val="C89C9DB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41B680B"/>
    <w:multiLevelType w:val="hybridMultilevel"/>
    <w:tmpl w:val="AA0C16D2"/>
    <w:lvl w:ilvl="0" w:tplc="E9DC2C52">
      <w:start w:val="2"/>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2A327DD3"/>
    <w:multiLevelType w:val="hybridMultilevel"/>
    <w:tmpl w:val="A1DE41B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2BEA59BF"/>
    <w:multiLevelType w:val="hybridMultilevel"/>
    <w:tmpl w:val="67A82CB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CE86CC4"/>
    <w:multiLevelType w:val="hybridMultilevel"/>
    <w:tmpl w:val="B80C5AA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30586FCD"/>
    <w:multiLevelType w:val="hybridMultilevel"/>
    <w:tmpl w:val="D9DC66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35692E43"/>
    <w:multiLevelType w:val="hybridMultilevel"/>
    <w:tmpl w:val="96A606D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3BD94194"/>
    <w:multiLevelType w:val="hybridMultilevel"/>
    <w:tmpl w:val="712046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3CEF4E28"/>
    <w:multiLevelType w:val="hybridMultilevel"/>
    <w:tmpl w:val="3E50076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3EAA337E"/>
    <w:multiLevelType w:val="hybridMultilevel"/>
    <w:tmpl w:val="399C92B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44B17F9E"/>
    <w:multiLevelType w:val="hybridMultilevel"/>
    <w:tmpl w:val="9C480784"/>
    <w:lvl w:ilvl="0" w:tplc="BCC42BF8">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45AE6005"/>
    <w:multiLevelType w:val="hybridMultilevel"/>
    <w:tmpl w:val="C596977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45DE0D0E"/>
    <w:multiLevelType w:val="hybridMultilevel"/>
    <w:tmpl w:val="1734AC0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46AF6547"/>
    <w:multiLevelType w:val="hybridMultilevel"/>
    <w:tmpl w:val="400C607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50FB7F07"/>
    <w:multiLevelType w:val="hybridMultilevel"/>
    <w:tmpl w:val="EA485B6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52E864B6"/>
    <w:multiLevelType w:val="hybridMultilevel"/>
    <w:tmpl w:val="ABB2516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54201901"/>
    <w:multiLevelType w:val="hybridMultilevel"/>
    <w:tmpl w:val="08144DC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55781939"/>
    <w:multiLevelType w:val="hybridMultilevel"/>
    <w:tmpl w:val="95546638"/>
    <w:lvl w:ilvl="0" w:tplc="69EAA37E">
      <w:numFmt w:val="bullet"/>
      <w:lvlText w:val="-"/>
      <w:lvlJc w:val="left"/>
      <w:pPr>
        <w:ind w:left="405" w:hanging="360"/>
      </w:pPr>
      <w:rPr>
        <w:rFonts w:ascii="Calibri" w:eastAsiaTheme="minorHAnsi" w:hAnsi="Calibri" w:cstheme="minorBidi" w:hint="default"/>
      </w:rPr>
    </w:lvl>
    <w:lvl w:ilvl="1" w:tplc="080C0003" w:tentative="1">
      <w:start w:val="1"/>
      <w:numFmt w:val="bullet"/>
      <w:lvlText w:val="o"/>
      <w:lvlJc w:val="left"/>
      <w:pPr>
        <w:ind w:left="1125" w:hanging="360"/>
      </w:pPr>
      <w:rPr>
        <w:rFonts w:ascii="Courier New" w:hAnsi="Courier New" w:cs="Courier New" w:hint="default"/>
      </w:rPr>
    </w:lvl>
    <w:lvl w:ilvl="2" w:tplc="080C0005" w:tentative="1">
      <w:start w:val="1"/>
      <w:numFmt w:val="bullet"/>
      <w:lvlText w:val=""/>
      <w:lvlJc w:val="left"/>
      <w:pPr>
        <w:ind w:left="1845" w:hanging="360"/>
      </w:pPr>
      <w:rPr>
        <w:rFonts w:ascii="Wingdings" w:hAnsi="Wingdings" w:hint="default"/>
      </w:rPr>
    </w:lvl>
    <w:lvl w:ilvl="3" w:tplc="080C0001" w:tentative="1">
      <w:start w:val="1"/>
      <w:numFmt w:val="bullet"/>
      <w:lvlText w:val=""/>
      <w:lvlJc w:val="left"/>
      <w:pPr>
        <w:ind w:left="2565" w:hanging="360"/>
      </w:pPr>
      <w:rPr>
        <w:rFonts w:ascii="Symbol" w:hAnsi="Symbol" w:hint="default"/>
      </w:rPr>
    </w:lvl>
    <w:lvl w:ilvl="4" w:tplc="080C0003" w:tentative="1">
      <w:start w:val="1"/>
      <w:numFmt w:val="bullet"/>
      <w:lvlText w:val="o"/>
      <w:lvlJc w:val="left"/>
      <w:pPr>
        <w:ind w:left="3285" w:hanging="360"/>
      </w:pPr>
      <w:rPr>
        <w:rFonts w:ascii="Courier New" w:hAnsi="Courier New" w:cs="Courier New" w:hint="default"/>
      </w:rPr>
    </w:lvl>
    <w:lvl w:ilvl="5" w:tplc="080C0005" w:tentative="1">
      <w:start w:val="1"/>
      <w:numFmt w:val="bullet"/>
      <w:lvlText w:val=""/>
      <w:lvlJc w:val="left"/>
      <w:pPr>
        <w:ind w:left="4005" w:hanging="360"/>
      </w:pPr>
      <w:rPr>
        <w:rFonts w:ascii="Wingdings" w:hAnsi="Wingdings" w:hint="default"/>
      </w:rPr>
    </w:lvl>
    <w:lvl w:ilvl="6" w:tplc="080C0001" w:tentative="1">
      <w:start w:val="1"/>
      <w:numFmt w:val="bullet"/>
      <w:lvlText w:val=""/>
      <w:lvlJc w:val="left"/>
      <w:pPr>
        <w:ind w:left="4725" w:hanging="360"/>
      </w:pPr>
      <w:rPr>
        <w:rFonts w:ascii="Symbol" w:hAnsi="Symbol" w:hint="default"/>
      </w:rPr>
    </w:lvl>
    <w:lvl w:ilvl="7" w:tplc="080C0003" w:tentative="1">
      <w:start w:val="1"/>
      <w:numFmt w:val="bullet"/>
      <w:lvlText w:val="o"/>
      <w:lvlJc w:val="left"/>
      <w:pPr>
        <w:ind w:left="5445" w:hanging="360"/>
      </w:pPr>
      <w:rPr>
        <w:rFonts w:ascii="Courier New" w:hAnsi="Courier New" w:cs="Courier New" w:hint="default"/>
      </w:rPr>
    </w:lvl>
    <w:lvl w:ilvl="8" w:tplc="080C0005" w:tentative="1">
      <w:start w:val="1"/>
      <w:numFmt w:val="bullet"/>
      <w:lvlText w:val=""/>
      <w:lvlJc w:val="left"/>
      <w:pPr>
        <w:ind w:left="6165" w:hanging="360"/>
      </w:pPr>
      <w:rPr>
        <w:rFonts w:ascii="Wingdings" w:hAnsi="Wingdings" w:hint="default"/>
      </w:rPr>
    </w:lvl>
  </w:abstractNum>
  <w:abstractNum w:abstractNumId="29" w15:restartNumberingAfterBreak="0">
    <w:nsid w:val="5B0055A2"/>
    <w:multiLevelType w:val="hybridMultilevel"/>
    <w:tmpl w:val="FB6AB3F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5BB85DA2"/>
    <w:multiLevelType w:val="hybridMultilevel"/>
    <w:tmpl w:val="B81ED69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5C3F1FB5"/>
    <w:multiLevelType w:val="hybridMultilevel"/>
    <w:tmpl w:val="5AA25B9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69704737"/>
    <w:multiLevelType w:val="hybridMultilevel"/>
    <w:tmpl w:val="921CD26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6E8F3A8A"/>
    <w:multiLevelType w:val="hybridMultilevel"/>
    <w:tmpl w:val="0206095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72DD5D56"/>
    <w:multiLevelType w:val="hybridMultilevel"/>
    <w:tmpl w:val="F184E5D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77972EA8"/>
    <w:multiLevelType w:val="hybridMultilevel"/>
    <w:tmpl w:val="4C18A70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7B885D91"/>
    <w:multiLevelType w:val="hybridMultilevel"/>
    <w:tmpl w:val="BF860D4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7C576F0F"/>
    <w:multiLevelType w:val="hybridMultilevel"/>
    <w:tmpl w:val="BF26C48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1"/>
  </w:num>
  <w:num w:numId="2">
    <w:abstractNumId w:val="1"/>
  </w:num>
  <w:num w:numId="3">
    <w:abstractNumId w:val="23"/>
  </w:num>
  <w:num w:numId="4">
    <w:abstractNumId w:val="30"/>
  </w:num>
  <w:num w:numId="5">
    <w:abstractNumId w:val="32"/>
  </w:num>
  <w:num w:numId="6">
    <w:abstractNumId w:val="22"/>
  </w:num>
  <w:num w:numId="7">
    <w:abstractNumId w:val="11"/>
  </w:num>
  <w:num w:numId="8">
    <w:abstractNumId w:val="16"/>
  </w:num>
  <w:num w:numId="9">
    <w:abstractNumId w:val="0"/>
  </w:num>
  <w:num w:numId="10">
    <w:abstractNumId w:val="17"/>
  </w:num>
  <w:num w:numId="11">
    <w:abstractNumId w:val="34"/>
  </w:num>
  <w:num w:numId="12">
    <w:abstractNumId w:val="29"/>
  </w:num>
  <w:num w:numId="13">
    <w:abstractNumId w:val="6"/>
  </w:num>
  <w:num w:numId="14">
    <w:abstractNumId w:val="26"/>
  </w:num>
  <w:num w:numId="15">
    <w:abstractNumId w:val="24"/>
  </w:num>
  <w:num w:numId="16">
    <w:abstractNumId w:val="3"/>
  </w:num>
  <w:num w:numId="17">
    <w:abstractNumId w:val="25"/>
  </w:num>
  <w:num w:numId="18">
    <w:abstractNumId w:val="8"/>
  </w:num>
  <w:num w:numId="19">
    <w:abstractNumId w:val="4"/>
  </w:num>
  <w:num w:numId="20">
    <w:abstractNumId w:val="15"/>
  </w:num>
  <w:num w:numId="21">
    <w:abstractNumId w:val="27"/>
  </w:num>
  <w:num w:numId="22">
    <w:abstractNumId w:val="35"/>
  </w:num>
  <w:num w:numId="23">
    <w:abstractNumId w:val="5"/>
  </w:num>
  <w:num w:numId="24">
    <w:abstractNumId w:val="20"/>
  </w:num>
  <w:num w:numId="25">
    <w:abstractNumId w:val="37"/>
  </w:num>
  <w:num w:numId="26">
    <w:abstractNumId w:val="28"/>
  </w:num>
  <w:num w:numId="27">
    <w:abstractNumId w:val="7"/>
  </w:num>
  <w:num w:numId="28">
    <w:abstractNumId w:val="13"/>
  </w:num>
  <w:num w:numId="29">
    <w:abstractNumId w:val="19"/>
  </w:num>
  <w:num w:numId="30">
    <w:abstractNumId w:val="33"/>
  </w:num>
  <w:num w:numId="31">
    <w:abstractNumId w:val="36"/>
  </w:num>
  <w:num w:numId="32">
    <w:abstractNumId w:val="10"/>
  </w:num>
  <w:num w:numId="33">
    <w:abstractNumId w:val="14"/>
  </w:num>
  <w:num w:numId="34">
    <w:abstractNumId w:val="18"/>
  </w:num>
  <w:num w:numId="35">
    <w:abstractNumId w:val="12"/>
  </w:num>
  <w:num w:numId="36">
    <w:abstractNumId w:val="9"/>
  </w:num>
  <w:num w:numId="37">
    <w:abstractNumId w:val="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FF6"/>
    <w:rsid w:val="000263B4"/>
    <w:rsid w:val="000348AB"/>
    <w:rsid w:val="00036CEA"/>
    <w:rsid w:val="000515A0"/>
    <w:rsid w:val="0006037F"/>
    <w:rsid w:val="00061393"/>
    <w:rsid w:val="000B22AC"/>
    <w:rsid w:val="000B784B"/>
    <w:rsid w:val="000D382D"/>
    <w:rsid w:val="000D5978"/>
    <w:rsid w:val="000D5FBD"/>
    <w:rsid w:val="000E19CB"/>
    <w:rsid w:val="000E541C"/>
    <w:rsid w:val="000F46D8"/>
    <w:rsid w:val="000F6492"/>
    <w:rsid w:val="000F79AC"/>
    <w:rsid w:val="00105F8D"/>
    <w:rsid w:val="001140DC"/>
    <w:rsid w:val="00132B10"/>
    <w:rsid w:val="0014109E"/>
    <w:rsid w:val="001505A7"/>
    <w:rsid w:val="0016113D"/>
    <w:rsid w:val="00175EA1"/>
    <w:rsid w:val="00177C56"/>
    <w:rsid w:val="0018390B"/>
    <w:rsid w:val="0018402A"/>
    <w:rsid w:val="001A6505"/>
    <w:rsid w:val="001B305F"/>
    <w:rsid w:val="001C172F"/>
    <w:rsid w:val="001E3467"/>
    <w:rsid w:val="002010CB"/>
    <w:rsid w:val="00205E7A"/>
    <w:rsid w:val="00207FD0"/>
    <w:rsid w:val="00217BAD"/>
    <w:rsid w:val="00234ECF"/>
    <w:rsid w:val="00255FDB"/>
    <w:rsid w:val="00287BDD"/>
    <w:rsid w:val="00291191"/>
    <w:rsid w:val="002B08F4"/>
    <w:rsid w:val="002B36E3"/>
    <w:rsid w:val="002C1322"/>
    <w:rsid w:val="002C3BF0"/>
    <w:rsid w:val="002E0AC2"/>
    <w:rsid w:val="00316E32"/>
    <w:rsid w:val="00334A09"/>
    <w:rsid w:val="0034362B"/>
    <w:rsid w:val="00373745"/>
    <w:rsid w:val="00382B08"/>
    <w:rsid w:val="0038736A"/>
    <w:rsid w:val="003B08D6"/>
    <w:rsid w:val="003B452F"/>
    <w:rsid w:val="003C34AB"/>
    <w:rsid w:val="003E0589"/>
    <w:rsid w:val="004275EC"/>
    <w:rsid w:val="0044701A"/>
    <w:rsid w:val="004536A1"/>
    <w:rsid w:val="0048576D"/>
    <w:rsid w:val="004A7771"/>
    <w:rsid w:val="004B5FE0"/>
    <w:rsid w:val="004E157B"/>
    <w:rsid w:val="005047E4"/>
    <w:rsid w:val="0051290D"/>
    <w:rsid w:val="00512E44"/>
    <w:rsid w:val="005165D2"/>
    <w:rsid w:val="00522381"/>
    <w:rsid w:val="00542158"/>
    <w:rsid w:val="005431C9"/>
    <w:rsid w:val="00565043"/>
    <w:rsid w:val="00566380"/>
    <w:rsid w:val="005863B5"/>
    <w:rsid w:val="005978FA"/>
    <w:rsid w:val="005A767B"/>
    <w:rsid w:val="005B04DF"/>
    <w:rsid w:val="005C77F6"/>
    <w:rsid w:val="005D3458"/>
    <w:rsid w:val="0060251B"/>
    <w:rsid w:val="006075A4"/>
    <w:rsid w:val="00624AFF"/>
    <w:rsid w:val="006415D5"/>
    <w:rsid w:val="0067153F"/>
    <w:rsid w:val="0067576B"/>
    <w:rsid w:val="006C3CD5"/>
    <w:rsid w:val="00702D8C"/>
    <w:rsid w:val="00734615"/>
    <w:rsid w:val="00757D6D"/>
    <w:rsid w:val="00792086"/>
    <w:rsid w:val="00792C11"/>
    <w:rsid w:val="007B4170"/>
    <w:rsid w:val="007C60CD"/>
    <w:rsid w:val="007E13F1"/>
    <w:rsid w:val="00837FF6"/>
    <w:rsid w:val="00845CD1"/>
    <w:rsid w:val="00871587"/>
    <w:rsid w:val="008719D8"/>
    <w:rsid w:val="008935EA"/>
    <w:rsid w:val="008B6F61"/>
    <w:rsid w:val="008C1F79"/>
    <w:rsid w:val="008C2829"/>
    <w:rsid w:val="008F60FF"/>
    <w:rsid w:val="008F7FFC"/>
    <w:rsid w:val="00922F1E"/>
    <w:rsid w:val="00975348"/>
    <w:rsid w:val="0098311A"/>
    <w:rsid w:val="009913B6"/>
    <w:rsid w:val="009A3DD2"/>
    <w:rsid w:val="009B4DBA"/>
    <w:rsid w:val="009C2CBE"/>
    <w:rsid w:val="009D41AF"/>
    <w:rsid w:val="00A05EB9"/>
    <w:rsid w:val="00A06CF3"/>
    <w:rsid w:val="00A07965"/>
    <w:rsid w:val="00A34EB9"/>
    <w:rsid w:val="00A37D41"/>
    <w:rsid w:val="00A67E65"/>
    <w:rsid w:val="00A73FA9"/>
    <w:rsid w:val="00A74E27"/>
    <w:rsid w:val="00A83053"/>
    <w:rsid w:val="00A86A2F"/>
    <w:rsid w:val="00A91933"/>
    <w:rsid w:val="00A924CE"/>
    <w:rsid w:val="00A965AC"/>
    <w:rsid w:val="00A975CF"/>
    <w:rsid w:val="00AB116C"/>
    <w:rsid w:val="00AD118F"/>
    <w:rsid w:val="00AD5DD7"/>
    <w:rsid w:val="00B07813"/>
    <w:rsid w:val="00B33A99"/>
    <w:rsid w:val="00B40C5A"/>
    <w:rsid w:val="00B51454"/>
    <w:rsid w:val="00B81B74"/>
    <w:rsid w:val="00BC522B"/>
    <w:rsid w:val="00BD7FB3"/>
    <w:rsid w:val="00BE1F3C"/>
    <w:rsid w:val="00BE506C"/>
    <w:rsid w:val="00C106F4"/>
    <w:rsid w:val="00C40391"/>
    <w:rsid w:val="00C842B1"/>
    <w:rsid w:val="00C91705"/>
    <w:rsid w:val="00C92B6C"/>
    <w:rsid w:val="00CB2E4E"/>
    <w:rsid w:val="00CE7422"/>
    <w:rsid w:val="00CF7284"/>
    <w:rsid w:val="00D05673"/>
    <w:rsid w:val="00D0578E"/>
    <w:rsid w:val="00D1064D"/>
    <w:rsid w:val="00D23CD3"/>
    <w:rsid w:val="00D54367"/>
    <w:rsid w:val="00D80D0E"/>
    <w:rsid w:val="00DA1BD6"/>
    <w:rsid w:val="00DB028D"/>
    <w:rsid w:val="00E014FB"/>
    <w:rsid w:val="00E0485B"/>
    <w:rsid w:val="00E300D5"/>
    <w:rsid w:val="00E64486"/>
    <w:rsid w:val="00E82D69"/>
    <w:rsid w:val="00E82E7C"/>
    <w:rsid w:val="00E91D96"/>
    <w:rsid w:val="00EA1275"/>
    <w:rsid w:val="00EF0A80"/>
    <w:rsid w:val="00F23218"/>
    <w:rsid w:val="00F2773A"/>
    <w:rsid w:val="00F31126"/>
    <w:rsid w:val="00F66D27"/>
    <w:rsid w:val="00F74C95"/>
    <w:rsid w:val="00F92C30"/>
    <w:rsid w:val="00F93FE2"/>
    <w:rsid w:val="00FA6B5D"/>
    <w:rsid w:val="00FE6920"/>
    <w:rsid w:val="00FE7DB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98E6A"/>
  <w15:docId w15:val="{75D62FD5-BAD0-4FA0-9949-F4A461A26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73FA9"/>
    <w:pPr>
      <w:keepNext/>
      <w:keepLines/>
      <w:spacing w:before="240" w:after="0"/>
      <w:jc w:val="center"/>
      <w:outlineLvl w:val="0"/>
    </w:pPr>
    <w:rPr>
      <w:rFonts w:ascii="Tahoma" w:eastAsiaTheme="majorEastAsia" w:hAnsi="Tahoma"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A924CE"/>
    <w:pPr>
      <w:keepNext/>
      <w:keepLines/>
      <w:spacing w:before="40" w:after="0"/>
      <w:outlineLvl w:val="1"/>
    </w:pPr>
    <w:rPr>
      <w:rFonts w:asciiTheme="majorHAnsi" w:eastAsiaTheme="majorEastAsia" w:hAnsiTheme="majorHAnsi" w:cstheme="majorBidi"/>
      <w:b/>
      <w:color w:val="BF8F00" w:themeColor="accent4" w:themeShade="BF"/>
      <w:sz w:val="26"/>
      <w:szCs w:val="26"/>
    </w:rPr>
  </w:style>
  <w:style w:type="paragraph" w:styleId="Heading3">
    <w:name w:val="heading 3"/>
    <w:basedOn w:val="Normal"/>
    <w:next w:val="Normal"/>
    <w:link w:val="Heading3Char"/>
    <w:uiPriority w:val="9"/>
    <w:unhideWhenUsed/>
    <w:qFormat/>
    <w:rsid w:val="009A3DD2"/>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3FA9"/>
    <w:rPr>
      <w:rFonts w:ascii="Tahoma" w:eastAsiaTheme="majorEastAsia" w:hAnsi="Tahoma" w:cstheme="majorBidi"/>
      <w:b/>
      <w:color w:val="2E74B5" w:themeColor="accent1" w:themeShade="BF"/>
      <w:sz w:val="32"/>
      <w:szCs w:val="32"/>
    </w:rPr>
  </w:style>
  <w:style w:type="paragraph" w:styleId="TOCHeading">
    <w:name w:val="TOC Heading"/>
    <w:basedOn w:val="Heading1"/>
    <w:next w:val="Normal"/>
    <w:uiPriority w:val="39"/>
    <w:unhideWhenUsed/>
    <w:qFormat/>
    <w:rsid w:val="00BE506C"/>
    <w:pPr>
      <w:outlineLvl w:val="9"/>
    </w:pPr>
    <w:rPr>
      <w:lang w:val="en-US"/>
    </w:rPr>
  </w:style>
  <w:style w:type="paragraph" w:styleId="TOC1">
    <w:name w:val="toc 1"/>
    <w:basedOn w:val="Normal"/>
    <w:next w:val="Normal"/>
    <w:autoRedefine/>
    <w:uiPriority w:val="39"/>
    <w:unhideWhenUsed/>
    <w:rsid w:val="00F66D27"/>
    <w:pPr>
      <w:tabs>
        <w:tab w:val="right" w:leader="dot" w:pos="9736"/>
      </w:tabs>
      <w:spacing w:after="100"/>
    </w:pPr>
    <w:rPr>
      <w:b/>
      <w:noProof/>
      <w:sz w:val="28"/>
      <w:lang w:val="en-US"/>
    </w:rPr>
  </w:style>
  <w:style w:type="character" w:styleId="Hyperlink">
    <w:name w:val="Hyperlink"/>
    <w:basedOn w:val="DefaultParagraphFont"/>
    <w:uiPriority w:val="99"/>
    <w:unhideWhenUsed/>
    <w:rsid w:val="00922F1E"/>
    <w:rPr>
      <w:color w:val="0563C1" w:themeColor="hyperlink"/>
      <w:u w:val="single"/>
    </w:rPr>
  </w:style>
  <w:style w:type="paragraph" w:styleId="Header">
    <w:name w:val="header"/>
    <w:basedOn w:val="Normal"/>
    <w:link w:val="HeaderChar"/>
    <w:uiPriority w:val="99"/>
    <w:unhideWhenUsed/>
    <w:rsid w:val="001140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1140DC"/>
  </w:style>
  <w:style w:type="paragraph" w:styleId="Footer">
    <w:name w:val="footer"/>
    <w:basedOn w:val="Normal"/>
    <w:link w:val="FooterChar"/>
    <w:uiPriority w:val="99"/>
    <w:unhideWhenUsed/>
    <w:rsid w:val="001140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1140DC"/>
  </w:style>
  <w:style w:type="character" w:customStyle="1" w:styleId="Heading2Char">
    <w:name w:val="Heading 2 Char"/>
    <w:basedOn w:val="DefaultParagraphFont"/>
    <w:link w:val="Heading2"/>
    <w:uiPriority w:val="9"/>
    <w:rsid w:val="00A924CE"/>
    <w:rPr>
      <w:rFonts w:asciiTheme="majorHAnsi" w:eastAsiaTheme="majorEastAsia" w:hAnsiTheme="majorHAnsi" w:cstheme="majorBidi"/>
      <w:b/>
      <w:color w:val="BF8F00" w:themeColor="accent4" w:themeShade="BF"/>
      <w:sz w:val="26"/>
      <w:szCs w:val="26"/>
    </w:rPr>
  </w:style>
  <w:style w:type="paragraph" w:styleId="TOC2">
    <w:name w:val="toc 2"/>
    <w:basedOn w:val="Normal"/>
    <w:next w:val="Normal"/>
    <w:autoRedefine/>
    <w:uiPriority w:val="39"/>
    <w:unhideWhenUsed/>
    <w:rsid w:val="001140DC"/>
    <w:pPr>
      <w:spacing w:after="100"/>
      <w:ind w:left="220"/>
    </w:pPr>
  </w:style>
  <w:style w:type="table" w:styleId="TableGrid">
    <w:name w:val="Table Grid"/>
    <w:basedOn w:val="TableNormal"/>
    <w:uiPriority w:val="39"/>
    <w:rsid w:val="00641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1F3C"/>
    <w:rPr>
      <w:color w:val="954F72" w:themeColor="followedHyperlink"/>
      <w:u w:val="single"/>
    </w:rPr>
  </w:style>
  <w:style w:type="paragraph" w:styleId="ListParagraph">
    <w:name w:val="List Paragraph"/>
    <w:basedOn w:val="Normal"/>
    <w:uiPriority w:val="34"/>
    <w:qFormat/>
    <w:rsid w:val="00A73FA9"/>
    <w:pPr>
      <w:ind w:left="720"/>
      <w:contextualSpacing/>
    </w:pPr>
  </w:style>
  <w:style w:type="character" w:styleId="CommentReference">
    <w:name w:val="annotation reference"/>
    <w:basedOn w:val="DefaultParagraphFont"/>
    <w:uiPriority w:val="99"/>
    <w:semiHidden/>
    <w:unhideWhenUsed/>
    <w:rsid w:val="00EA1275"/>
    <w:rPr>
      <w:sz w:val="16"/>
      <w:szCs w:val="16"/>
    </w:rPr>
  </w:style>
  <w:style w:type="paragraph" w:styleId="CommentText">
    <w:name w:val="annotation text"/>
    <w:basedOn w:val="Normal"/>
    <w:link w:val="CommentTextChar"/>
    <w:uiPriority w:val="99"/>
    <w:semiHidden/>
    <w:unhideWhenUsed/>
    <w:rsid w:val="00EA1275"/>
    <w:pPr>
      <w:spacing w:line="240" w:lineRule="auto"/>
    </w:pPr>
    <w:rPr>
      <w:sz w:val="20"/>
      <w:szCs w:val="20"/>
    </w:rPr>
  </w:style>
  <w:style w:type="character" w:customStyle="1" w:styleId="CommentTextChar">
    <w:name w:val="Comment Text Char"/>
    <w:basedOn w:val="DefaultParagraphFont"/>
    <w:link w:val="CommentText"/>
    <w:uiPriority w:val="99"/>
    <w:semiHidden/>
    <w:rsid w:val="00EA1275"/>
    <w:rPr>
      <w:sz w:val="20"/>
      <w:szCs w:val="20"/>
    </w:rPr>
  </w:style>
  <w:style w:type="paragraph" w:styleId="CommentSubject">
    <w:name w:val="annotation subject"/>
    <w:basedOn w:val="CommentText"/>
    <w:next w:val="CommentText"/>
    <w:link w:val="CommentSubjectChar"/>
    <w:uiPriority w:val="99"/>
    <w:semiHidden/>
    <w:unhideWhenUsed/>
    <w:rsid w:val="00EA1275"/>
    <w:rPr>
      <w:b/>
      <w:bCs/>
    </w:rPr>
  </w:style>
  <w:style w:type="character" w:customStyle="1" w:styleId="CommentSubjectChar">
    <w:name w:val="Comment Subject Char"/>
    <w:basedOn w:val="CommentTextChar"/>
    <w:link w:val="CommentSubject"/>
    <w:uiPriority w:val="99"/>
    <w:semiHidden/>
    <w:rsid w:val="00EA1275"/>
    <w:rPr>
      <w:b/>
      <w:bCs/>
      <w:sz w:val="20"/>
      <w:szCs w:val="20"/>
    </w:rPr>
  </w:style>
  <w:style w:type="paragraph" w:styleId="BalloonText">
    <w:name w:val="Balloon Text"/>
    <w:basedOn w:val="Normal"/>
    <w:link w:val="BalloonTextChar"/>
    <w:uiPriority w:val="99"/>
    <w:semiHidden/>
    <w:unhideWhenUsed/>
    <w:rsid w:val="00EA12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275"/>
    <w:rPr>
      <w:rFonts w:ascii="Segoe UI" w:hAnsi="Segoe UI" w:cs="Segoe UI"/>
      <w:sz w:val="18"/>
      <w:szCs w:val="18"/>
    </w:rPr>
  </w:style>
  <w:style w:type="character" w:customStyle="1" w:styleId="Heading3Char">
    <w:name w:val="Heading 3 Char"/>
    <w:basedOn w:val="DefaultParagraphFont"/>
    <w:link w:val="Heading3"/>
    <w:uiPriority w:val="9"/>
    <w:rsid w:val="009A3DD2"/>
    <w:rPr>
      <w:rFonts w:asciiTheme="majorHAnsi" w:eastAsiaTheme="majorEastAsia" w:hAnsiTheme="majorHAnsi" w:cstheme="majorBidi"/>
      <w:b/>
      <w:bCs/>
      <w:color w:val="5B9BD5" w:themeColor="accent1"/>
    </w:rPr>
  </w:style>
  <w:style w:type="paragraph" w:styleId="NormalWeb">
    <w:name w:val="Normal (Web)"/>
    <w:basedOn w:val="Normal"/>
    <w:uiPriority w:val="99"/>
    <w:unhideWhenUsed/>
    <w:rsid w:val="009A3DD2"/>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Strong">
    <w:name w:val="Strong"/>
    <w:basedOn w:val="DefaultParagraphFont"/>
    <w:uiPriority w:val="22"/>
    <w:qFormat/>
    <w:rsid w:val="00373745"/>
    <w:rPr>
      <w:b/>
      <w:bCs/>
    </w:rPr>
  </w:style>
  <w:style w:type="character" w:customStyle="1" w:styleId="apple-converted-space">
    <w:name w:val="apple-converted-space"/>
    <w:basedOn w:val="DefaultParagraphFont"/>
    <w:rsid w:val="00373745"/>
  </w:style>
  <w:style w:type="character" w:styleId="Emphasis">
    <w:name w:val="Emphasis"/>
    <w:basedOn w:val="DefaultParagraphFont"/>
    <w:uiPriority w:val="20"/>
    <w:qFormat/>
    <w:rsid w:val="003737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702520">
      <w:bodyDiv w:val="1"/>
      <w:marLeft w:val="0"/>
      <w:marRight w:val="0"/>
      <w:marTop w:val="0"/>
      <w:marBottom w:val="0"/>
      <w:divBdr>
        <w:top w:val="none" w:sz="0" w:space="0" w:color="auto"/>
        <w:left w:val="none" w:sz="0" w:space="0" w:color="auto"/>
        <w:bottom w:val="none" w:sz="0" w:space="0" w:color="auto"/>
        <w:right w:val="none" w:sz="0" w:space="0" w:color="auto"/>
      </w:divBdr>
      <w:divsChild>
        <w:div w:id="2012105096">
          <w:marLeft w:val="0"/>
          <w:marRight w:val="0"/>
          <w:marTop w:val="0"/>
          <w:marBottom w:val="150"/>
          <w:divBdr>
            <w:top w:val="none" w:sz="0" w:space="0" w:color="auto"/>
            <w:left w:val="none" w:sz="0" w:space="0" w:color="auto"/>
            <w:bottom w:val="none" w:sz="0" w:space="0" w:color="auto"/>
            <w:right w:val="none" w:sz="0" w:space="0" w:color="auto"/>
          </w:divBdr>
        </w:div>
      </w:divsChild>
    </w:div>
    <w:div w:id="336813090">
      <w:bodyDiv w:val="1"/>
      <w:marLeft w:val="0"/>
      <w:marRight w:val="0"/>
      <w:marTop w:val="0"/>
      <w:marBottom w:val="0"/>
      <w:divBdr>
        <w:top w:val="none" w:sz="0" w:space="0" w:color="auto"/>
        <w:left w:val="none" w:sz="0" w:space="0" w:color="auto"/>
        <w:bottom w:val="none" w:sz="0" w:space="0" w:color="auto"/>
        <w:right w:val="none" w:sz="0" w:space="0" w:color="auto"/>
      </w:divBdr>
    </w:div>
    <w:div w:id="516777523">
      <w:bodyDiv w:val="1"/>
      <w:marLeft w:val="0"/>
      <w:marRight w:val="0"/>
      <w:marTop w:val="0"/>
      <w:marBottom w:val="0"/>
      <w:divBdr>
        <w:top w:val="none" w:sz="0" w:space="0" w:color="auto"/>
        <w:left w:val="none" w:sz="0" w:space="0" w:color="auto"/>
        <w:bottom w:val="none" w:sz="0" w:space="0" w:color="auto"/>
        <w:right w:val="none" w:sz="0" w:space="0" w:color="auto"/>
      </w:divBdr>
    </w:div>
    <w:div w:id="629172669">
      <w:bodyDiv w:val="1"/>
      <w:marLeft w:val="0"/>
      <w:marRight w:val="0"/>
      <w:marTop w:val="0"/>
      <w:marBottom w:val="0"/>
      <w:divBdr>
        <w:top w:val="none" w:sz="0" w:space="0" w:color="auto"/>
        <w:left w:val="none" w:sz="0" w:space="0" w:color="auto"/>
        <w:bottom w:val="none" w:sz="0" w:space="0" w:color="auto"/>
        <w:right w:val="none" w:sz="0" w:space="0" w:color="auto"/>
      </w:divBdr>
    </w:div>
    <w:div w:id="718361032">
      <w:bodyDiv w:val="1"/>
      <w:marLeft w:val="0"/>
      <w:marRight w:val="0"/>
      <w:marTop w:val="0"/>
      <w:marBottom w:val="0"/>
      <w:divBdr>
        <w:top w:val="none" w:sz="0" w:space="0" w:color="auto"/>
        <w:left w:val="none" w:sz="0" w:space="0" w:color="auto"/>
        <w:bottom w:val="none" w:sz="0" w:space="0" w:color="auto"/>
        <w:right w:val="none" w:sz="0" w:space="0" w:color="auto"/>
      </w:divBdr>
      <w:divsChild>
        <w:div w:id="796097519">
          <w:marLeft w:val="0"/>
          <w:marRight w:val="0"/>
          <w:marTop w:val="0"/>
          <w:marBottom w:val="0"/>
          <w:divBdr>
            <w:top w:val="none" w:sz="0" w:space="0" w:color="auto"/>
            <w:left w:val="none" w:sz="0" w:space="0" w:color="auto"/>
            <w:bottom w:val="none" w:sz="0" w:space="0" w:color="auto"/>
            <w:right w:val="none" w:sz="0" w:space="0" w:color="auto"/>
          </w:divBdr>
          <w:divsChild>
            <w:div w:id="1346132582">
              <w:marLeft w:val="0"/>
              <w:marRight w:val="0"/>
              <w:marTop w:val="0"/>
              <w:marBottom w:val="0"/>
              <w:divBdr>
                <w:top w:val="none" w:sz="0" w:space="0" w:color="auto"/>
                <w:left w:val="none" w:sz="0" w:space="0" w:color="auto"/>
                <w:bottom w:val="none" w:sz="0" w:space="0" w:color="auto"/>
                <w:right w:val="none" w:sz="0" w:space="0" w:color="auto"/>
              </w:divBdr>
              <w:divsChild>
                <w:div w:id="165931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733423">
          <w:marLeft w:val="0"/>
          <w:marRight w:val="0"/>
          <w:marTop w:val="0"/>
          <w:marBottom w:val="0"/>
          <w:divBdr>
            <w:top w:val="none" w:sz="0" w:space="0" w:color="auto"/>
            <w:left w:val="none" w:sz="0" w:space="0" w:color="auto"/>
            <w:bottom w:val="none" w:sz="0" w:space="0" w:color="auto"/>
            <w:right w:val="none" w:sz="0" w:space="0" w:color="auto"/>
          </w:divBdr>
          <w:divsChild>
            <w:div w:id="459879983">
              <w:marLeft w:val="0"/>
              <w:marRight w:val="0"/>
              <w:marTop w:val="0"/>
              <w:marBottom w:val="0"/>
              <w:divBdr>
                <w:top w:val="none" w:sz="0" w:space="0" w:color="auto"/>
                <w:left w:val="none" w:sz="0" w:space="0" w:color="auto"/>
                <w:bottom w:val="none" w:sz="0" w:space="0" w:color="auto"/>
                <w:right w:val="none" w:sz="0" w:space="0" w:color="auto"/>
              </w:divBdr>
              <w:divsChild>
                <w:div w:id="161266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93295">
      <w:bodyDiv w:val="1"/>
      <w:marLeft w:val="0"/>
      <w:marRight w:val="0"/>
      <w:marTop w:val="0"/>
      <w:marBottom w:val="0"/>
      <w:divBdr>
        <w:top w:val="none" w:sz="0" w:space="0" w:color="auto"/>
        <w:left w:val="none" w:sz="0" w:space="0" w:color="auto"/>
        <w:bottom w:val="none" w:sz="0" w:space="0" w:color="auto"/>
        <w:right w:val="none" w:sz="0" w:space="0" w:color="auto"/>
      </w:divBdr>
    </w:div>
    <w:div w:id="1167214219">
      <w:bodyDiv w:val="1"/>
      <w:marLeft w:val="0"/>
      <w:marRight w:val="0"/>
      <w:marTop w:val="0"/>
      <w:marBottom w:val="0"/>
      <w:divBdr>
        <w:top w:val="none" w:sz="0" w:space="0" w:color="auto"/>
        <w:left w:val="none" w:sz="0" w:space="0" w:color="auto"/>
        <w:bottom w:val="none" w:sz="0" w:space="0" w:color="auto"/>
        <w:right w:val="none" w:sz="0" w:space="0" w:color="auto"/>
      </w:divBdr>
    </w:div>
    <w:div w:id="1195844940">
      <w:bodyDiv w:val="1"/>
      <w:marLeft w:val="0"/>
      <w:marRight w:val="0"/>
      <w:marTop w:val="0"/>
      <w:marBottom w:val="0"/>
      <w:divBdr>
        <w:top w:val="none" w:sz="0" w:space="0" w:color="auto"/>
        <w:left w:val="none" w:sz="0" w:space="0" w:color="auto"/>
        <w:bottom w:val="none" w:sz="0" w:space="0" w:color="auto"/>
        <w:right w:val="none" w:sz="0" w:space="0" w:color="auto"/>
      </w:divBdr>
    </w:div>
    <w:div w:id="1489788705">
      <w:bodyDiv w:val="1"/>
      <w:marLeft w:val="0"/>
      <w:marRight w:val="0"/>
      <w:marTop w:val="0"/>
      <w:marBottom w:val="0"/>
      <w:divBdr>
        <w:top w:val="none" w:sz="0" w:space="0" w:color="auto"/>
        <w:left w:val="none" w:sz="0" w:space="0" w:color="auto"/>
        <w:bottom w:val="none" w:sz="0" w:space="0" w:color="auto"/>
        <w:right w:val="none" w:sz="0" w:space="0" w:color="auto"/>
      </w:divBdr>
    </w:div>
    <w:div w:id="1509248941">
      <w:bodyDiv w:val="1"/>
      <w:marLeft w:val="0"/>
      <w:marRight w:val="0"/>
      <w:marTop w:val="0"/>
      <w:marBottom w:val="0"/>
      <w:divBdr>
        <w:top w:val="none" w:sz="0" w:space="0" w:color="auto"/>
        <w:left w:val="none" w:sz="0" w:space="0" w:color="auto"/>
        <w:bottom w:val="none" w:sz="0" w:space="0" w:color="auto"/>
        <w:right w:val="none" w:sz="0" w:space="0" w:color="auto"/>
      </w:divBdr>
    </w:div>
    <w:div w:id="1688630473">
      <w:bodyDiv w:val="1"/>
      <w:marLeft w:val="0"/>
      <w:marRight w:val="0"/>
      <w:marTop w:val="0"/>
      <w:marBottom w:val="0"/>
      <w:divBdr>
        <w:top w:val="none" w:sz="0" w:space="0" w:color="auto"/>
        <w:left w:val="none" w:sz="0" w:space="0" w:color="auto"/>
        <w:bottom w:val="none" w:sz="0" w:space="0" w:color="auto"/>
        <w:right w:val="none" w:sz="0" w:space="0" w:color="auto"/>
      </w:divBdr>
    </w:div>
    <w:div w:id="1758289845">
      <w:bodyDiv w:val="1"/>
      <w:marLeft w:val="0"/>
      <w:marRight w:val="0"/>
      <w:marTop w:val="0"/>
      <w:marBottom w:val="0"/>
      <w:divBdr>
        <w:top w:val="none" w:sz="0" w:space="0" w:color="auto"/>
        <w:left w:val="none" w:sz="0" w:space="0" w:color="auto"/>
        <w:bottom w:val="none" w:sz="0" w:space="0" w:color="auto"/>
        <w:right w:val="none" w:sz="0" w:space="0" w:color="auto"/>
      </w:divBdr>
    </w:div>
    <w:div w:id="1796168550">
      <w:bodyDiv w:val="1"/>
      <w:marLeft w:val="0"/>
      <w:marRight w:val="0"/>
      <w:marTop w:val="0"/>
      <w:marBottom w:val="0"/>
      <w:divBdr>
        <w:top w:val="none" w:sz="0" w:space="0" w:color="auto"/>
        <w:left w:val="none" w:sz="0" w:space="0" w:color="auto"/>
        <w:bottom w:val="none" w:sz="0" w:space="0" w:color="auto"/>
        <w:right w:val="none" w:sz="0" w:space="0" w:color="auto"/>
      </w:divBdr>
    </w:div>
    <w:div w:id="1914655890">
      <w:bodyDiv w:val="1"/>
      <w:marLeft w:val="0"/>
      <w:marRight w:val="0"/>
      <w:marTop w:val="0"/>
      <w:marBottom w:val="0"/>
      <w:divBdr>
        <w:top w:val="none" w:sz="0" w:space="0" w:color="auto"/>
        <w:left w:val="none" w:sz="0" w:space="0" w:color="auto"/>
        <w:bottom w:val="none" w:sz="0" w:space="0" w:color="auto"/>
        <w:right w:val="none" w:sz="0" w:space="0" w:color="auto"/>
      </w:divBdr>
    </w:div>
    <w:div w:id="1935626110">
      <w:bodyDiv w:val="1"/>
      <w:marLeft w:val="0"/>
      <w:marRight w:val="0"/>
      <w:marTop w:val="0"/>
      <w:marBottom w:val="0"/>
      <w:divBdr>
        <w:top w:val="none" w:sz="0" w:space="0" w:color="auto"/>
        <w:left w:val="none" w:sz="0" w:space="0" w:color="auto"/>
        <w:bottom w:val="none" w:sz="0" w:space="0" w:color="auto"/>
        <w:right w:val="none" w:sz="0" w:space="0" w:color="auto"/>
      </w:divBdr>
    </w:div>
    <w:div w:id="194904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quineteurope.org/Work-Life-Balance-and-Pregnancy-682" TargetMode="External"/><Relationship Id="rId18" Type="http://schemas.openxmlformats.org/officeDocument/2006/relationships/hyperlink" Target="http://www.equineteurope.org/Joint-appeal-for-European" TargetMode="External"/><Relationship Id="rId26" Type="http://schemas.openxmlformats.org/officeDocument/2006/relationships/hyperlink" Target="http://www.europarl.europa.eu/sides/getDoc.do?pubRef=-//EP//TEXT+TA+P8-TA-2015-0312+0+DOC+XML+V0//EN&amp;language=EN" TargetMode="External"/><Relationship Id="rId39" Type="http://schemas.openxmlformats.org/officeDocument/2006/relationships/hyperlink" Target="http://www.europarl.europa.eu/RegData/etudes/IDAN/2015/510008/IPOL_IDA(2015)510008_EN.pdf" TargetMode="External"/><Relationship Id="rId3" Type="http://schemas.openxmlformats.org/officeDocument/2006/relationships/styles" Target="styles.xml"/><Relationship Id="rId21" Type="http://schemas.openxmlformats.org/officeDocument/2006/relationships/image" Target="media/image4.jpeg"/><Relationship Id="rId34" Type="http://schemas.openxmlformats.org/officeDocument/2006/relationships/hyperlink" Target="http://ec.europa.eu/justice/grants1/calls/2015_action_grants/just_2015_rdap_ag_sexv_en.htm" TargetMode="External"/><Relationship Id="rId42" Type="http://schemas.openxmlformats.org/officeDocument/2006/relationships/hyperlink" Target="http://www.europarl.europa.eu/RegData/etudes/IDAN/2015/510023/IPOL_IDA(2015)510023_EN.pdf" TargetMode="External"/><Relationship Id="rId47" Type="http://schemas.openxmlformats.org/officeDocument/2006/relationships/hyperlink" Target="https://www.unfe.org/en/actions/intersex"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c.europa.eu/smart-regulation/roadmaps/docs/2015_just_xxx_maternity_leave.en.pdf" TargetMode="External"/><Relationship Id="rId17" Type="http://schemas.openxmlformats.org/officeDocument/2006/relationships/hyperlink" Target="http://ec.europa.eu/smart-regulation/roadmaps/docs/2015_just_xxx_maternity_leave.en.pdf" TargetMode="External"/><Relationship Id="rId25" Type="http://schemas.openxmlformats.org/officeDocument/2006/relationships/hyperlink" Target="http://data.consilium.europa.eu/doc/document/ST-9010-2015-INIT/en/pdf" TargetMode="External"/><Relationship Id="rId33" Type="http://schemas.openxmlformats.org/officeDocument/2006/relationships/hyperlink" Target="http://ec.europa.eu/justice/events/diversity-annual-forum-2015/index_en.htm" TargetMode="External"/><Relationship Id="rId38" Type="http://schemas.openxmlformats.org/officeDocument/2006/relationships/hyperlink" Target="http://www.europarl.europa.eu/RegData/etudes/IDAN/2015/510025/IPOL_IDA(2015)510025_EN.pdf" TargetMode="External"/><Relationship Id="rId46" Type="http://schemas.openxmlformats.org/officeDocument/2006/relationships/hyperlink" Target="http://ec.europa.eu/justice/events/colloquium-fundamental-rights-2015/index_en.htm" TargetMode="External"/><Relationship Id="rId2" Type="http://schemas.openxmlformats.org/officeDocument/2006/relationships/numbering" Target="numbering.xml"/><Relationship Id="rId16" Type="http://schemas.openxmlformats.org/officeDocument/2006/relationships/hyperlink" Target="http://ec.europa.eu/commission/2014-2019/jourova_en" TargetMode="External"/><Relationship Id="rId20" Type="http://schemas.openxmlformats.org/officeDocument/2006/relationships/hyperlink" Target="http://www.equineteurope.org/EU-Commissioner-for-Justice" TargetMode="External"/><Relationship Id="rId29" Type="http://schemas.openxmlformats.org/officeDocument/2006/relationships/hyperlink" Target="http://www.europarl.europa.eu/sides/getDoc.do?pubRef=-//EP//TEXT+TA+P8-TA-2015-0309+0+DOC+XML+V0//EN&amp;language=EN" TargetMode="External"/><Relationship Id="rId41" Type="http://schemas.openxmlformats.org/officeDocument/2006/relationships/hyperlink" Target="http://www.europarl.europa.eu/RegData/etudes/STUD/2015/510011/IPOL_STU(2015)510011_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quineteurope.org/The-European-Commission-s-new" TargetMode="External"/><Relationship Id="rId24" Type="http://schemas.openxmlformats.org/officeDocument/2006/relationships/hyperlink" Target="http://www.europarl.europa.eu/oeil/popups/summary.do?id=1397436&amp;t=d&amp;l=en" TargetMode="External"/><Relationship Id="rId32" Type="http://schemas.openxmlformats.org/officeDocument/2006/relationships/hyperlink" Target="http://ec.europa.eu/justice/grants1/calls/2015_action_grants/just_2015_jacc_ag_proc_en.htm" TargetMode="External"/><Relationship Id="rId37" Type="http://schemas.openxmlformats.org/officeDocument/2006/relationships/hyperlink" Target="http://www.europarl.europa.eu/RegData/etudes/IDAN/2015/510024/IPOL_IDA(2015)510024_EN.pdf" TargetMode="External"/><Relationship Id="rId40" Type="http://schemas.openxmlformats.org/officeDocument/2006/relationships/hyperlink" Target="http://www.europarl.europa.eu/RegData/etudes/STUD/2015/510010/IPOL_STU(2015)510010_EN.pdf" TargetMode="External"/><Relationship Id="rId45" Type="http://schemas.openxmlformats.org/officeDocument/2006/relationships/hyperlink" Target="http://www.coe.int/t/dghl/standardsetting/equality/01ataglance/standards-mechanisms/Fachsheet%20Key%20standards.pdf" TargetMode="External"/><Relationship Id="rId5" Type="http://schemas.openxmlformats.org/officeDocument/2006/relationships/webSettings" Target="webSettings.xml"/><Relationship Id="rId15" Type="http://schemas.openxmlformats.org/officeDocument/2006/relationships/image" Target="media/image3.JPG"/><Relationship Id="rId23" Type="http://schemas.openxmlformats.org/officeDocument/2006/relationships/hyperlink" Target="http://www.europarl.europa.eu/sides/getDoc.do?pubRef=-//EP//TEXT+TA+P8-TA-2015-0286+0+DOC+XML+V0//EN&amp;language=EN" TargetMode="External"/><Relationship Id="rId28" Type="http://schemas.openxmlformats.org/officeDocument/2006/relationships/hyperlink" Target="http://www.equineteurope.org/Internal-Equinet-Note-recent-EU" TargetMode="External"/><Relationship Id="rId36" Type="http://schemas.openxmlformats.org/officeDocument/2006/relationships/hyperlink" Target="http://www.europarl.europa.eu/RegData/etudes/IDAN/2015/510009/IPOL_IDA(2015)510009_EN.pdf" TargetMode="External"/><Relationship Id="rId49"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ec.europa.eu/justice/newsroom/gender-equality/news/121114_en.htm" TargetMode="External"/><Relationship Id="rId31" Type="http://schemas.openxmlformats.org/officeDocument/2006/relationships/hyperlink" Target="http://ec.europa.eu/justice/grants1/calls/2015_action_grants/just_2015_jacc_ag_qual_en.htm" TargetMode="External"/><Relationship Id="rId44" Type="http://schemas.openxmlformats.org/officeDocument/2006/relationships/hyperlink" Target="http://www.coe.int/t/dghl/standardsetting/equality/01ataglance/standards-mechanisms/Fachsheet%20Key%20standards.pdf" TargetMode="External"/><Relationship Id="rId4" Type="http://schemas.openxmlformats.org/officeDocument/2006/relationships/settings" Target="settings.xml"/><Relationship Id="rId9" Type="http://schemas.openxmlformats.org/officeDocument/2006/relationships/hyperlink" Target="mailto:Jessica.machacova@equineteurope.org" TargetMode="External"/><Relationship Id="rId14" Type="http://schemas.openxmlformats.org/officeDocument/2006/relationships/hyperlink" Target="http://www.equineteurope.org/Equality-Bodies-promoting-a-better" TargetMode="External"/><Relationship Id="rId22" Type="http://schemas.openxmlformats.org/officeDocument/2006/relationships/hyperlink" Target="http://europa.eu/rapid/press-release_SPEECH-15-5614_en.htm" TargetMode="External"/><Relationship Id="rId27" Type="http://schemas.openxmlformats.org/officeDocument/2006/relationships/hyperlink" Target="http://tbinternet.ohchr.org/_layouts/treatybodyexternal/Download.aspx?symbolno=CRPD%2fC%2fEU%2fCO%2f1&amp;Lang=en" TargetMode="External"/><Relationship Id="rId30" Type="http://schemas.openxmlformats.org/officeDocument/2006/relationships/hyperlink" Target="http://fra.europa.eu/en/call-for-tender/2015/data-collection-and-research-services-fundamental-rights-issues-franet-lot-26?_cldee=YW5uZS5nYXNwYXJkQGVxdWluZXRldXJvcGUub3Jn&amp;urlid=0" TargetMode="External"/><Relationship Id="rId35" Type="http://schemas.openxmlformats.org/officeDocument/2006/relationships/hyperlink" Target="http://www.europarl.europa.eu/RegData/etudes/STUD/2015/509999/IPOL_STU(2015)509999_EN.pdf" TargetMode="External"/><Relationship Id="rId43" Type="http://schemas.openxmlformats.org/officeDocument/2006/relationships/hyperlink" Target="http://www.europarl.europa.eu/RegData/etudes/IDAN/2015/519192/IPOL_IDA(2015)519192_EN.pdf" TargetMode="External"/><Relationship Id="rId48" Type="http://schemas.openxmlformats.org/officeDocument/2006/relationships/footer" Target="footer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50D9E-E0FA-45AD-865E-401D89584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3025</Words>
  <Characters>16643</Characters>
  <Application>Microsoft Office Word</Application>
  <DocSecurity>0</DocSecurity>
  <Lines>138</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Jessica Machacova</dc:creator>
  <cp:lastModifiedBy>Jessica Machacova</cp:lastModifiedBy>
  <cp:revision>6</cp:revision>
  <cp:lastPrinted>2015-06-05T09:25:00Z</cp:lastPrinted>
  <dcterms:created xsi:type="dcterms:W3CDTF">2015-09-11T15:48:00Z</dcterms:created>
  <dcterms:modified xsi:type="dcterms:W3CDTF">2015-09-11T16:36:00Z</dcterms:modified>
</cp:coreProperties>
</file>