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CDAB5" w14:textId="09475821" w:rsidR="001E1B6C" w:rsidRDefault="003A4519" w:rsidP="000263B4">
      <w:pPr>
        <w:spacing w:line="240" w:lineRule="auto"/>
        <w:jc w:val="both"/>
        <w:rPr>
          <w:b/>
          <w:lang w:val="en-GB"/>
        </w:rPr>
      </w:pPr>
      <w:r>
        <w:rPr>
          <w:b/>
          <w:noProof/>
          <w:lang w:eastAsia="fr-BE"/>
        </w:rPr>
        <w:drawing>
          <wp:anchor distT="0" distB="0" distL="114300" distR="114300" simplePos="0" relativeHeight="251658240" behindDoc="0" locked="0" layoutInCell="1" allowOverlap="1" wp14:anchorId="64059E6E" wp14:editId="66EBEFD7">
            <wp:simplePos x="0" y="0"/>
            <wp:positionH relativeFrom="page">
              <wp:align>right</wp:align>
            </wp:positionH>
            <wp:positionV relativeFrom="page">
              <wp:align>top</wp:align>
            </wp:positionV>
            <wp:extent cx="7553325" cy="2129828"/>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1298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74779353" w:rsidR="00F66D27" w:rsidRPr="006075A4" w:rsidRDefault="00F31126" w:rsidP="00600BC4">
      <w:pPr>
        <w:spacing w:line="240" w:lineRule="auto"/>
        <w:jc w:val="both"/>
        <w:rPr>
          <w:lang w:val="en-GB"/>
        </w:rPr>
      </w:pPr>
      <w:r w:rsidRPr="006075A4">
        <w:rPr>
          <w:b/>
          <w:lang w:val="en-GB"/>
        </w:rPr>
        <w:t xml:space="preserve">Dear Equinet Members, </w:t>
      </w:r>
      <w:r w:rsidRPr="006075A4">
        <w:rPr>
          <w:b/>
          <w:lang w:val="en-GB"/>
        </w:rPr>
        <w:tab/>
      </w:r>
      <w:r w:rsidRPr="006075A4">
        <w:rPr>
          <w:b/>
          <w:lang w:val="en-GB"/>
        </w:rPr>
        <w:br/>
      </w:r>
      <w:r w:rsidRPr="006075A4">
        <w:rPr>
          <w:lang w:val="en-GB"/>
        </w:rPr>
        <w:t xml:space="preserve">This Members’ Bulletin gathers </w:t>
      </w:r>
      <w:r w:rsidRPr="006075A4">
        <w:rPr>
          <w:b/>
          <w:lang w:val="en-GB"/>
        </w:rPr>
        <w:t>the latest European Union (EU) and international developments</w:t>
      </w:r>
      <w:r w:rsidRPr="006075A4">
        <w:rPr>
          <w:lang w:val="en-GB"/>
        </w:rPr>
        <w:t xml:space="preserve">. It aims to give you an </w:t>
      </w:r>
      <w:r w:rsidRPr="006075A4">
        <w:rPr>
          <w:b/>
          <w:lang w:val="en-GB"/>
        </w:rPr>
        <w:t>overview of relevant policy and legal developments</w:t>
      </w:r>
      <w:r w:rsidRPr="006075A4">
        <w:rPr>
          <w:lang w:val="en-GB"/>
        </w:rPr>
        <w:t xml:space="preserve">, as well as latest calls for interest, funding opportunities and upcoming events. We very much hope this members’ bulletin will be useful in your day-to-day work and we would be grateful if you could </w:t>
      </w:r>
      <w:r w:rsidRPr="006075A4">
        <w:rPr>
          <w:b/>
          <w:lang w:val="en-GB"/>
        </w:rPr>
        <w:t>disseminate it among your colleagues</w:t>
      </w:r>
      <w:r w:rsidRPr="006075A4">
        <w:rPr>
          <w:lang w:val="en-GB"/>
        </w:rPr>
        <w:t xml:space="preserve">. Your feedback is also greatly appreciated. Should you have any comments or further questions, </w:t>
      </w:r>
      <w:r w:rsidRPr="006075A4">
        <w:rPr>
          <w:b/>
          <w:lang w:val="en-GB"/>
        </w:rPr>
        <w:t>please do not hesitate to contact Jessica Machacova, Equinet Project Officer</w:t>
      </w:r>
      <w:r w:rsidRPr="006075A4">
        <w:rPr>
          <w:lang w:val="en-GB"/>
        </w:rPr>
        <w:t xml:space="preserve"> (</w:t>
      </w:r>
      <w:hyperlink r:id="rId9" w:history="1">
        <w:r w:rsidRPr="006075A4">
          <w:rPr>
            <w:rStyle w:val="Hyperlink"/>
            <w:lang w:val="en-GB"/>
          </w:rPr>
          <w:t>Jessica.machacova@equineteurope.org</w:t>
        </w:r>
      </w:hyperlink>
      <w:r w:rsidRPr="006075A4">
        <w:rPr>
          <w:lang w:val="en-GB"/>
        </w:rPr>
        <w:t xml:space="preserve"> / 0032 2 212 31 80). </w:t>
      </w:r>
    </w:p>
    <w:p w14:paraId="04626731" w14:textId="77777777" w:rsidR="00CF7284" w:rsidRPr="006075A4" w:rsidRDefault="00CF7284" w:rsidP="000263B4">
      <w:pPr>
        <w:spacing w:line="240" w:lineRule="auto"/>
        <w:jc w:val="both"/>
        <w:rPr>
          <w:lang w:val="en-GB"/>
        </w:rPr>
      </w:pPr>
    </w:p>
    <w:p w14:paraId="4E1D63FE" w14:textId="77777777" w:rsidR="002C3BF0" w:rsidRPr="001E1B6C" w:rsidRDefault="002C3BF0" w:rsidP="001E1B6C">
      <w:pPr>
        <w:shd w:val="clear" w:color="auto" w:fill="BFBFBF" w:themeFill="background1" w:themeFillShade="BF"/>
        <w:spacing w:line="240" w:lineRule="auto"/>
        <w:jc w:val="center"/>
        <w:rPr>
          <w:b/>
          <w:sz w:val="28"/>
          <w:lang w:val="en-GB"/>
        </w:rPr>
      </w:pPr>
      <w:r w:rsidRPr="001E1B6C">
        <w:rPr>
          <w:b/>
          <w:sz w:val="28"/>
          <w:lang w:val="en-GB"/>
        </w:rPr>
        <w:t>Equinet Members’ Bulletin on latest EU and internal developments – Table of contents</w:t>
      </w:r>
    </w:p>
    <w:p w14:paraId="5891F305" w14:textId="77777777" w:rsidR="002C3BF0" w:rsidRPr="006075A4" w:rsidRDefault="002C3BF0" w:rsidP="000263B4">
      <w:pPr>
        <w:spacing w:line="240" w:lineRule="auto"/>
        <w:jc w:val="both"/>
        <w:rPr>
          <w:b/>
          <w:i/>
          <w:color w:val="FF0000"/>
          <w:lang w:val="en-GB"/>
        </w:rPr>
      </w:pPr>
      <w:r w:rsidRPr="006075A4">
        <w:rPr>
          <w:b/>
          <w:i/>
          <w:color w:val="FF0000"/>
          <w:lang w:val="en-GB"/>
        </w:rPr>
        <w:t>(Ctrl + Click to follow the link)</w:t>
      </w:r>
    </w:p>
    <w:bookmarkStart w:id="0" w:name="_Toc418770742"/>
    <w:bookmarkStart w:id="1" w:name="_Ref418783893"/>
    <w:bookmarkStart w:id="2" w:name="_Ref418783894"/>
    <w:bookmarkStart w:id="3" w:name="_Ref421267367"/>
    <w:p w14:paraId="39D6AC79" w14:textId="55E344A6" w:rsidR="000D6BD2" w:rsidRPr="000D6BD2" w:rsidRDefault="000D6BD2">
      <w:pPr>
        <w:rPr>
          <w:b/>
          <w:sz w:val="28"/>
          <w:lang w:val="en-GB"/>
        </w:rPr>
      </w:pPr>
      <w:r w:rsidRPr="000D6BD2">
        <w:rPr>
          <w:b/>
          <w:sz w:val="28"/>
          <w:lang w:val="en-GB"/>
        </w:rPr>
        <w:fldChar w:fldCharType="begin"/>
      </w:r>
      <w:r w:rsidRPr="000D6BD2">
        <w:rPr>
          <w:b/>
          <w:sz w:val="28"/>
          <w:lang w:val="en-GB"/>
        </w:rPr>
        <w:instrText xml:space="preserve"> REF _Ref437595727 \h </w:instrText>
      </w:r>
      <w:r w:rsidRPr="000D6BD2">
        <w:rPr>
          <w:b/>
          <w:sz w:val="28"/>
          <w:lang w:val="en-GB"/>
        </w:rPr>
      </w:r>
      <w:r w:rsidRPr="000D6BD2">
        <w:rPr>
          <w:b/>
          <w:sz w:val="28"/>
          <w:lang w:val="en-GB"/>
        </w:rPr>
        <w:instrText xml:space="preserve"> \* MERGEFORMAT </w:instrText>
      </w:r>
      <w:r w:rsidRPr="000D6BD2">
        <w:rPr>
          <w:b/>
          <w:sz w:val="28"/>
          <w:lang w:val="en-GB"/>
        </w:rPr>
        <w:fldChar w:fldCharType="separate"/>
      </w:r>
      <w:r w:rsidRPr="000D6BD2">
        <w:rPr>
          <w:b/>
          <w:sz w:val="28"/>
          <w:lang w:val="en-GB"/>
        </w:rPr>
        <w:t>Highlights</w:t>
      </w:r>
      <w:r w:rsidRPr="000D6BD2">
        <w:rPr>
          <w:b/>
          <w:sz w:val="28"/>
          <w:lang w:val="en-GB"/>
        </w:rPr>
        <w:fldChar w:fldCharType="end"/>
      </w:r>
    </w:p>
    <w:p w14:paraId="46BF3B3C" w14:textId="2BA25ACB" w:rsidR="000D6BD2" w:rsidRPr="000D6BD2" w:rsidRDefault="000D6BD2" w:rsidP="000D6BD2">
      <w:pPr>
        <w:pStyle w:val="ListParagraph"/>
        <w:numPr>
          <w:ilvl w:val="0"/>
          <w:numId w:val="36"/>
        </w:numPr>
        <w:jc w:val="both"/>
        <w:rPr>
          <w:u w:val="single"/>
          <w:lang w:val="en-GB"/>
        </w:rPr>
      </w:pPr>
      <w:r w:rsidRPr="000D6BD2">
        <w:rPr>
          <w:color w:val="0070C0"/>
          <w:u w:val="single"/>
          <w:lang w:val="en-GB"/>
        </w:rPr>
        <w:fldChar w:fldCharType="begin"/>
      </w:r>
      <w:r w:rsidRPr="000D6BD2">
        <w:rPr>
          <w:color w:val="0070C0"/>
          <w:u w:val="single"/>
          <w:lang w:val="en-GB"/>
        </w:rPr>
        <w:instrText xml:space="preserve"> REF _Ref437595728 \h </w:instrText>
      </w:r>
      <w:r w:rsidRPr="000D6BD2">
        <w:rPr>
          <w:color w:val="0070C0"/>
          <w:u w:val="single"/>
          <w:lang w:val="en-GB"/>
        </w:rPr>
      </w:r>
      <w:r w:rsidRPr="000D6BD2">
        <w:rPr>
          <w:color w:val="0070C0"/>
          <w:u w:val="single"/>
          <w:lang w:val="en-GB"/>
        </w:rPr>
        <w:instrText xml:space="preserve"> \* MERGEFORMAT </w:instrText>
      </w:r>
      <w:r w:rsidRPr="000D6BD2">
        <w:rPr>
          <w:color w:val="0070C0"/>
          <w:u w:val="single"/>
          <w:lang w:val="en-GB"/>
        </w:rPr>
        <w:fldChar w:fldCharType="separate"/>
      </w:r>
      <w:r w:rsidRPr="000D6BD2">
        <w:rPr>
          <w:color w:val="0070C0"/>
          <w:u w:val="single"/>
          <w:lang w:val="en-GB"/>
        </w:rPr>
        <w:t xml:space="preserve">The European Commission releases proposal of </w:t>
      </w:r>
      <w:r w:rsidRPr="000D6BD2">
        <w:rPr>
          <w:b/>
          <w:color w:val="0070C0"/>
          <w:u w:val="single"/>
          <w:lang w:val="en-GB"/>
        </w:rPr>
        <w:t xml:space="preserve">European Accessibility </w:t>
      </w:r>
      <w:proofErr w:type="spellStart"/>
      <w:r w:rsidRPr="000D6BD2">
        <w:rPr>
          <w:b/>
          <w:color w:val="0070C0"/>
          <w:u w:val="single"/>
          <w:lang w:val="en-GB"/>
        </w:rPr>
        <w:t>Act</w:t>
      </w:r>
      <w:r w:rsidRPr="000D6BD2">
        <w:rPr>
          <w:color w:val="0070C0"/>
          <w:u w:val="single"/>
          <w:lang w:val="en-GB"/>
        </w:rPr>
        <w:fldChar w:fldCharType="end"/>
      </w:r>
      <w:proofErr w:type="spellEnd"/>
    </w:p>
    <w:p w14:paraId="6D8AC5B7" w14:textId="0E81D5DF" w:rsidR="000D6BD2" w:rsidRPr="000D6BD2" w:rsidRDefault="000D6BD2" w:rsidP="000D6BD2">
      <w:pPr>
        <w:pStyle w:val="ListParagraph"/>
        <w:numPr>
          <w:ilvl w:val="0"/>
          <w:numId w:val="36"/>
        </w:numPr>
        <w:jc w:val="both"/>
        <w:rPr>
          <w:lang w:val="en-GB"/>
        </w:rPr>
      </w:pPr>
      <w:r w:rsidRPr="000D6BD2">
        <w:rPr>
          <w:lang w:val="en-GB"/>
        </w:rPr>
        <w:fldChar w:fldCharType="begin"/>
      </w:r>
      <w:r w:rsidRPr="000D6BD2">
        <w:rPr>
          <w:lang w:val="en-GB"/>
        </w:rPr>
        <w:instrText xml:space="preserve"> REF _Ref437595729 \h </w:instrText>
      </w:r>
      <w:r w:rsidRPr="000D6BD2">
        <w:rPr>
          <w:lang w:val="en-GB"/>
        </w:rPr>
      </w:r>
      <w:r>
        <w:rPr>
          <w:lang w:val="en-GB"/>
        </w:rPr>
        <w:instrText xml:space="preserve"> \* MERGEFORMAT </w:instrText>
      </w:r>
      <w:r w:rsidRPr="000D6BD2">
        <w:rPr>
          <w:lang w:val="en-GB"/>
        </w:rPr>
        <w:fldChar w:fldCharType="separate"/>
      </w:r>
      <w:r w:rsidRPr="000D6BD2">
        <w:rPr>
          <w:color w:val="0070C0"/>
          <w:u w:val="single"/>
          <w:lang w:val="en-GB"/>
        </w:rPr>
        <w:t xml:space="preserve">The European Commission launches </w:t>
      </w:r>
      <w:r w:rsidRPr="000D6BD2">
        <w:rPr>
          <w:b/>
          <w:color w:val="0070C0"/>
          <w:u w:val="single"/>
          <w:lang w:val="en-GB"/>
        </w:rPr>
        <w:t>public consultation on work life balance</w:t>
      </w:r>
      <w:r w:rsidRPr="000D6BD2">
        <w:rPr>
          <w:lang w:val="en-GB"/>
        </w:rPr>
        <w:t xml:space="preserve"> (Deadline: 17 February)</w:t>
      </w:r>
      <w:r w:rsidRPr="000D6BD2">
        <w:rPr>
          <w:lang w:val="en-GB"/>
        </w:rPr>
        <w:fldChar w:fldCharType="end"/>
      </w:r>
    </w:p>
    <w:p w14:paraId="670ACDED" w14:textId="3797382A" w:rsidR="000D6BD2" w:rsidRPr="000D6BD2" w:rsidRDefault="000D6BD2">
      <w:pPr>
        <w:rPr>
          <w:b/>
          <w:sz w:val="28"/>
          <w:lang w:val="en-GB"/>
        </w:rPr>
      </w:pPr>
      <w:r w:rsidRPr="000D6BD2">
        <w:rPr>
          <w:b/>
          <w:sz w:val="28"/>
          <w:lang w:val="en-GB"/>
        </w:rPr>
        <w:fldChar w:fldCharType="begin"/>
      </w:r>
      <w:r w:rsidRPr="000D6BD2">
        <w:rPr>
          <w:b/>
          <w:sz w:val="28"/>
          <w:lang w:val="en-GB"/>
        </w:rPr>
        <w:instrText xml:space="preserve"> REF _Ref437595731 \h </w:instrText>
      </w:r>
      <w:r w:rsidRPr="000D6BD2">
        <w:rPr>
          <w:b/>
          <w:sz w:val="28"/>
          <w:lang w:val="en-GB"/>
        </w:rPr>
      </w:r>
      <w:r w:rsidRPr="000D6BD2">
        <w:rPr>
          <w:b/>
          <w:sz w:val="28"/>
          <w:lang w:val="en-GB"/>
        </w:rPr>
        <w:instrText xml:space="preserve"> \* MERGEFORMAT </w:instrText>
      </w:r>
      <w:r w:rsidRPr="000D6BD2">
        <w:rPr>
          <w:b/>
          <w:sz w:val="28"/>
          <w:lang w:val="en-GB"/>
        </w:rPr>
        <w:fldChar w:fldCharType="separate"/>
      </w:r>
      <w:r w:rsidRPr="000D6BD2">
        <w:rPr>
          <w:b/>
          <w:sz w:val="28"/>
          <w:lang w:val="en-GB"/>
        </w:rPr>
        <w:t>Thematic Policy Developments</w:t>
      </w:r>
      <w:r w:rsidRPr="000D6BD2">
        <w:rPr>
          <w:b/>
          <w:sz w:val="28"/>
          <w:lang w:val="en-GB"/>
        </w:rPr>
        <w:fldChar w:fldCharType="end"/>
      </w:r>
    </w:p>
    <w:p w14:paraId="7FEE29A1" w14:textId="77777777" w:rsidR="000D6BD2" w:rsidRPr="000D6BD2" w:rsidRDefault="000D6BD2" w:rsidP="000D6BD2">
      <w:pPr>
        <w:pStyle w:val="ListParagraph"/>
        <w:numPr>
          <w:ilvl w:val="0"/>
          <w:numId w:val="37"/>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_Ref421267521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General information</w:t>
      </w:r>
      <w:r w:rsidRPr="000D6BD2">
        <w:rPr>
          <w:color w:val="0070C0"/>
          <w:u w:val="single"/>
          <w:lang w:val="en-GB"/>
        </w:rPr>
        <w:fldChar w:fldCharType="end"/>
      </w:r>
    </w:p>
    <w:p w14:paraId="55FDBC30" w14:textId="77777777" w:rsidR="000D6BD2" w:rsidRPr="000D6BD2" w:rsidRDefault="000D6BD2" w:rsidP="000D6BD2">
      <w:pPr>
        <w:pStyle w:val="ListParagraph"/>
        <w:numPr>
          <w:ilvl w:val="0"/>
          <w:numId w:val="37"/>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_Ref421267526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Gender Equality</w:t>
      </w:r>
      <w:r w:rsidRPr="000D6BD2">
        <w:rPr>
          <w:color w:val="0070C0"/>
          <w:u w:val="single"/>
          <w:lang w:val="en-GB"/>
        </w:rPr>
        <w:fldChar w:fldCharType="end"/>
      </w:r>
    </w:p>
    <w:p w14:paraId="076D8BD0" w14:textId="77777777" w:rsidR="000D6BD2" w:rsidRPr="000D6BD2" w:rsidRDefault="000D6BD2" w:rsidP="000D6BD2">
      <w:pPr>
        <w:pStyle w:val="ListParagraph"/>
        <w:numPr>
          <w:ilvl w:val="0"/>
          <w:numId w:val="37"/>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_Ref437595734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Sexual Orientation and Gender Identity</w:t>
      </w:r>
      <w:r w:rsidRPr="000D6BD2">
        <w:rPr>
          <w:color w:val="0070C0"/>
          <w:u w:val="single"/>
          <w:lang w:val="en-GB"/>
        </w:rPr>
        <w:fldChar w:fldCharType="end"/>
      </w:r>
    </w:p>
    <w:p w14:paraId="676BC647" w14:textId="77777777" w:rsidR="000D6BD2" w:rsidRPr="000D6BD2" w:rsidRDefault="000D6BD2" w:rsidP="000D6BD2">
      <w:pPr>
        <w:pStyle w:val="ListParagraph"/>
        <w:numPr>
          <w:ilvl w:val="0"/>
          <w:numId w:val="37"/>
        </w:numPr>
        <w:rPr>
          <w:u w:val="single"/>
          <w:lang w:val="en-GB"/>
        </w:rPr>
      </w:pPr>
      <w:r w:rsidRPr="000D6BD2">
        <w:rPr>
          <w:color w:val="0070C0"/>
          <w:u w:val="single"/>
          <w:lang w:val="en-GB"/>
        </w:rPr>
        <w:fldChar w:fldCharType="begin"/>
      </w:r>
      <w:r w:rsidRPr="000D6BD2">
        <w:rPr>
          <w:color w:val="0070C0"/>
          <w:u w:val="single"/>
          <w:lang w:val="en-GB"/>
        </w:rPr>
        <w:instrText xml:space="preserve"> REF _Ref437595735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Religion and Belief</w:t>
      </w:r>
      <w:r w:rsidRPr="000D6BD2">
        <w:rPr>
          <w:color w:val="0070C0"/>
          <w:u w:val="single"/>
          <w:lang w:val="en-GB"/>
        </w:rPr>
        <w:fldChar w:fldCharType="end"/>
      </w:r>
    </w:p>
    <w:p w14:paraId="7205D995" w14:textId="77777777" w:rsidR="000D6BD2" w:rsidRPr="000D6BD2" w:rsidRDefault="000D6BD2" w:rsidP="000D6BD2">
      <w:pPr>
        <w:pStyle w:val="ListParagraph"/>
        <w:numPr>
          <w:ilvl w:val="0"/>
          <w:numId w:val="37"/>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_Ref421267547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Age</w:t>
      </w:r>
      <w:r w:rsidRPr="000D6BD2">
        <w:rPr>
          <w:color w:val="0070C0"/>
          <w:u w:val="single"/>
          <w:lang w:val="en-GB"/>
        </w:rPr>
        <w:fldChar w:fldCharType="end"/>
      </w:r>
    </w:p>
    <w:p w14:paraId="73927ADD" w14:textId="3B12F828" w:rsidR="000D6BD2" w:rsidRPr="000D6BD2" w:rsidRDefault="000D6BD2">
      <w:pPr>
        <w:rPr>
          <w:b/>
          <w:sz w:val="28"/>
          <w:lang w:val="en-GB"/>
        </w:rPr>
      </w:pPr>
      <w:r w:rsidRPr="000D6BD2">
        <w:rPr>
          <w:b/>
          <w:sz w:val="28"/>
          <w:lang w:val="en-GB"/>
        </w:rPr>
        <w:fldChar w:fldCharType="begin"/>
      </w:r>
      <w:r w:rsidRPr="000D6BD2">
        <w:rPr>
          <w:b/>
          <w:sz w:val="28"/>
          <w:lang w:val="en-GB"/>
        </w:rPr>
        <w:instrText xml:space="preserve"> REF _Ref437595738 \h </w:instrText>
      </w:r>
      <w:r w:rsidRPr="000D6BD2">
        <w:rPr>
          <w:b/>
          <w:sz w:val="28"/>
          <w:lang w:val="en-GB"/>
        </w:rPr>
      </w:r>
      <w:r w:rsidRPr="000D6BD2">
        <w:rPr>
          <w:b/>
          <w:sz w:val="28"/>
          <w:lang w:val="en-GB"/>
        </w:rPr>
        <w:instrText xml:space="preserve"> \* MERGEFORMAT </w:instrText>
      </w:r>
      <w:r w:rsidRPr="000D6BD2">
        <w:rPr>
          <w:b/>
          <w:sz w:val="28"/>
          <w:lang w:val="en-GB"/>
        </w:rPr>
        <w:fldChar w:fldCharType="separate"/>
      </w:r>
      <w:r w:rsidRPr="000D6BD2">
        <w:rPr>
          <w:b/>
          <w:sz w:val="28"/>
          <w:lang w:val="en-GB"/>
        </w:rPr>
        <w:t>Publications, funding opportunities and events</w:t>
      </w:r>
      <w:r w:rsidRPr="000D6BD2">
        <w:rPr>
          <w:b/>
          <w:sz w:val="28"/>
          <w:lang w:val="en-GB"/>
        </w:rPr>
        <w:fldChar w:fldCharType="end"/>
      </w:r>
    </w:p>
    <w:p w14:paraId="3C7950F2" w14:textId="77777777" w:rsidR="000D6BD2" w:rsidRPr="000D6BD2" w:rsidRDefault="000D6BD2" w:rsidP="000D6BD2">
      <w:pPr>
        <w:pStyle w:val="ListParagraph"/>
        <w:numPr>
          <w:ilvl w:val="0"/>
          <w:numId w:val="38"/>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_Ref437595739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General information</w:t>
      </w:r>
      <w:r w:rsidRPr="000D6BD2">
        <w:rPr>
          <w:color w:val="0070C0"/>
          <w:u w:val="single"/>
          <w:lang w:val="en-GB"/>
        </w:rPr>
        <w:fldChar w:fldCharType="end"/>
      </w:r>
    </w:p>
    <w:p w14:paraId="0276AD17" w14:textId="77777777" w:rsidR="000D6BD2" w:rsidRPr="000D6BD2" w:rsidRDefault="000D6BD2" w:rsidP="000D6BD2">
      <w:pPr>
        <w:pStyle w:val="ListParagraph"/>
        <w:numPr>
          <w:ilvl w:val="0"/>
          <w:numId w:val="38"/>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_Ref437595740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 xml:space="preserve">Gender </w:t>
      </w:r>
      <w:proofErr w:type="spellStart"/>
      <w:r w:rsidRPr="000D6BD2">
        <w:rPr>
          <w:color w:val="0070C0"/>
          <w:u w:val="single"/>
          <w:lang w:val="en-GB"/>
        </w:rPr>
        <w:t>Equality</w:t>
      </w:r>
      <w:r w:rsidRPr="000D6BD2">
        <w:rPr>
          <w:color w:val="0070C0"/>
          <w:u w:val="single"/>
          <w:lang w:val="en-GB"/>
        </w:rPr>
        <w:fldChar w:fldCharType="end"/>
      </w:r>
      <w:proofErr w:type="spellEnd"/>
    </w:p>
    <w:p w14:paraId="750A6794" w14:textId="77777777" w:rsidR="000D6BD2" w:rsidRPr="000D6BD2" w:rsidRDefault="000D6BD2" w:rsidP="000D6BD2">
      <w:pPr>
        <w:pStyle w:val="ListParagraph"/>
        <w:numPr>
          <w:ilvl w:val="0"/>
          <w:numId w:val="38"/>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_Ref437595743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 xml:space="preserve">Race/ethnic </w:t>
      </w:r>
      <w:proofErr w:type="spellStart"/>
      <w:r w:rsidRPr="000D6BD2">
        <w:rPr>
          <w:color w:val="0070C0"/>
          <w:u w:val="single"/>
          <w:lang w:val="en-GB"/>
        </w:rPr>
        <w:t>origin</w:t>
      </w:r>
      <w:r w:rsidRPr="000D6BD2">
        <w:rPr>
          <w:color w:val="0070C0"/>
          <w:u w:val="single"/>
          <w:lang w:val="en-GB"/>
        </w:rPr>
        <w:fldChar w:fldCharType="end"/>
      </w:r>
      <w:proofErr w:type="spellEnd"/>
    </w:p>
    <w:p w14:paraId="181D1F0A" w14:textId="77777777" w:rsidR="000D6BD2" w:rsidRPr="000D6BD2" w:rsidRDefault="000D6BD2" w:rsidP="000D6BD2">
      <w:pPr>
        <w:pStyle w:val="ListParagraph"/>
        <w:numPr>
          <w:ilvl w:val="0"/>
          <w:numId w:val="38"/>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_Ref437595744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Disability</w:t>
      </w:r>
      <w:r w:rsidRPr="000D6BD2">
        <w:rPr>
          <w:color w:val="0070C0"/>
          <w:u w:val="single"/>
          <w:lang w:val="en-GB"/>
        </w:rPr>
        <w:fldChar w:fldCharType="end"/>
      </w:r>
    </w:p>
    <w:p w14:paraId="1AD3BE9D" w14:textId="77777777" w:rsidR="000D6BD2" w:rsidRPr="000D6BD2" w:rsidRDefault="000D6BD2" w:rsidP="000D6BD2">
      <w:pPr>
        <w:pStyle w:val="ListParagraph"/>
        <w:numPr>
          <w:ilvl w:val="0"/>
          <w:numId w:val="38"/>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_Ref437595745 \h </w:instrText>
      </w:r>
      <w:r w:rsidRPr="000D6BD2">
        <w:rPr>
          <w:color w:val="0070C0"/>
          <w:u w:val="single"/>
          <w:lang w:val="en-GB"/>
        </w:rPr>
      </w:r>
      <w:r w:rsidRPr="000D6BD2">
        <w:rPr>
          <w:color w:val="0070C0"/>
          <w:u w:val="single"/>
          <w:lang w:val="en-GB"/>
        </w:rPr>
        <w:fldChar w:fldCharType="separate"/>
      </w:r>
      <w:proofErr w:type="spellStart"/>
      <w:r w:rsidRPr="000D6BD2">
        <w:rPr>
          <w:color w:val="0070C0"/>
          <w:u w:val="single"/>
          <w:lang w:val="en-US"/>
        </w:rPr>
        <w:t>Age</w:t>
      </w:r>
      <w:r w:rsidRPr="000D6BD2">
        <w:rPr>
          <w:color w:val="0070C0"/>
          <w:u w:val="single"/>
          <w:lang w:val="en-GB"/>
        </w:rPr>
        <w:fldChar w:fldCharType="end"/>
      </w:r>
      <w:proofErr w:type="spellEnd"/>
    </w:p>
    <w:p w14:paraId="7F293F36" w14:textId="77777777" w:rsidR="000D6BD2" w:rsidRPr="000D6BD2" w:rsidRDefault="000D6BD2" w:rsidP="000D6BD2">
      <w:pPr>
        <w:pStyle w:val="ListParagraph"/>
        <w:numPr>
          <w:ilvl w:val="0"/>
          <w:numId w:val="38"/>
        </w:numPr>
        <w:rPr>
          <w:color w:val="0070C0"/>
          <w:u w:val="single"/>
          <w:lang w:val="en-GB"/>
        </w:rPr>
      </w:pPr>
      <w:r w:rsidRPr="000D6BD2">
        <w:rPr>
          <w:color w:val="0070C0"/>
          <w:u w:val="single"/>
          <w:lang w:val="en-GB"/>
        </w:rPr>
        <w:fldChar w:fldCharType="begin"/>
      </w:r>
      <w:r w:rsidRPr="000D6BD2">
        <w:rPr>
          <w:color w:val="0070C0"/>
          <w:u w:val="single"/>
          <w:lang w:val="en-GB"/>
        </w:rPr>
        <w:instrText xml:space="preserve"> REF _Ref437595746 \h </w:instrText>
      </w:r>
      <w:r w:rsidRPr="000D6BD2">
        <w:rPr>
          <w:color w:val="0070C0"/>
          <w:u w:val="single"/>
          <w:lang w:val="en-GB"/>
        </w:rPr>
      </w:r>
      <w:r w:rsidRPr="000D6BD2">
        <w:rPr>
          <w:color w:val="0070C0"/>
          <w:u w:val="single"/>
          <w:lang w:val="en-GB"/>
        </w:rPr>
        <w:fldChar w:fldCharType="separate"/>
      </w:r>
      <w:r w:rsidRPr="000D6BD2">
        <w:rPr>
          <w:color w:val="0070C0"/>
          <w:u w:val="single"/>
          <w:lang w:val="en-US"/>
        </w:rPr>
        <w:t>Other</w:t>
      </w:r>
      <w:r w:rsidRPr="000D6BD2">
        <w:rPr>
          <w:color w:val="0070C0"/>
          <w:u w:val="single"/>
          <w:lang w:val="en-GB"/>
        </w:rPr>
        <w:fldChar w:fldCharType="end"/>
      </w:r>
    </w:p>
    <w:p w14:paraId="61166596" w14:textId="3440D65A" w:rsidR="000D6BD2" w:rsidRPr="000D6BD2" w:rsidRDefault="000D6BD2">
      <w:pPr>
        <w:rPr>
          <w:b/>
          <w:sz w:val="28"/>
          <w:lang w:val="en-GB"/>
        </w:rPr>
      </w:pPr>
      <w:r w:rsidRPr="000D6BD2">
        <w:rPr>
          <w:b/>
          <w:sz w:val="28"/>
          <w:lang w:val="en-GB"/>
        </w:rPr>
        <w:fldChar w:fldCharType="begin"/>
      </w:r>
      <w:r w:rsidRPr="000D6BD2">
        <w:rPr>
          <w:b/>
          <w:sz w:val="28"/>
          <w:lang w:val="en-GB"/>
        </w:rPr>
        <w:instrText xml:space="preserve"> REF _Ref437595747 \h </w:instrText>
      </w:r>
      <w:r w:rsidRPr="000D6BD2">
        <w:rPr>
          <w:b/>
          <w:sz w:val="28"/>
          <w:lang w:val="en-GB"/>
        </w:rPr>
      </w:r>
      <w:r w:rsidRPr="000D6BD2">
        <w:rPr>
          <w:b/>
          <w:sz w:val="28"/>
          <w:lang w:val="en-GB"/>
        </w:rPr>
        <w:instrText xml:space="preserve"> \* MERGEFORMAT </w:instrText>
      </w:r>
      <w:r w:rsidRPr="000D6BD2">
        <w:rPr>
          <w:b/>
          <w:sz w:val="28"/>
          <w:lang w:val="en-GB"/>
        </w:rPr>
        <w:fldChar w:fldCharType="separate"/>
      </w:r>
      <w:r w:rsidRPr="000D6BD2">
        <w:rPr>
          <w:b/>
          <w:sz w:val="28"/>
          <w:lang w:val="en-GB"/>
        </w:rPr>
        <w:t>Recent case-law</w:t>
      </w:r>
      <w:r w:rsidRPr="000D6BD2">
        <w:rPr>
          <w:b/>
          <w:sz w:val="28"/>
          <w:lang w:val="en-GB"/>
        </w:rPr>
        <w:fldChar w:fldCharType="end"/>
      </w:r>
    </w:p>
    <w:p w14:paraId="7CABA703" w14:textId="334414EB" w:rsidR="00F93FE2" w:rsidRPr="000D6BD2" w:rsidRDefault="000D6BD2" w:rsidP="000D6BD2">
      <w:pPr>
        <w:pStyle w:val="ListParagraph"/>
        <w:numPr>
          <w:ilvl w:val="0"/>
          <w:numId w:val="39"/>
        </w:numPr>
        <w:rPr>
          <w:rFonts w:ascii="Tahoma" w:eastAsiaTheme="majorEastAsia" w:hAnsi="Tahoma" w:cstheme="majorBidi"/>
          <w:b/>
          <w:color w:val="2E74B5" w:themeColor="accent1" w:themeShade="BF"/>
          <w:sz w:val="32"/>
          <w:szCs w:val="32"/>
          <w:u w:val="single"/>
          <w:lang w:val="en-GB"/>
        </w:rPr>
      </w:pPr>
      <w:r w:rsidRPr="000D6BD2">
        <w:rPr>
          <w:color w:val="0070C0"/>
          <w:u w:val="single"/>
          <w:lang w:val="en-GB"/>
        </w:rPr>
        <w:fldChar w:fldCharType="begin"/>
      </w:r>
      <w:r w:rsidRPr="000D6BD2">
        <w:rPr>
          <w:color w:val="0070C0"/>
          <w:u w:val="single"/>
          <w:lang w:val="en-GB"/>
        </w:rPr>
        <w:instrText xml:space="preserve"> REF _Ref421267644 \h </w:instrText>
      </w:r>
      <w:r w:rsidRPr="000D6BD2">
        <w:rPr>
          <w:color w:val="0070C0"/>
          <w:u w:val="single"/>
          <w:lang w:val="en-GB"/>
        </w:rPr>
      </w:r>
      <w:r w:rsidRPr="000D6BD2">
        <w:rPr>
          <w:color w:val="0070C0"/>
          <w:u w:val="single"/>
          <w:lang w:val="en-GB"/>
        </w:rPr>
        <w:fldChar w:fldCharType="separate"/>
      </w:r>
      <w:r w:rsidRPr="000D6BD2">
        <w:rPr>
          <w:color w:val="0070C0"/>
          <w:u w:val="single"/>
          <w:lang w:val="en-GB"/>
        </w:rPr>
        <w:t>European Court of Human Rights (ECHR)</w:t>
      </w:r>
      <w:r w:rsidRPr="000D6BD2">
        <w:rPr>
          <w:color w:val="0070C0"/>
          <w:u w:val="single"/>
          <w:lang w:val="en-GB"/>
        </w:rPr>
        <w:fldChar w:fldCharType="end"/>
      </w:r>
      <w:r w:rsidR="00F93FE2" w:rsidRPr="000D6BD2">
        <w:rPr>
          <w:u w:val="single"/>
          <w:lang w:val="en-GB"/>
        </w:rPr>
        <w:br w:type="page"/>
      </w:r>
    </w:p>
    <w:p w14:paraId="040B29A2" w14:textId="6BE47F9D" w:rsidR="001140DC" w:rsidRPr="003A4519" w:rsidRDefault="001E1B6C" w:rsidP="003A4519">
      <w:pPr>
        <w:pStyle w:val="Heading1"/>
        <w:shd w:val="clear" w:color="auto" w:fill="3F897D"/>
        <w:spacing w:line="240" w:lineRule="auto"/>
        <w:rPr>
          <w:color w:val="FFFFFF" w:themeColor="background1"/>
          <w:lang w:val="en-GB"/>
        </w:rPr>
      </w:pPr>
      <w:bookmarkStart w:id="4" w:name="_Ref437595727"/>
      <w:bookmarkEnd w:id="0"/>
      <w:bookmarkEnd w:id="1"/>
      <w:bookmarkEnd w:id="2"/>
      <w:bookmarkEnd w:id="3"/>
      <w:r w:rsidRPr="003A4519">
        <w:rPr>
          <w:color w:val="FFFFFF" w:themeColor="background1"/>
          <w:lang w:val="en-GB"/>
        </w:rPr>
        <w:lastRenderedPageBreak/>
        <w:t>H</w:t>
      </w:r>
      <w:r w:rsidR="008F06E9">
        <w:rPr>
          <w:color w:val="FFFFFF" w:themeColor="background1"/>
          <w:lang w:val="en-GB"/>
        </w:rPr>
        <w:t>ighlig</w:t>
      </w:r>
      <w:bookmarkStart w:id="5" w:name="_GoBack"/>
      <w:bookmarkEnd w:id="5"/>
      <w:r w:rsidR="008F06E9">
        <w:rPr>
          <w:color w:val="FFFFFF" w:themeColor="background1"/>
          <w:lang w:val="en-GB"/>
        </w:rPr>
        <w:t>hts</w:t>
      </w:r>
      <w:bookmarkEnd w:id="4"/>
    </w:p>
    <w:p w14:paraId="43616600" w14:textId="77777777" w:rsidR="00F93FE2" w:rsidRPr="00F93FE2" w:rsidRDefault="00F93FE2" w:rsidP="00F93FE2">
      <w:pPr>
        <w:rPr>
          <w:lang w:val="en-GB"/>
        </w:rPr>
      </w:pPr>
    </w:p>
    <w:p w14:paraId="215055CE" w14:textId="21F886A5" w:rsidR="003A4519" w:rsidRDefault="00F93FE2" w:rsidP="003A4519">
      <w:pPr>
        <w:pStyle w:val="Heading2"/>
        <w:spacing w:line="240" w:lineRule="auto"/>
        <w:jc w:val="both"/>
        <w:rPr>
          <w:lang w:val="en-GB"/>
        </w:rPr>
      </w:pPr>
      <w:bookmarkStart w:id="6" w:name="_Ref437595728"/>
      <w:r>
        <w:rPr>
          <w:lang w:val="en-GB"/>
        </w:rPr>
        <w:t>HIGHLIGHT</w:t>
      </w:r>
      <w:r w:rsidR="000F19A7">
        <w:rPr>
          <w:lang w:val="en-GB"/>
        </w:rPr>
        <w:t xml:space="preserve"> 1</w:t>
      </w:r>
      <w:r w:rsidR="003A4519">
        <w:rPr>
          <w:lang w:val="en-GB"/>
        </w:rPr>
        <w:t xml:space="preserve"> – The European Commission releases proposal of European Accessibility Act</w:t>
      </w:r>
      <w:bookmarkEnd w:id="6"/>
    </w:p>
    <w:p w14:paraId="7389652B" w14:textId="2035C9B7" w:rsidR="005F20DB" w:rsidRPr="00600BC4" w:rsidRDefault="003A4519" w:rsidP="00600BC4">
      <w:pPr>
        <w:spacing w:line="240" w:lineRule="auto"/>
        <w:jc w:val="both"/>
        <w:rPr>
          <w:b/>
          <w:lang w:val="en-GB"/>
        </w:rPr>
      </w:pPr>
      <w:r>
        <w:rPr>
          <w:lang w:val="en-GB"/>
        </w:rPr>
        <w:br/>
        <w:t xml:space="preserve">On </w:t>
      </w:r>
      <w:r w:rsidR="00672EAA">
        <w:rPr>
          <w:lang w:val="en-GB"/>
        </w:rPr>
        <w:t xml:space="preserve">the occasion of the </w:t>
      </w:r>
      <w:hyperlink r:id="rId10" w:history="1">
        <w:r w:rsidR="00672EAA" w:rsidRPr="00672EAA">
          <w:rPr>
            <w:rStyle w:val="Hyperlink"/>
            <w:lang w:val="en-GB"/>
          </w:rPr>
          <w:t>International Day of Persons with Disabilities</w:t>
        </w:r>
      </w:hyperlink>
      <w:r>
        <w:rPr>
          <w:lang w:val="en-GB"/>
        </w:rPr>
        <w:t xml:space="preserve">, the European Commission released </w:t>
      </w:r>
      <w:r w:rsidR="00600BC4">
        <w:rPr>
          <w:b/>
          <w:lang w:val="en-GB"/>
        </w:rPr>
        <w:t>a</w:t>
      </w:r>
      <w:r w:rsidRPr="003A4519">
        <w:rPr>
          <w:b/>
          <w:lang w:val="en-GB"/>
        </w:rPr>
        <w:t xml:space="preserve"> proposal of European Accessibility Act</w:t>
      </w:r>
      <w:r w:rsidR="00600BC4">
        <w:rPr>
          <w:b/>
          <w:lang w:val="en-GB"/>
        </w:rPr>
        <w:t xml:space="preserve"> </w:t>
      </w:r>
      <w:r w:rsidR="00600BC4" w:rsidRPr="00600BC4">
        <w:rPr>
          <w:lang w:val="en-GB"/>
        </w:rPr>
        <w:t>(</w:t>
      </w:r>
      <w:r w:rsidR="00600BC4" w:rsidRPr="00600BC4">
        <w:rPr>
          <w:i/>
          <w:lang w:val="en-GB"/>
        </w:rPr>
        <w:t>Proposal for a Directive of the European Parliament and the Council on the approximation of the laws, regulations and administrative provisions of the Member States as regards the accessibility requirements for products and services</w:t>
      </w:r>
      <w:r w:rsidR="00600BC4" w:rsidRPr="00600BC4">
        <w:rPr>
          <w:lang w:val="en-GB"/>
        </w:rPr>
        <w:t>)</w:t>
      </w:r>
      <w:r w:rsidRPr="00600BC4">
        <w:rPr>
          <w:lang w:val="en-GB"/>
        </w:rPr>
        <w:t>.</w:t>
      </w:r>
      <w:r>
        <w:rPr>
          <w:lang w:val="en-GB"/>
        </w:rPr>
        <w:t xml:space="preserve"> The proposal will define common accessibility requirements </w:t>
      </w:r>
      <w:r w:rsidR="005F20DB">
        <w:rPr>
          <w:lang w:val="en-GB"/>
        </w:rPr>
        <w:t xml:space="preserve">for certain products and services. </w:t>
      </w:r>
    </w:p>
    <w:p w14:paraId="37F6D07A" w14:textId="78FB0E5D" w:rsidR="003A4519" w:rsidRDefault="005F20DB" w:rsidP="00600BC4">
      <w:pPr>
        <w:spacing w:line="240" w:lineRule="auto"/>
        <w:jc w:val="both"/>
        <w:rPr>
          <w:lang w:val="en-GB"/>
        </w:rPr>
      </w:pPr>
      <w:r>
        <w:rPr>
          <w:lang w:val="en-GB"/>
        </w:rPr>
        <w:t xml:space="preserve">The proposal targets </w:t>
      </w:r>
      <w:r w:rsidRPr="005F20DB">
        <w:rPr>
          <w:lang w:val="en-GB"/>
        </w:rPr>
        <w:t xml:space="preserve">ATMs and banking services, PCs, telephones and TV equipment, telephony and </w:t>
      </w:r>
      <w:proofErr w:type="spellStart"/>
      <w:r w:rsidRPr="005F20DB">
        <w:rPr>
          <w:lang w:val="en-GB"/>
        </w:rPr>
        <w:t>audiovisual</w:t>
      </w:r>
      <w:proofErr w:type="spellEnd"/>
      <w:r w:rsidRPr="005F20DB">
        <w:rPr>
          <w:lang w:val="en-GB"/>
        </w:rPr>
        <w:t xml:space="preserve"> services, transport, e-books and e-commerce</w:t>
      </w:r>
      <w:r>
        <w:rPr>
          <w:lang w:val="en-GB"/>
        </w:rPr>
        <w:t xml:space="preserve">. </w:t>
      </w:r>
    </w:p>
    <w:p w14:paraId="666276C8" w14:textId="10320A50" w:rsidR="00600BC4" w:rsidRDefault="005F20DB" w:rsidP="00600BC4">
      <w:pPr>
        <w:spacing w:line="240" w:lineRule="auto"/>
        <w:jc w:val="both"/>
        <w:rPr>
          <w:lang w:val="en-GB"/>
        </w:rPr>
      </w:pPr>
      <w:r>
        <w:rPr>
          <w:lang w:val="en-GB"/>
        </w:rPr>
        <w:t>According to the European Commission’s press release, “t</w:t>
      </w:r>
      <w:r w:rsidRPr="005F20DB">
        <w:rPr>
          <w:lang w:val="en-GB"/>
        </w:rPr>
        <w:t>he proposal for a Directive aims to improve the functioning of the internal market, making it easier for companies to provide accessible produ</w:t>
      </w:r>
      <w:r>
        <w:rPr>
          <w:lang w:val="en-GB"/>
        </w:rPr>
        <w:t xml:space="preserve">cts and services across borders”. </w:t>
      </w:r>
      <w:r w:rsidR="00600BC4">
        <w:rPr>
          <w:lang w:val="en-GB"/>
        </w:rPr>
        <w:t xml:space="preserve">It would guarantee </w:t>
      </w:r>
      <w:r w:rsidR="00600BC4" w:rsidRPr="00600BC4">
        <w:rPr>
          <w:lang w:val="en-GB"/>
        </w:rPr>
        <w:t>that persons with disabilities can access goods and services across the European Union on an equal basis with other citizens.</w:t>
      </w:r>
    </w:p>
    <w:p w14:paraId="4ED78160" w14:textId="2491B471" w:rsidR="00600BC4" w:rsidRDefault="00600BC4" w:rsidP="00600BC4">
      <w:pPr>
        <w:shd w:val="clear" w:color="auto" w:fill="D9D9D9" w:themeFill="background1" w:themeFillShade="D9"/>
        <w:spacing w:line="240" w:lineRule="auto"/>
        <w:jc w:val="both"/>
        <w:rPr>
          <w:lang w:val="en-GB"/>
        </w:rPr>
      </w:pPr>
      <w:r>
        <w:rPr>
          <w:lang w:val="en-GB"/>
        </w:rPr>
        <w:t xml:space="preserve">Read the </w:t>
      </w:r>
      <w:r w:rsidRPr="00600BC4">
        <w:rPr>
          <w:b/>
          <w:lang w:val="en-GB"/>
        </w:rPr>
        <w:t>press release</w:t>
      </w:r>
      <w:r>
        <w:rPr>
          <w:lang w:val="en-GB"/>
        </w:rPr>
        <w:t xml:space="preserve"> and the </w:t>
      </w:r>
      <w:r w:rsidRPr="00600BC4">
        <w:rPr>
          <w:b/>
          <w:lang w:val="en-GB"/>
        </w:rPr>
        <w:t xml:space="preserve">proposal of European Accessibility Act </w:t>
      </w:r>
      <w:hyperlink r:id="rId11" w:history="1">
        <w:r w:rsidRPr="00600BC4">
          <w:rPr>
            <w:rStyle w:val="Hyperlink"/>
            <w:lang w:val="en-GB"/>
          </w:rPr>
          <w:t>here</w:t>
        </w:r>
      </w:hyperlink>
      <w:r>
        <w:rPr>
          <w:lang w:val="en-GB"/>
        </w:rPr>
        <w:t xml:space="preserve">. </w:t>
      </w:r>
      <w:r>
        <w:rPr>
          <w:lang w:val="en-GB"/>
        </w:rPr>
        <w:tab/>
      </w:r>
      <w:r>
        <w:rPr>
          <w:lang w:val="en-GB"/>
        </w:rPr>
        <w:br/>
        <w:t xml:space="preserve">Read </w:t>
      </w:r>
      <w:r w:rsidRPr="00600BC4">
        <w:rPr>
          <w:b/>
          <w:lang w:val="en-GB"/>
        </w:rPr>
        <w:t>Equinet Perspective</w:t>
      </w:r>
      <w:r w:rsidRPr="00600BC4">
        <w:rPr>
          <w:lang w:val="en-GB"/>
        </w:rPr>
        <w:t xml:space="preserve"> </w:t>
      </w:r>
      <w:hyperlink r:id="rId12" w:history="1">
        <w:r w:rsidRPr="00600BC4">
          <w:rPr>
            <w:rStyle w:val="Hyperlink"/>
            <w:lang w:val="en-GB"/>
          </w:rPr>
          <w:t>"Realising Rights: Equality Bodies and People with Disabilities. Supporting the review of the European Union Disability Strategy 2010-2020"</w:t>
        </w:r>
      </w:hyperlink>
      <w:r>
        <w:rPr>
          <w:lang w:val="en-GB"/>
        </w:rPr>
        <w:t>.</w:t>
      </w:r>
    </w:p>
    <w:p w14:paraId="211D4C30" w14:textId="77777777" w:rsidR="00600BC4" w:rsidRPr="003A4519" w:rsidRDefault="00600BC4" w:rsidP="003A4519">
      <w:pPr>
        <w:jc w:val="both"/>
        <w:rPr>
          <w:lang w:val="en-GB"/>
        </w:rPr>
      </w:pPr>
    </w:p>
    <w:p w14:paraId="7A63598D" w14:textId="643C866C" w:rsidR="001E3E3E" w:rsidRDefault="000F19A7" w:rsidP="001E3E3E">
      <w:pPr>
        <w:pStyle w:val="Heading2"/>
        <w:rPr>
          <w:lang w:val="en-GB"/>
        </w:rPr>
      </w:pPr>
      <w:bookmarkStart w:id="7" w:name="_Ref437595729"/>
      <w:r>
        <w:rPr>
          <w:lang w:val="en-GB"/>
        </w:rPr>
        <w:t>HIGHLIGHT 2</w:t>
      </w:r>
      <w:r w:rsidR="001E3E3E">
        <w:rPr>
          <w:lang w:val="en-GB"/>
        </w:rPr>
        <w:t xml:space="preserve"> – The European Commission launches public consultation on work life balance (Deadline: 17 February)</w:t>
      </w:r>
      <w:bookmarkEnd w:id="7"/>
    </w:p>
    <w:p w14:paraId="2EB702F8" w14:textId="00FDC1B8" w:rsidR="000F19A7" w:rsidRDefault="001E3E3E" w:rsidP="001E3E3E">
      <w:pPr>
        <w:jc w:val="both"/>
        <w:rPr>
          <w:lang w:val="en-GB"/>
        </w:rPr>
      </w:pPr>
      <w:r>
        <w:rPr>
          <w:noProof/>
          <w:lang w:eastAsia="fr-BE"/>
        </w:rPr>
        <w:drawing>
          <wp:anchor distT="0" distB="0" distL="114300" distR="114300" simplePos="0" relativeHeight="251659264" behindDoc="0" locked="0" layoutInCell="1" allowOverlap="1" wp14:anchorId="1C72DBB8" wp14:editId="5E586885">
            <wp:simplePos x="0" y="0"/>
            <wp:positionH relativeFrom="margin">
              <wp:align>right</wp:align>
            </wp:positionH>
            <wp:positionV relativeFrom="margin">
              <wp:posOffset>4458335</wp:posOffset>
            </wp:positionV>
            <wp:extent cx="2139950" cy="1203960"/>
            <wp:effectExtent l="0" t="0" r="0" b="0"/>
            <wp:wrapSquare wrapText="bothSides"/>
            <wp:docPr id="3" name="Picture 3" descr="https://media.licdn.com/mpr/mpr/p/3/005/096/33b/0089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licdn.com/mpr/mpr/p/3/005/096/33b/0089f1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203960"/>
                    </a:xfrm>
                    <a:prstGeom prst="rect">
                      <a:avLst/>
                    </a:prstGeom>
                    <a:noFill/>
                    <a:ln>
                      <a:noFill/>
                    </a:ln>
                  </pic:spPr>
                </pic:pic>
              </a:graphicData>
            </a:graphic>
          </wp:anchor>
        </w:drawing>
      </w:r>
      <w:r>
        <w:rPr>
          <w:lang w:val="en-GB"/>
        </w:rPr>
        <w:br/>
        <w:t xml:space="preserve">In November 2015, the European Commission launched </w:t>
      </w:r>
      <w:r w:rsidRPr="001E3E3E">
        <w:rPr>
          <w:b/>
          <w:lang w:val="en-GB"/>
        </w:rPr>
        <w:t>a public consultation on possible action addressing the challenges of work-life balance faced by working parents and caregivers</w:t>
      </w:r>
      <w:r>
        <w:rPr>
          <w:lang w:val="en-GB"/>
        </w:rPr>
        <w:t xml:space="preserve">. The consultation is available in the 23 European languages. Contributions from all citizens, public authorities and organisations are welcome until </w:t>
      </w:r>
      <w:r w:rsidRPr="001E3E3E">
        <w:rPr>
          <w:b/>
          <w:lang w:val="en-GB"/>
        </w:rPr>
        <w:t>17 February 2015</w:t>
      </w:r>
      <w:r>
        <w:rPr>
          <w:lang w:val="en-GB"/>
        </w:rPr>
        <w:t>.</w:t>
      </w:r>
    </w:p>
    <w:p w14:paraId="4B5C7DA7" w14:textId="4E8C35B4" w:rsidR="001E3E3E" w:rsidRDefault="001E3E3E" w:rsidP="001E3E3E">
      <w:pPr>
        <w:jc w:val="both"/>
        <w:rPr>
          <w:lang w:val="en-GB"/>
        </w:rPr>
      </w:pPr>
      <w:r w:rsidRPr="001E3E3E">
        <w:rPr>
          <w:lang w:val="en-GB"/>
        </w:rPr>
        <w:t xml:space="preserve">The consultation is linked to the </w:t>
      </w:r>
      <w:hyperlink r:id="rId14" w:history="1">
        <w:r w:rsidRPr="001E3E3E">
          <w:rPr>
            <w:rStyle w:val="Hyperlink"/>
            <w:lang w:val="en-GB"/>
          </w:rPr>
          <w:t>European Commission Roadmap on Work Life Balance</w:t>
        </w:r>
      </w:hyperlink>
      <w:r>
        <w:rPr>
          <w:lang w:val="en-GB"/>
        </w:rPr>
        <w:t xml:space="preserve">, which has been issued following the withdrawn of the proposal of EU Maternity Leave Directive in February 2015 (more information is available on </w:t>
      </w:r>
      <w:proofErr w:type="spellStart"/>
      <w:r>
        <w:rPr>
          <w:lang w:val="en-GB"/>
        </w:rPr>
        <w:t>Equinet’s</w:t>
      </w:r>
      <w:proofErr w:type="spellEnd"/>
      <w:r>
        <w:rPr>
          <w:lang w:val="en-GB"/>
        </w:rPr>
        <w:t xml:space="preserve"> website). </w:t>
      </w:r>
    </w:p>
    <w:p w14:paraId="00AE8D8A" w14:textId="0AFC4ED9" w:rsidR="001E3E3E" w:rsidRDefault="001E3E3E" w:rsidP="001E3E3E">
      <w:pPr>
        <w:jc w:val="both"/>
        <w:rPr>
          <w:lang w:val="en-GB"/>
        </w:rPr>
      </w:pPr>
      <w:r w:rsidRPr="001E3E3E">
        <w:rPr>
          <w:lang w:val="en-GB"/>
        </w:rPr>
        <w:t xml:space="preserve">We strongly encourage you to contribute to the consultation in order to make sure that </w:t>
      </w:r>
      <w:r w:rsidRPr="001E3E3E">
        <w:rPr>
          <w:b/>
          <w:lang w:val="en-GB"/>
        </w:rPr>
        <w:t>equality bodies are taken into account</w:t>
      </w:r>
      <w:r w:rsidRPr="001E3E3E">
        <w:rPr>
          <w:lang w:val="en-GB"/>
        </w:rPr>
        <w:t xml:space="preserve"> in any future actions which could be planned by the European Commission.</w:t>
      </w:r>
    </w:p>
    <w:p w14:paraId="0C7077DC" w14:textId="034DE3F3" w:rsidR="00CF0EF7" w:rsidRDefault="00CF0EF7" w:rsidP="001E3E3E">
      <w:pPr>
        <w:jc w:val="both"/>
        <w:rPr>
          <w:lang w:val="en-GB"/>
        </w:rPr>
      </w:pPr>
      <w:r w:rsidRPr="00CF0EF7">
        <w:rPr>
          <w:b/>
          <w:lang w:val="en-GB"/>
        </w:rPr>
        <w:t>Please let us know if you are planning to send a contribution.</w:t>
      </w:r>
      <w:r w:rsidRPr="00CF0EF7">
        <w:rPr>
          <w:lang w:val="en-GB"/>
        </w:rPr>
        <w:t xml:space="preserve"> We would be also very happy to receive your draft contribution or, if written in your national language, a summary of the key messages you conveyed to the European Commission. In any case, the Equinet Secretariat remains at your disposal in case you need </w:t>
      </w:r>
      <w:r>
        <w:rPr>
          <w:lang w:val="en-GB"/>
        </w:rPr>
        <w:t>assistance and more information. Please contact Jessica Machacova, Equinet Project Officer (</w:t>
      </w:r>
      <w:hyperlink r:id="rId15" w:history="1">
        <w:r w:rsidRPr="00293610">
          <w:rPr>
            <w:rStyle w:val="Hyperlink"/>
            <w:lang w:val="en-GB"/>
          </w:rPr>
          <w:t>Jessica.machacova@equineteurope.org</w:t>
        </w:r>
      </w:hyperlink>
      <w:r>
        <w:rPr>
          <w:lang w:val="en-GB"/>
        </w:rPr>
        <w:t xml:space="preserve"> / 0032 212 31 80). </w:t>
      </w:r>
    </w:p>
    <w:p w14:paraId="28BDE0BD" w14:textId="77777777" w:rsidR="00DF3AA3" w:rsidRDefault="00CF0EF7" w:rsidP="00672EAA">
      <w:pPr>
        <w:shd w:val="clear" w:color="auto" w:fill="D9D9D9" w:themeFill="background1" w:themeFillShade="D9"/>
        <w:jc w:val="both"/>
        <w:rPr>
          <w:rStyle w:val="Hyperlink"/>
          <w:lang w:val="en-GB"/>
        </w:rPr>
      </w:pPr>
      <w:r>
        <w:rPr>
          <w:lang w:val="en-GB"/>
        </w:rPr>
        <w:t xml:space="preserve">The </w:t>
      </w:r>
      <w:r w:rsidRPr="00CF0EF7">
        <w:rPr>
          <w:b/>
          <w:lang w:val="en-GB"/>
        </w:rPr>
        <w:t>public consultation</w:t>
      </w:r>
      <w:r>
        <w:rPr>
          <w:lang w:val="en-GB"/>
        </w:rPr>
        <w:t xml:space="preserve"> is available </w:t>
      </w:r>
      <w:hyperlink r:id="rId16" w:history="1">
        <w:r w:rsidRPr="00CF0EF7">
          <w:rPr>
            <w:rStyle w:val="Hyperlink"/>
            <w:lang w:val="en-GB"/>
          </w:rPr>
          <w:t>here</w:t>
        </w:r>
      </w:hyperlink>
      <w:r>
        <w:rPr>
          <w:lang w:val="en-GB"/>
        </w:rPr>
        <w:t xml:space="preserve">. </w:t>
      </w:r>
      <w:r>
        <w:rPr>
          <w:lang w:val="en-GB"/>
        </w:rPr>
        <w:tab/>
      </w:r>
      <w:r>
        <w:rPr>
          <w:lang w:val="en-GB"/>
        </w:rPr>
        <w:br/>
        <w:t xml:space="preserve">Read </w:t>
      </w:r>
      <w:r w:rsidRPr="00CF0EF7">
        <w:rPr>
          <w:b/>
          <w:lang w:val="en-GB"/>
        </w:rPr>
        <w:t>Equinet</w:t>
      </w:r>
      <w:r>
        <w:rPr>
          <w:lang w:val="en-GB"/>
        </w:rPr>
        <w:t xml:space="preserve"> </w:t>
      </w:r>
      <w:r w:rsidRPr="00CF0EF7">
        <w:rPr>
          <w:b/>
          <w:lang w:val="en-GB"/>
        </w:rPr>
        <w:t>Perspective</w:t>
      </w:r>
      <w:r>
        <w:rPr>
          <w:lang w:val="en-GB"/>
        </w:rPr>
        <w:t xml:space="preserve"> </w:t>
      </w:r>
      <w:hyperlink r:id="rId17" w:history="1">
        <w:r w:rsidRPr="00CF0EF7">
          <w:rPr>
            <w:rStyle w:val="Hyperlink"/>
            <w:lang w:val="en-GB"/>
          </w:rPr>
          <w:t>“Equality bodies promoting a better work life balance for all”</w:t>
        </w:r>
      </w:hyperlink>
      <w:bookmarkStart w:id="8" w:name="_Toc418770746"/>
      <w:bookmarkStart w:id="9" w:name="_Ref418784288"/>
      <w:bookmarkStart w:id="10" w:name="_Ref421267472"/>
    </w:p>
    <w:p w14:paraId="54158D4D" w14:textId="2ABB179A" w:rsidR="00F93FE2" w:rsidRPr="00672EAA" w:rsidRDefault="00F93FE2" w:rsidP="00DF3AA3">
      <w:pPr>
        <w:pBdr>
          <w:bottom w:val="dotted" w:sz="36" w:space="1" w:color="auto"/>
        </w:pBdr>
        <w:jc w:val="both"/>
        <w:rPr>
          <w:lang w:val="en-GB"/>
        </w:rPr>
      </w:pPr>
    </w:p>
    <w:p w14:paraId="49F8ACD8" w14:textId="4355F7F0" w:rsidR="00A73FA9" w:rsidRPr="008F06E9" w:rsidRDefault="00A73FA9" w:rsidP="008F06E9">
      <w:pPr>
        <w:pStyle w:val="Heading1"/>
        <w:shd w:val="clear" w:color="auto" w:fill="3F897D"/>
        <w:spacing w:line="240" w:lineRule="auto"/>
        <w:rPr>
          <w:color w:val="FFFFFF" w:themeColor="background1"/>
          <w:lang w:val="en-GB"/>
        </w:rPr>
      </w:pPr>
      <w:bookmarkStart w:id="11" w:name="_Ref437595731"/>
      <w:r w:rsidRPr="008F06E9">
        <w:rPr>
          <w:color w:val="FFFFFF" w:themeColor="background1"/>
          <w:lang w:val="en-GB"/>
        </w:rPr>
        <w:lastRenderedPageBreak/>
        <w:t>Thematic Policy Developments</w:t>
      </w:r>
      <w:bookmarkEnd w:id="8"/>
      <w:bookmarkEnd w:id="9"/>
      <w:bookmarkEnd w:id="10"/>
      <w:bookmarkEnd w:id="11"/>
    </w:p>
    <w:p w14:paraId="640BC41E" w14:textId="77777777" w:rsidR="00A73FA9" w:rsidRPr="006075A4" w:rsidRDefault="00A73FA9" w:rsidP="000263B4">
      <w:pPr>
        <w:spacing w:line="240" w:lineRule="auto"/>
        <w:rPr>
          <w:lang w:val="en-GB"/>
        </w:rPr>
      </w:pPr>
    </w:p>
    <w:p w14:paraId="3B759E89" w14:textId="77777777" w:rsidR="004B78B6" w:rsidRDefault="00C842B1" w:rsidP="00551D13">
      <w:pPr>
        <w:pStyle w:val="Heading2"/>
        <w:pBdr>
          <w:top w:val="dotted" w:sz="4" w:space="1" w:color="auto"/>
          <w:bottom w:val="dotted" w:sz="4" w:space="1" w:color="auto"/>
        </w:pBdr>
        <w:spacing w:line="240" w:lineRule="auto"/>
        <w:jc w:val="center"/>
        <w:rPr>
          <w:lang w:val="en-GB"/>
        </w:rPr>
      </w:pPr>
      <w:bookmarkStart w:id="12" w:name="_Ref421267521"/>
      <w:bookmarkStart w:id="13" w:name="_Toc418770747"/>
      <w:bookmarkStart w:id="14" w:name="_Ref418784309"/>
      <w:r w:rsidRPr="006075A4">
        <w:rPr>
          <w:lang w:val="en-GB"/>
        </w:rPr>
        <w:t>General information</w:t>
      </w:r>
      <w:bookmarkEnd w:id="12"/>
    </w:p>
    <w:p w14:paraId="519DFDDC" w14:textId="77777777" w:rsidR="004B78B6" w:rsidRDefault="004B78B6" w:rsidP="004B78B6">
      <w:pPr>
        <w:rPr>
          <w:lang w:val="en-GB"/>
        </w:rPr>
      </w:pPr>
    </w:p>
    <w:p w14:paraId="326F9116" w14:textId="12DAB45E" w:rsidR="000515A0" w:rsidRDefault="004B78B6" w:rsidP="004B78B6">
      <w:pPr>
        <w:pStyle w:val="ListParagraph"/>
        <w:numPr>
          <w:ilvl w:val="0"/>
          <w:numId w:val="32"/>
        </w:numPr>
        <w:rPr>
          <w:b/>
          <w:lang w:val="en-GB"/>
        </w:rPr>
      </w:pPr>
      <w:r w:rsidRPr="004B78B6">
        <w:rPr>
          <w:b/>
          <w:sz w:val="24"/>
          <w:lang w:val="en-GB"/>
        </w:rPr>
        <w:t>10</w:t>
      </w:r>
      <w:r w:rsidRPr="004B78B6">
        <w:rPr>
          <w:b/>
          <w:sz w:val="24"/>
          <w:vertAlign w:val="superscript"/>
          <w:lang w:val="en-GB"/>
        </w:rPr>
        <w:t>th</w:t>
      </w:r>
      <w:r w:rsidR="0067555F">
        <w:rPr>
          <w:b/>
          <w:sz w:val="24"/>
          <w:lang w:val="en-GB"/>
        </w:rPr>
        <w:t xml:space="preserve">  December is </w:t>
      </w:r>
      <w:r w:rsidRPr="004B78B6">
        <w:rPr>
          <w:b/>
          <w:sz w:val="24"/>
          <w:lang w:val="en-GB"/>
        </w:rPr>
        <w:t>Human Rights Day</w:t>
      </w:r>
    </w:p>
    <w:p w14:paraId="049E88CE" w14:textId="53D1D744" w:rsidR="004B78B6" w:rsidRDefault="004B78B6" w:rsidP="004B78B6">
      <w:pPr>
        <w:jc w:val="both"/>
        <w:rPr>
          <w:lang w:val="en-GB"/>
        </w:rPr>
      </w:pPr>
      <w:r w:rsidRPr="004B78B6">
        <w:rPr>
          <w:lang w:val="en-GB"/>
        </w:rPr>
        <w:t>Since 1950, the United Nations’ countries observe 10</w:t>
      </w:r>
      <w:r w:rsidRPr="004B78B6">
        <w:rPr>
          <w:vertAlign w:val="superscript"/>
          <w:lang w:val="en-GB"/>
        </w:rPr>
        <w:t>th</w:t>
      </w:r>
      <w:r w:rsidR="0067555F">
        <w:rPr>
          <w:lang w:val="en-GB"/>
        </w:rPr>
        <w:t xml:space="preserve"> December each year as</w:t>
      </w:r>
      <w:r>
        <w:rPr>
          <w:lang w:val="en-GB"/>
        </w:rPr>
        <w:t xml:space="preserve"> </w:t>
      </w:r>
      <w:r w:rsidRPr="004B78B6">
        <w:rPr>
          <w:b/>
          <w:lang w:val="en-GB"/>
        </w:rPr>
        <w:t>Human Rights Day</w:t>
      </w:r>
      <w:r w:rsidRPr="004B78B6">
        <w:rPr>
          <w:lang w:val="en-GB"/>
        </w:rPr>
        <w:t xml:space="preserve">. </w:t>
      </w:r>
      <w:r>
        <w:rPr>
          <w:lang w:val="en-GB"/>
        </w:rPr>
        <w:t>This year, it will mark the launch of the one-year UN campaign on the 50</w:t>
      </w:r>
      <w:r w:rsidRPr="004B78B6">
        <w:rPr>
          <w:vertAlign w:val="superscript"/>
          <w:lang w:val="en-GB"/>
        </w:rPr>
        <w:t>th</w:t>
      </w:r>
      <w:r>
        <w:rPr>
          <w:lang w:val="en-GB"/>
        </w:rPr>
        <w:t xml:space="preserve"> anniversary of the </w:t>
      </w:r>
      <w:r w:rsidRPr="004B78B6">
        <w:rPr>
          <w:b/>
          <w:lang w:val="en-GB"/>
        </w:rPr>
        <w:t>International Covenant on Economic, Social and Cultural Rights</w:t>
      </w:r>
      <w:r>
        <w:rPr>
          <w:lang w:val="en-GB"/>
        </w:rPr>
        <w:t xml:space="preserve"> and the </w:t>
      </w:r>
      <w:r w:rsidRPr="004B78B6">
        <w:rPr>
          <w:b/>
          <w:lang w:val="en-GB"/>
        </w:rPr>
        <w:t>International Covenant on Civil and Political Rights</w:t>
      </w:r>
      <w:r>
        <w:rPr>
          <w:lang w:val="en-GB"/>
        </w:rPr>
        <w:t xml:space="preserve">. </w:t>
      </w:r>
    </w:p>
    <w:p w14:paraId="71EFB465" w14:textId="2AA25FF5" w:rsidR="004B78B6" w:rsidRPr="004B78B6" w:rsidRDefault="004B78B6" w:rsidP="004B78B6">
      <w:pPr>
        <w:shd w:val="clear" w:color="auto" w:fill="D9D9D9" w:themeFill="background1" w:themeFillShade="D9"/>
        <w:jc w:val="both"/>
        <w:rPr>
          <w:b/>
          <w:lang w:val="en-GB"/>
        </w:rPr>
      </w:pPr>
      <w:r w:rsidRPr="004B78B6">
        <w:rPr>
          <w:b/>
          <w:lang w:val="en-GB"/>
        </w:rPr>
        <w:t>More information</w:t>
      </w:r>
      <w:r w:rsidR="0067555F">
        <w:rPr>
          <w:b/>
          <w:lang w:val="en-GB"/>
        </w:rPr>
        <w:t xml:space="preserve"> about </w:t>
      </w:r>
      <w:r>
        <w:rPr>
          <w:b/>
          <w:lang w:val="en-GB"/>
        </w:rPr>
        <w:t>Human Rights Day</w:t>
      </w:r>
      <w:r w:rsidRPr="004B78B6">
        <w:rPr>
          <w:b/>
          <w:lang w:val="en-GB"/>
        </w:rPr>
        <w:t xml:space="preserve"> is available </w:t>
      </w:r>
      <w:hyperlink r:id="rId18" w:history="1">
        <w:r w:rsidRPr="004B78B6">
          <w:rPr>
            <w:rStyle w:val="Hyperlink"/>
            <w:b/>
            <w:lang w:val="en-GB"/>
          </w:rPr>
          <w:t>here</w:t>
        </w:r>
      </w:hyperlink>
      <w:r w:rsidRPr="004B78B6">
        <w:rPr>
          <w:b/>
          <w:lang w:val="en-GB"/>
        </w:rPr>
        <w:t xml:space="preserve">. </w:t>
      </w:r>
    </w:p>
    <w:p w14:paraId="68A7E0B8" w14:textId="52866D87" w:rsidR="004B78B6" w:rsidRDefault="004B78B6" w:rsidP="00551D13">
      <w:pPr>
        <w:spacing w:line="240" w:lineRule="auto"/>
        <w:jc w:val="both"/>
        <w:rPr>
          <w:rFonts w:ascii="Calibri" w:eastAsia="Calibri" w:hAnsi="Calibri" w:cs="Times New Roman"/>
          <w:lang w:val="en-GB"/>
        </w:rPr>
      </w:pPr>
      <w:r>
        <w:rPr>
          <w:rFonts w:ascii="Calibri" w:eastAsia="Calibri" w:hAnsi="Calibri" w:cs="Times New Roman"/>
          <w:noProof/>
          <w:lang w:eastAsia="fr-BE"/>
        </w:rPr>
        <w:drawing>
          <wp:anchor distT="0" distB="0" distL="114300" distR="114300" simplePos="0" relativeHeight="251660288" behindDoc="0" locked="0" layoutInCell="1" allowOverlap="1" wp14:anchorId="016A87DD" wp14:editId="6028C8CF">
            <wp:simplePos x="0" y="0"/>
            <wp:positionH relativeFrom="margin">
              <wp:align>right</wp:align>
            </wp:positionH>
            <wp:positionV relativeFrom="margin">
              <wp:posOffset>2298065</wp:posOffset>
            </wp:positionV>
            <wp:extent cx="1895475" cy="8763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5475" cy="876300"/>
                    </a:xfrm>
                    <a:prstGeom prst="rect">
                      <a:avLst/>
                    </a:prstGeom>
                    <a:noFill/>
                    <a:ln>
                      <a:noFill/>
                    </a:ln>
                  </pic:spPr>
                </pic:pic>
              </a:graphicData>
            </a:graphic>
          </wp:anchor>
        </w:drawing>
      </w:r>
      <w:r>
        <w:rPr>
          <w:rFonts w:ascii="Calibri" w:eastAsia="Calibri" w:hAnsi="Calibri" w:cs="Times New Roman"/>
          <w:lang w:val="en-GB"/>
        </w:rPr>
        <w:t xml:space="preserve">On this occasion, the No Hate Speech Movement is organising a </w:t>
      </w:r>
      <w:r w:rsidRPr="004B78B6">
        <w:rPr>
          <w:rFonts w:ascii="Calibri" w:eastAsia="Calibri" w:hAnsi="Calibri" w:cs="Times New Roman"/>
          <w:b/>
          <w:lang w:val="en-GB"/>
        </w:rPr>
        <w:t>European Action Day for Human Rights Online</w:t>
      </w:r>
      <w:r>
        <w:rPr>
          <w:rFonts w:ascii="Calibri" w:eastAsia="Calibri" w:hAnsi="Calibri" w:cs="Times New Roman"/>
          <w:lang w:val="en-GB"/>
        </w:rPr>
        <w:t>. A set of 6 actions is proposed on the Movement’s website, including signing a petition to make 22</w:t>
      </w:r>
      <w:r w:rsidRPr="004B78B6">
        <w:rPr>
          <w:rFonts w:ascii="Calibri" w:eastAsia="Calibri" w:hAnsi="Calibri" w:cs="Times New Roman"/>
          <w:vertAlign w:val="superscript"/>
          <w:lang w:val="en-GB"/>
        </w:rPr>
        <w:t>nd</w:t>
      </w:r>
      <w:r>
        <w:rPr>
          <w:rFonts w:ascii="Calibri" w:eastAsia="Calibri" w:hAnsi="Calibri" w:cs="Times New Roman"/>
          <w:lang w:val="en-GB"/>
        </w:rPr>
        <w:t xml:space="preserve"> July a European Day </w:t>
      </w:r>
      <w:r w:rsidR="00551D13">
        <w:rPr>
          <w:rFonts w:ascii="Calibri" w:eastAsia="Calibri" w:hAnsi="Calibri" w:cs="Times New Roman"/>
          <w:lang w:val="en-GB"/>
        </w:rPr>
        <w:t xml:space="preserve">commemorating victims of hate crime and reporting hate speech case to their Hate Speech Watch. </w:t>
      </w:r>
    </w:p>
    <w:p w14:paraId="70FEB567" w14:textId="5BC484DD" w:rsidR="004B78B6" w:rsidRPr="00551D13" w:rsidRDefault="00551D13" w:rsidP="00551D13">
      <w:pPr>
        <w:pStyle w:val="NoSpacing"/>
        <w:shd w:val="clear" w:color="auto" w:fill="D9D9D9" w:themeFill="background1" w:themeFillShade="D9"/>
        <w:rPr>
          <w:b/>
          <w:lang w:val="en-GB"/>
        </w:rPr>
      </w:pPr>
      <w:r w:rsidRPr="00551D13">
        <w:rPr>
          <w:b/>
          <w:lang w:val="en-GB"/>
        </w:rPr>
        <w:t xml:space="preserve">The list of actions is available </w:t>
      </w:r>
      <w:hyperlink r:id="rId20" w:history="1">
        <w:r w:rsidRPr="00551D13">
          <w:rPr>
            <w:rStyle w:val="Hyperlink"/>
            <w:b/>
            <w:lang w:val="en-GB"/>
          </w:rPr>
          <w:t>here</w:t>
        </w:r>
      </w:hyperlink>
      <w:r w:rsidRPr="00551D13">
        <w:rPr>
          <w:b/>
          <w:lang w:val="en-GB"/>
        </w:rPr>
        <w:t xml:space="preserve">. </w:t>
      </w:r>
    </w:p>
    <w:p w14:paraId="10F4AC06" w14:textId="77777777" w:rsidR="004B78B6" w:rsidRPr="00551D13" w:rsidRDefault="004B78B6" w:rsidP="00551D13">
      <w:pPr>
        <w:spacing w:line="240" w:lineRule="auto"/>
        <w:jc w:val="both"/>
        <w:rPr>
          <w:rFonts w:ascii="Helvetica" w:eastAsia="Times New Roman" w:hAnsi="Helvetica" w:cs="Helvetica"/>
          <w:color w:val="333333"/>
          <w:sz w:val="23"/>
          <w:szCs w:val="23"/>
          <w:lang w:val="en-GB"/>
        </w:rPr>
      </w:pPr>
    </w:p>
    <w:p w14:paraId="15782CBC" w14:textId="67A3D508" w:rsidR="004B78B6" w:rsidRPr="00551D13" w:rsidRDefault="00551D13" w:rsidP="00551D13">
      <w:pPr>
        <w:pStyle w:val="ListParagraph"/>
        <w:numPr>
          <w:ilvl w:val="0"/>
          <w:numId w:val="32"/>
        </w:numPr>
        <w:rPr>
          <w:b/>
          <w:sz w:val="24"/>
          <w:lang w:val="en-US"/>
        </w:rPr>
      </w:pPr>
      <w:r w:rsidRPr="00551D13">
        <w:rPr>
          <w:b/>
          <w:sz w:val="24"/>
          <w:lang w:val="en-US"/>
        </w:rPr>
        <w:t>The EU Victims’ Rights Directive entered into force on 16</w:t>
      </w:r>
      <w:r w:rsidRPr="00551D13">
        <w:rPr>
          <w:b/>
          <w:sz w:val="24"/>
          <w:vertAlign w:val="superscript"/>
          <w:lang w:val="en-US"/>
        </w:rPr>
        <w:t>th</w:t>
      </w:r>
      <w:r w:rsidRPr="00551D13">
        <w:rPr>
          <w:b/>
          <w:sz w:val="24"/>
          <w:lang w:val="en-US"/>
        </w:rPr>
        <w:t xml:space="preserve"> November 2015</w:t>
      </w:r>
    </w:p>
    <w:p w14:paraId="133094B6" w14:textId="3D8EE075" w:rsidR="00551D13" w:rsidRDefault="00551D13" w:rsidP="00551D13">
      <w:pPr>
        <w:jc w:val="both"/>
        <w:rPr>
          <w:lang w:val="en-US"/>
        </w:rPr>
      </w:pPr>
      <w:r>
        <w:rPr>
          <w:lang w:val="en-US"/>
        </w:rPr>
        <w:t xml:space="preserve">Three years after its adoption, the </w:t>
      </w:r>
      <w:hyperlink r:id="rId21" w:history="1">
        <w:r w:rsidRPr="00551D13">
          <w:rPr>
            <w:rStyle w:val="Hyperlink"/>
            <w:b/>
            <w:lang w:val="en-US"/>
          </w:rPr>
          <w:t>EU Victims’ Rights Directive</w:t>
        </w:r>
      </w:hyperlink>
      <w:r>
        <w:rPr>
          <w:lang w:val="en-US"/>
        </w:rPr>
        <w:t xml:space="preserve"> entered into force on 16</w:t>
      </w:r>
      <w:r w:rsidRPr="00551D13">
        <w:rPr>
          <w:vertAlign w:val="superscript"/>
          <w:lang w:val="en-US"/>
        </w:rPr>
        <w:t>th</w:t>
      </w:r>
      <w:r>
        <w:rPr>
          <w:lang w:val="en-US"/>
        </w:rPr>
        <w:t xml:space="preserve"> November, date until which EU Member States had to transpose it into their national laws. </w:t>
      </w:r>
    </w:p>
    <w:p w14:paraId="55CCB2E2" w14:textId="1DE92B01" w:rsidR="00551D13" w:rsidRDefault="00551D13" w:rsidP="00551D13">
      <w:pPr>
        <w:jc w:val="both"/>
        <w:rPr>
          <w:lang w:val="en-US"/>
        </w:rPr>
      </w:pPr>
      <w:r>
        <w:rPr>
          <w:lang w:val="en-US"/>
        </w:rPr>
        <w:t xml:space="preserve">The European Commission is currently monitoring the implementation of the Directive and will take further steps if the provisions are not transposed correctly. </w:t>
      </w:r>
    </w:p>
    <w:p w14:paraId="15238BCC" w14:textId="4D7E1DDC" w:rsidR="00551D13" w:rsidRPr="00551D13" w:rsidRDefault="00551D13" w:rsidP="00551D13">
      <w:pPr>
        <w:shd w:val="clear" w:color="auto" w:fill="D9D9D9" w:themeFill="background1" w:themeFillShade="D9"/>
        <w:jc w:val="both"/>
        <w:rPr>
          <w:b/>
          <w:lang w:val="en-US"/>
        </w:rPr>
      </w:pPr>
      <w:r w:rsidRPr="00551D13">
        <w:rPr>
          <w:b/>
          <w:lang w:val="en-US"/>
        </w:rPr>
        <w:t xml:space="preserve">More information is available </w:t>
      </w:r>
      <w:hyperlink r:id="rId22" w:history="1">
        <w:r w:rsidRPr="00551D13">
          <w:rPr>
            <w:rStyle w:val="Hyperlink"/>
            <w:b/>
            <w:lang w:val="en-US"/>
          </w:rPr>
          <w:t>here</w:t>
        </w:r>
      </w:hyperlink>
      <w:r w:rsidRPr="00551D13">
        <w:rPr>
          <w:b/>
          <w:lang w:val="en-US"/>
        </w:rPr>
        <w:t xml:space="preserve">. </w:t>
      </w:r>
    </w:p>
    <w:p w14:paraId="0ED6F205" w14:textId="77777777" w:rsidR="00551D13" w:rsidRDefault="00551D13" w:rsidP="00551D13">
      <w:pPr>
        <w:rPr>
          <w:lang w:val="en-US"/>
        </w:rPr>
      </w:pPr>
    </w:p>
    <w:p w14:paraId="670F6BE7" w14:textId="214E112A" w:rsidR="00551D13" w:rsidRDefault="00551D13" w:rsidP="00551D13">
      <w:pPr>
        <w:pStyle w:val="Heading2"/>
        <w:pBdr>
          <w:top w:val="dotted" w:sz="4" w:space="1" w:color="auto"/>
          <w:bottom w:val="dotted" w:sz="4" w:space="1" w:color="auto"/>
        </w:pBdr>
        <w:jc w:val="center"/>
        <w:rPr>
          <w:lang w:val="en-US"/>
        </w:rPr>
      </w:pPr>
      <w:bookmarkStart w:id="15" w:name="_Ref421267526"/>
      <w:r w:rsidRPr="006075A4">
        <w:rPr>
          <w:lang w:val="en-GB"/>
        </w:rPr>
        <w:t>Gender Equality</w:t>
      </w:r>
      <w:bookmarkEnd w:id="15"/>
    </w:p>
    <w:p w14:paraId="55AB5EB3" w14:textId="77777777" w:rsidR="00551D13" w:rsidRDefault="00551D13" w:rsidP="00551D13">
      <w:pPr>
        <w:rPr>
          <w:lang w:val="en-US"/>
        </w:rPr>
      </w:pPr>
    </w:p>
    <w:p w14:paraId="3268A669" w14:textId="79CF8869" w:rsidR="00322BF8" w:rsidRDefault="00322BF8" w:rsidP="00322BF8">
      <w:pPr>
        <w:pStyle w:val="ListParagraph"/>
        <w:numPr>
          <w:ilvl w:val="0"/>
          <w:numId w:val="32"/>
        </w:numPr>
        <w:rPr>
          <w:b/>
          <w:sz w:val="24"/>
          <w:lang w:val="en-US"/>
        </w:rPr>
      </w:pPr>
      <w:r w:rsidRPr="00322BF8">
        <w:rPr>
          <w:b/>
          <w:sz w:val="24"/>
          <w:lang w:val="en-US"/>
        </w:rPr>
        <w:t>International Day for the Elimination of Violence against Women, 25</w:t>
      </w:r>
      <w:r w:rsidRPr="00322BF8">
        <w:rPr>
          <w:b/>
          <w:sz w:val="24"/>
          <w:vertAlign w:val="superscript"/>
          <w:lang w:val="en-US"/>
        </w:rPr>
        <w:t>th</w:t>
      </w:r>
      <w:r>
        <w:rPr>
          <w:b/>
          <w:sz w:val="24"/>
          <w:lang w:val="en-US"/>
        </w:rPr>
        <w:t xml:space="preserve"> </w:t>
      </w:r>
      <w:r w:rsidRPr="00322BF8">
        <w:rPr>
          <w:b/>
          <w:sz w:val="24"/>
          <w:lang w:val="en-US"/>
        </w:rPr>
        <w:t>November 2015</w:t>
      </w:r>
    </w:p>
    <w:p w14:paraId="0353251A" w14:textId="35F91ADB" w:rsidR="00322BF8" w:rsidRDefault="00322BF8" w:rsidP="00322BF8">
      <w:pPr>
        <w:jc w:val="both"/>
        <w:rPr>
          <w:lang w:val="en-US"/>
        </w:rPr>
      </w:pPr>
      <w:r w:rsidRPr="00DA64B5">
        <w:rPr>
          <w:i/>
          <w:lang w:val="en-US"/>
        </w:rPr>
        <w:t>The European Commission publishes joint statement of EU Commissioners</w:t>
      </w:r>
      <w:r w:rsidRPr="00DA64B5">
        <w:rPr>
          <w:i/>
          <w:lang w:val="en-US"/>
        </w:rPr>
        <w:tab/>
      </w:r>
      <w:r w:rsidRPr="00DA64B5">
        <w:rPr>
          <w:i/>
          <w:lang w:val="en-US"/>
        </w:rPr>
        <w:br/>
      </w:r>
      <w:r>
        <w:rPr>
          <w:b/>
          <w:lang w:val="en-US"/>
        </w:rPr>
        <w:br/>
      </w:r>
      <w:proofErr w:type="spellStart"/>
      <w:r w:rsidRPr="00322BF8">
        <w:rPr>
          <w:b/>
          <w:lang w:val="en-US"/>
        </w:rPr>
        <w:t>Frans</w:t>
      </w:r>
      <w:proofErr w:type="spellEnd"/>
      <w:r w:rsidRPr="00322BF8">
        <w:rPr>
          <w:b/>
          <w:lang w:val="en-US"/>
        </w:rPr>
        <w:t xml:space="preserve"> Timmermans</w:t>
      </w:r>
      <w:r w:rsidRPr="00322BF8">
        <w:rPr>
          <w:lang w:val="en-US"/>
        </w:rPr>
        <w:t xml:space="preserve">, First Vice-President, Federica Mogherini, the High Representative of the Union for Foreign Affairs and Security Policy and Vice-President of the Commission, </w:t>
      </w:r>
      <w:r w:rsidRPr="00322BF8">
        <w:rPr>
          <w:b/>
          <w:lang w:val="en-US"/>
        </w:rPr>
        <w:t>Neven Mimica</w:t>
      </w:r>
      <w:r w:rsidRPr="00322BF8">
        <w:rPr>
          <w:lang w:val="en-US"/>
        </w:rPr>
        <w:t xml:space="preserve">, Commissioner for International Cooperation and Development, </w:t>
      </w:r>
      <w:r w:rsidRPr="00322BF8">
        <w:rPr>
          <w:b/>
          <w:lang w:val="en-US"/>
        </w:rPr>
        <w:t>Dimitris Avramopoulos</w:t>
      </w:r>
      <w:r w:rsidRPr="00322BF8">
        <w:rPr>
          <w:lang w:val="en-US"/>
        </w:rPr>
        <w:t xml:space="preserve">, Commissioner for Migration, Home Affairs and Citizenship, </w:t>
      </w:r>
      <w:r w:rsidRPr="00322BF8">
        <w:rPr>
          <w:b/>
          <w:lang w:val="en-US"/>
        </w:rPr>
        <w:t>Christos Stylianides</w:t>
      </w:r>
      <w:r w:rsidRPr="00322BF8">
        <w:rPr>
          <w:lang w:val="en-US"/>
        </w:rPr>
        <w:t xml:space="preserve">, Commissioner for Humanitarian Aid and Crisis Management, and </w:t>
      </w:r>
      <w:r w:rsidRPr="00322BF8">
        <w:rPr>
          <w:b/>
          <w:lang w:val="en-US"/>
        </w:rPr>
        <w:t>Věra Jourová</w:t>
      </w:r>
      <w:r w:rsidRPr="00322BF8">
        <w:rPr>
          <w:lang w:val="en-US"/>
        </w:rPr>
        <w:t>, Commissioner for Justice, Consumers and Gende</w:t>
      </w:r>
      <w:r>
        <w:rPr>
          <w:lang w:val="en-US"/>
        </w:rPr>
        <w:t xml:space="preserve">r Equality published a joint statement on the occasion of the International Day for the Elimination of Violence against Women. </w:t>
      </w:r>
    </w:p>
    <w:p w14:paraId="2F9D05ED" w14:textId="21FAAF69" w:rsidR="00322BF8" w:rsidRDefault="00322BF8" w:rsidP="00322BF8">
      <w:pPr>
        <w:jc w:val="both"/>
        <w:rPr>
          <w:lang w:val="en-US"/>
        </w:rPr>
      </w:pPr>
      <w:r w:rsidRPr="00322BF8">
        <w:rPr>
          <w:lang w:val="en-US"/>
        </w:rPr>
        <w:t>In the statement, they recall the commitment of the European Commission to fight violen</w:t>
      </w:r>
      <w:r>
        <w:rPr>
          <w:lang w:val="en-US"/>
        </w:rPr>
        <w:t xml:space="preserve">ce against women and girls through the new </w:t>
      </w:r>
      <w:r w:rsidRPr="00322BF8">
        <w:rPr>
          <w:lang w:val="en-US"/>
        </w:rPr>
        <w:t>Gender Action Plan 2016-2020 for EU external relations</w:t>
      </w:r>
      <w:r>
        <w:rPr>
          <w:lang w:val="en-US"/>
        </w:rPr>
        <w:t xml:space="preserve"> and various funds.  </w:t>
      </w:r>
    </w:p>
    <w:p w14:paraId="41722A04" w14:textId="1D9398EE" w:rsidR="00322BF8" w:rsidRPr="00322BF8" w:rsidRDefault="00322BF8" w:rsidP="00322BF8">
      <w:pPr>
        <w:shd w:val="clear" w:color="auto" w:fill="D9D9D9" w:themeFill="background1" w:themeFillShade="D9"/>
        <w:jc w:val="both"/>
        <w:rPr>
          <w:b/>
          <w:lang w:val="en-US"/>
        </w:rPr>
      </w:pPr>
      <w:r w:rsidRPr="00322BF8">
        <w:rPr>
          <w:b/>
          <w:lang w:val="en-US"/>
        </w:rPr>
        <w:t xml:space="preserve">The statement is available </w:t>
      </w:r>
      <w:hyperlink r:id="rId23" w:history="1">
        <w:r w:rsidRPr="00322BF8">
          <w:rPr>
            <w:rStyle w:val="Hyperlink"/>
            <w:b/>
            <w:lang w:val="en-US"/>
          </w:rPr>
          <w:t>here</w:t>
        </w:r>
      </w:hyperlink>
      <w:r w:rsidRPr="00322BF8">
        <w:rPr>
          <w:b/>
          <w:lang w:val="en-US"/>
        </w:rPr>
        <w:t xml:space="preserve">. </w:t>
      </w:r>
    </w:p>
    <w:p w14:paraId="65331DAC" w14:textId="76765486" w:rsidR="00AE4CA6" w:rsidRPr="00322BF8" w:rsidRDefault="00322BF8" w:rsidP="00551D13">
      <w:pPr>
        <w:spacing w:line="240" w:lineRule="auto"/>
        <w:jc w:val="both"/>
        <w:rPr>
          <w:rFonts w:ascii="Calibri" w:eastAsia="Calibri" w:hAnsi="Calibri" w:cs="Times New Roman"/>
          <w:i/>
          <w:lang w:val="en-US"/>
        </w:rPr>
      </w:pPr>
      <w:r w:rsidRPr="00322BF8">
        <w:rPr>
          <w:rFonts w:ascii="Calibri" w:eastAsia="Calibri" w:hAnsi="Calibri" w:cs="Times New Roman"/>
          <w:i/>
          <w:lang w:val="en-US"/>
        </w:rPr>
        <w:t xml:space="preserve">EIGE invites EU citizens to </w:t>
      </w:r>
      <w:r>
        <w:rPr>
          <w:rFonts w:ascii="Calibri" w:eastAsia="Calibri" w:hAnsi="Calibri" w:cs="Times New Roman"/>
          <w:i/>
          <w:lang w:val="en-US"/>
        </w:rPr>
        <w:t>take action against violence against women</w:t>
      </w:r>
    </w:p>
    <w:p w14:paraId="58A5BD1A" w14:textId="77777777" w:rsidR="00322BF8" w:rsidRDefault="00322BF8" w:rsidP="00551D13">
      <w:pPr>
        <w:spacing w:line="240" w:lineRule="auto"/>
        <w:jc w:val="both"/>
        <w:rPr>
          <w:rFonts w:ascii="Calibri" w:eastAsia="Calibri" w:hAnsi="Calibri" w:cs="Times New Roman"/>
          <w:lang w:val="en-US"/>
        </w:rPr>
      </w:pPr>
      <w:r>
        <w:rPr>
          <w:rFonts w:ascii="Calibri" w:eastAsia="Calibri" w:hAnsi="Calibri" w:cs="Times New Roman"/>
          <w:lang w:val="en-US"/>
        </w:rPr>
        <w:lastRenderedPageBreak/>
        <w:t xml:space="preserve">The European Institute for Gender Equality (EIGE) invited EU citizens to take action and join the 16 Days of Activism and the White Ribbon campaigns </w:t>
      </w:r>
      <w:r w:rsidRPr="00322BF8">
        <w:rPr>
          <w:rFonts w:ascii="Calibri" w:eastAsia="Calibri" w:hAnsi="Calibri" w:cs="Times New Roman"/>
          <w:lang w:val="en-US"/>
        </w:rPr>
        <w:t>in cooperation with the Luxembourgish Ministry of Equal Opportunities</w:t>
      </w:r>
      <w:r>
        <w:rPr>
          <w:rFonts w:ascii="Calibri" w:eastAsia="Calibri" w:hAnsi="Calibri" w:cs="Times New Roman"/>
          <w:lang w:val="en-US"/>
        </w:rPr>
        <w:t xml:space="preserve">. Both campaigns aim to raise awareness and encourage decision makers to take action against violence against women. </w:t>
      </w:r>
    </w:p>
    <w:p w14:paraId="013B2571" w14:textId="3CA36405" w:rsidR="00322BF8" w:rsidRPr="00322BF8" w:rsidRDefault="00322BF8" w:rsidP="00322BF8">
      <w:pPr>
        <w:shd w:val="clear" w:color="auto" w:fill="D9D9D9" w:themeFill="background1" w:themeFillShade="D9"/>
        <w:spacing w:line="240" w:lineRule="auto"/>
        <w:jc w:val="both"/>
        <w:rPr>
          <w:rFonts w:ascii="Calibri" w:eastAsia="Calibri" w:hAnsi="Calibri" w:cs="Times New Roman"/>
          <w:b/>
          <w:lang w:val="en-US"/>
        </w:rPr>
      </w:pPr>
      <w:r w:rsidRPr="00322BF8">
        <w:rPr>
          <w:rFonts w:ascii="Calibri" w:eastAsia="Calibri" w:hAnsi="Calibri" w:cs="Times New Roman"/>
          <w:b/>
          <w:lang w:val="en-US"/>
        </w:rPr>
        <w:t xml:space="preserve">More information is available </w:t>
      </w:r>
      <w:hyperlink r:id="rId24" w:history="1">
        <w:r w:rsidRPr="00322BF8">
          <w:rPr>
            <w:rStyle w:val="Hyperlink"/>
            <w:rFonts w:ascii="Calibri" w:eastAsia="Calibri" w:hAnsi="Calibri" w:cs="Times New Roman"/>
            <w:b/>
            <w:lang w:val="en-US"/>
          </w:rPr>
          <w:t>here</w:t>
        </w:r>
      </w:hyperlink>
      <w:r w:rsidRPr="00322BF8">
        <w:rPr>
          <w:rFonts w:ascii="Calibri" w:eastAsia="Calibri" w:hAnsi="Calibri" w:cs="Times New Roman"/>
          <w:b/>
          <w:lang w:val="en-US"/>
        </w:rPr>
        <w:t xml:space="preserve">.  </w:t>
      </w:r>
    </w:p>
    <w:p w14:paraId="7BC6B787" w14:textId="77777777" w:rsidR="00F93FE2" w:rsidRDefault="00F93FE2" w:rsidP="00672EAA">
      <w:pPr>
        <w:rPr>
          <w:lang w:val="en-GB"/>
        </w:rPr>
      </w:pPr>
      <w:bookmarkStart w:id="16" w:name="_Toc418770748"/>
      <w:bookmarkStart w:id="17" w:name="_Ref418784315"/>
      <w:bookmarkStart w:id="18" w:name="_Ref418784316"/>
      <w:bookmarkStart w:id="19" w:name="_Ref421267530"/>
      <w:bookmarkEnd w:id="13"/>
      <w:bookmarkEnd w:id="14"/>
    </w:p>
    <w:p w14:paraId="4376734D" w14:textId="39943577" w:rsidR="00624AFF" w:rsidRPr="006075A4" w:rsidRDefault="00D05673" w:rsidP="00672EAA">
      <w:pPr>
        <w:pStyle w:val="Heading2"/>
        <w:pBdr>
          <w:top w:val="dotted" w:sz="4" w:space="1" w:color="auto"/>
          <w:bottom w:val="dotted" w:sz="4" w:space="1" w:color="auto"/>
        </w:pBdr>
        <w:spacing w:line="240" w:lineRule="auto"/>
        <w:jc w:val="center"/>
        <w:rPr>
          <w:rFonts w:ascii="Calibri" w:eastAsia="Calibri" w:hAnsi="Calibri" w:cs="Times New Roman"/>
          <w:color w:val="auto"/>
          <w:sz w:val="22"/>
          <w:szCs w:val="22"/>
          <w:lang w:val="en-GB"/>
        </w:rPr>
      </w:pPr>
      <w:bookmarkStart w:id="20" w:name="_Ref437595734"/>
      <w:r w:rsidRPr="006075A4">
        <w:rPr>
          <w:lang w:val="en-GB"/>
        </w:rPr>
        <w:t>Sexual Orientation and Gender Identity</w:t>
      </w:r>
      <w:bookmarkEnd w:id="16"/>
      <w:bookmarkEnd w:id="17"/>
      <w:bookmarkEnd w:id="18"/>
      <w:bookmarkEnd w:id="19"/>
      <w:bookmarkEnd w:id="20"/>
    </w:p>
    <w:p w14:paraId="54C26F78" w14:textId="544F779C" w:rsidR="00672EAA" w:rsidRDefault="00672EAA" w:rsidP="00672EAA">
      <w:pPr>
        <w:spacing w:line="240" w:lineRule="auto"/>
        <w:jc w:val="both"/>
      </w:pPr>
    </w:p>
    <w:p w14:paraId="59A742D8" w14:textId="07AC8F4A" w:rsidR="000F4533" w:rsidRDefault="000F4533" w:rsidP="008132D5">
      <w:pPr>
        <w:pStyle w:val="ListParagraph"/>
        <w:numPr>
          <w:ilvl w:val="0"/>
          <w:numId w:val="32"/>
        </w:numPr>
        <w:spacing w:line="240" w:lineRule="auto"/>
        <w:jc w:val="both"/>
        <w:rPr>
          <w:b/>
          <w:sz w:val="24"/>
          <w:lang w:val="en-US"/>
        </w:rPr>
      </w:pPr>
      <w:r>
        <w:rPr>
          <w:noProof/>
          <w:lang w:eastAsia="fr-BE"/>
        </w:rPr>
        <w:drawing>
          <wp:anchor distT="0" distB="0" distL="114300" distR="114300" simplePos="0" relativeHeight="251661312" behindDoc="0" locked="0" layoutInCell="1" allowOverlap="1" wp14:anchorId="05463844" wp14:editId="1959D21F">
            <wp:simplePos x="0" y="0"/>
            <wp:positionH relativeFrom="margin">
              <wp:posOffset>4779010</wp:posOffset>
            </wp:positionH>
            <wp:positionV relativeFrom="margin">
              <wp:posOffset>1869440</wp:posOffset>
            </wp:positionV>
            <wp:extent cx="1571625" cy="1990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1990725"/>
                    </a:xfrm>
                    <a:prstGeom prst="rect">
                      <a:avLst/>
                    </a:prstGeom>
                    <a:noFill/>
                  </pic:spPr>
                </pic:pic>
              </a:graphicData>
            </a:graphic>
          </wp:anchor>
        </w:drawing>
      </w:r>
      <w:r>
        <w:rPr>
          <w:b/>
          <w:sz w:val="24"/>
          <w:lang w:val="en-US"/>
        </w:rPr>
        <w:t>The European Commission publishes list of actions to advance LGBTI equality</w:t>
      </w:r>
    </w:p>
    <w:p w14:paraId="1DA9186A" w14:textId="1376C5C1" w:rsidR="000F4533" w:rsidRDefault="000F4533" w:rsidP="008132D5">
      <w:pPr>
        <w:spacing w:line="240" w:lineRule="auto"/>
        <w:jc w:val="both"/>
        <w:rPr>
          <w:lang w:val="en-US"/>
        </w:rPr>
      </w:pPr>
      <w:r w:rsidRPr="000F4533">
        <w:rPr>
          <w:lang w:val="en-US"/>
        </w:rPr>
        <w:t>On 9</w:t>
      </w:r>
      <w:r w:rsidRPr="000F4533">
        <w:rPr>
          <w:vertAlign w:val="superscript"/>
          <w:lang w:val="en-US"/>
        </w:rPr>
        <w:t>th</w:t>
      </w:r>
      <w:r w:rsidRPr="000F4533">
        <w:rPr>
          <w:lang w:val="en-US"/>
        </w:rPr>
        <w:t xml:space="preserve"> December 2015, the European Commission released </w:t>
      </w:r>
      <w:r>
        <w:rPr>
          <w:lang w:val="en-US"/>
        </w:rPr>
        <w:t>a list of actions to advance LGBTI equality in the EU. According to the European Commission, even if this document is not nor a roadmap neither a strategy, it</w:t>
      </w:r>
      <w:r w:rsidRPr="000F4533">
        <w:rPr>
          <w:lang w:val="en-US"/>
        </w:rPr>
        <w:t xml:space="preserve"> is to be seen as a follow-up to the</w:t>
      </w:r>
      <w:r>
        <w:rPr>
          <w:lang w:val="en-US"/>
        </w:rPr>
        <w:t xml:space="preserve"> </w:t>
      </w:r>
      <w:hyperlink r:id="rId26" w:history="1">
        <w:r w:rsidRPr="000F4533">
          <w:rPr>
            <w:rStyle w:val="Hyperlink"/>
            <w:lang w:val="en-US"/>
          </w:rPr>
          <w:t>European Parliament's demand for an EU Roadmap against homophobia</w:t>
        </w:r>
      </w:hyperlink>
      <w:r>
        <w:rPr>
          <w:lang w:val="en-US"/>
        </w:rPr>
        <w:t xml:space="preserve"> adopted in February 2014. </w:t>
      </w:r>
    </w:p>
    <w:p w14:paraId="25DEA4EA" w14:textId="1E87239C" w:rsidR="000F4533" w:rsidRDefault="000F4533" w:rsidP="008132D5">
      <w:pPr>
        <w:spacing w:line="240" w:lineRule="auto"/>
        <w:jc w:val="both"/>
        <w:rPr>
          <w:lang w:val="en-US"/>
        </w:rPr>
      </w:pPr>
      <w:r>
        <w:rPr>
          <w:lang w:val="en-US"/>
        </w:rPr>
        <w:t>The list outlines six actions:</w:t>
      </w:r>
    </w:p>
    <w:p w14:paraId="0D375366" w14:textId="0488D5B3" w:rsidR="000F4533" w:rsidRDefault="000F4533" w:rsidP="008132D5">
      <w:pPr>
        <w:pStyle w:val="ListParagraph"/>
        <w:numPr>
          <w:ilvl w:val="0"/>
          <w:numId w:val="35"/>
        </w:numPr>
        <w:spacing w:line="240" w:lineRule="auto"/>
        <w:jc w:val="both"/>
        <w:rPr>
          <w:lang w:val="en-US"/>
        </w:rPr>
      </w:pPr>
      <w:r w:rsidRPr="000F4533">
        <w:rPr>
          <w:b/>
          <w:lang w:val="en-US"/>
        </w:rPr>
        <w:t>Improving rights and ensuring</w:t>
      </w:r>
      <w:r w:rsidRPr="000F4533">
        <w:rPr>
          <w:b/>
          <w:lang w:val="en-US"/>
        </w:rPr>
        <w:t xml:space="preserve"> </w:t>
      </w:r>
      <w:r w:rsidRPr="000F4533">
        <w:rPr>
          <w:b/>
          <w:lang w:val="en-US"/>
        </w:rPr>
        <w:t>legal protection of LGBTI</w:t>
      </w:r>
      <w:r>
        <w:rPr>
          <w:lang w:val="en-US"/>
        </w:rPr>
        <w:t xml:space="preserve"> </w:t>
      </w:r>
      <w:r w:rsidRPr="000F4533">
        <w:rPr>
          <w:lang w:val="en-US"/>
        </w:rPr>
        <w:t>people and their families in</w:t>
      </w:r>
      <w:r>
        <w:rPr>
          <w:lang w:val="en-US"/>
        </w:rPr>
        <w:t xml:space="preserve"> </w:t>
      </w:r>
      <w:r w:rsidRPr="000F4533">
        <w:rPr>
          <w:lang w:val="en-US"/>
        </w:rPr>
        <w:t>key areas of EU competence</w:t>
      </w:r>
    </w:p>
    <w:p w14:paraId="107AD3E0" w14:textId="13B8EE69" w:rsidR="000F4533" w:rsidRDefault="000F4533" w:rsidP="008132D5">
      <w:pPr>
        <w:pStyle w:val="ListParagraph"/>
        <w:numPr>
          <w:ilvl w:val="0"/>
          <w:numId w:val="35"/>
        </w:numPr>
        <w:spacing w:line="240" w:lineRule="auto"/>
        <w:jc w:val="both"/>
        <w:rPr>
          <w:lang w:val="en-US"/>
        </w:rPr>
      </w:pPr>
      <w:r w:rsidRPr="000F4533">
        <w:rPr>
          <w:b/>
          <w:lang w:val="en-US"/>
        </w:rPr>
        <w:t>Strong monitoring and</w:t>
      </w:r>
      <w:r w:rsidRPr="000F4533">
        <w:rPr>
          <w:b/>
          <w:lang w:val="en-US"/>
        </w:rPr>
        <w:t xml:space="preserve"> </w:t>
      </w:r>
      <w:r w:rsidRPr="000F4533">
        <w:rPr>
          <w:b/>
          <w:lang w:val="en-US"/>
        </w:rPr>
        <w:t>enforcement of existing</w:t>
      </w:r>
      <w:r w:rsidRPr="000F4533">
        <w:rPr>
          <w:b/>
          <w:lang w:val="en-US"/>
        </w:rPr>
        <w:t xml:space="preserve"> </w:t>
      </w:r>
      <w:r w:rsidRPr="000F4533">
        <w:rPr>
          <w:b/>
          <w:lang w:val="en-US"/>
        </w:rPr>
        <w:t>rights</w:t>
      </w:r>
      <w:r w:rsidRPr="000F4533">
        <w:rPr>
          <w:lang w:val="en-US"/>
        </w:rPr>
        <w:t xml:space="preserve"> of LGBTI people and</w:t>
      </w:r>
      <w:r>
        <w:rPr>
          <w:lang w:val="en-US"/>
        </w:rPr>
        <w:t xml:space="preserve"> </w:t>
      </w:r>
      <w:r w:rsidRPr="000F4533">
        <w:rPr>
          <w:lang w:val="en-US"/>
        </w:rPr>
        <w:t>their families under EU law</w:t>
      </w:r>
    </w:p>
    <w:p w14:paraId="389EE552" w14:textId="4885D9FD" w:rsidR="000F4533" w:rsidRDefault="000F4533" w:rsidP="008132D5">
      <w:pPr>
        <w:pStyle w:val="ListParagraph"/>
        <w:numPr>
          <w:ilvl w:val="0"/>
          <w:numId w:val="35"/>
        </w:numPr>
        <w:spacing w:line="240" w:lineRule="auto"/>
        <w:jc w:val="both"/>
        <w:rPr>
          <w:lang w:val="en-US"/>
        </w:rPr>
      </w:pPr>
      <w:r w:rsidRPr="000F4533">
        <w:rPr>
          <w:b/>
          <w:lang w:val="en-US"/>
        </w:rPr>
        <w:t>Reaching citizens</w:t>
      </w:r>
      <w:r w:rsidRPr="000F4533">
        <w:rPr>
          <w:lang w:val="en-US"/>
        </w:rPr>
        <w:t>, fostering</w:t>
      </w:r>
      <w:r>
        <w:rPr>
          <w:lang w:val="en-US"/>
        </w:rPr>
        <w:t xml:space="preserve"> </w:t>
      </w:r>
      <w:r w:rsidRPr="000F4533">
        <w:rPr>
          <w:lang w:val="en-US"/>
        </w:rPr>
        <w:t>diversity and non-discrimination</w:t>
      </w:r>
    </w:p>
    <w:p w14:paraId="52089CB8" w14:textId="3C2D2695" w:rsidR="000F4533" w:rsidRDefault="000F4533" w:rsidP="008132D5">
      <w:pPr>
        <w:pStyle w:val="ListParagraph"/>
        <w:numPr>
          <w:ilvl w:val="0"/>
          <w:numId w:val="35"/>
        </w:numPr>
        <w:spacing w:line="240" w:lineRule="auto"/>
        <w:jc w:val="both"/>
        <w:rPr>
          <w:lang w:val="en-US"/>
        </w:rPr>
      </w:pPr>
      <w:r w:rsidRPr="000F4533">
        <w:rPr>
          <w:b/>
          <w:lang w:val="en-US"/>
        </w:rPr>
        <w:t>Supporting key actors</w:t>
      </w:r>
      <w:r w:rsidRPr="000F4533">
        <w:rPr>
          <w:lang w:val="en-US"/>
        </w:rPr>
        <w:t xml:space="preserve"> responsible</w:t>
      </w:r>
      <w:r>
        <w:rPr>
          <w:lang w:val="en-US"/>
        </w:rPr>
        <w:t xml:space="preserve"> </w:t>
      </w:r>
      <w:r w:rsidRPr="000F4533">
        <w:rPr>
          <w:lang w:val="en-US"/>
        </w:rPr>
        <w:t>to promote and advance equal</w:t>
      </w:r>
      <w:r>
        <w:rPr>
          <w:lang w:val="en-US"/>
        </w:rPr>
        <w:t xml:space="preserve"> </w:t>
      </w:r>
      <w:r w:rsidRPr="000F4533">
        <w:rPr>
          <w:lang w:val="en-US"/>
        </w:rPr>
        <w:t>rights for LGBTI people in the EU</w:t>
      </w:r>
    </w:p>
    <w:p w14:paraId="2B2DF992" w14:textId="32DF0D6F" w:rsidR="000F4533" w:rsidRDefault="000F4533" w:rsidP="008132D5">
      <w:pPr>
        <w:pStyle w:val="ListParagraph"/>
        <w:numPr>
          <w:ilvl w:val="0"/>
          <w:numId w:val="35"/>
        </w:numPr>
        <w:spacing w:line="240" w:lineRule="auto"/>
        <w:jc w:val="both"/>
        <w:rPr>
          <w:lang w:val="en-US"/>
        </w:rPr>
      </w:pPr>
      <w:r w:rsidRPr="000F4533">
        <w:rPr>
          <w:b/>
          <w:lang w:val="en-US"/>
        </w:rPr>
        <w:t>Figures and facts for policy makers</w:t>
      </w:r>
      <w:r w:rsidRPr="000F4533">
        <w:rPr>
          <w:b/>
          <w:lang w:val="en-US"/>
        </w:rPr>
        <w:t xml:space="preserve"> </w:t>
      </w:r>
      <w:r w:rsidRPr="000F4533">
        <w:rPr>
          <w:b/>
          <w:lang w:val="en-US"/>
        </w:rPr>
        <w:t>on LGBTI challenges at the EU</w:t>
      </w:r>
      <w:r w:rsidRPr="000F4533">
        <w:rPr>
          <w:lang w:val="en-US"/>
        </w:rPr>
        <w:t>:</w:t>
      </w:r>
      <w:r>
        <w:rPr>
          <w:lang w:val="en-US"/>
        </w:rPr>
        <w:t xml:space="preserve"> </w:t>
      </w:r>
      <w:r w:rsidRPr="000F4533">
        <w:rPr>
          <w:lang w:val="en-US"/>
        </w:rPr>
        <w:t>Data collection and research activities</w:t>
      </w:r>
    </w:p>
    <w:p w14:paraId="321337A3" w14:textId="7AF897EE" w:rsidR="000F4533" w:rsidRPr="000F4533" w:rsidRDefault="000F4533" w:rsidP="008132D5">
      <w:pPr>
        <w:pStyle w:val="ListParagraph"/>
        <w:numPr>
          <w:ilvl w:val="0"/>
          <w:numId w:val="35"/>
        </w:numPr>
        <w:spacing w:line="240" w:lineRule="auto"/>
        <w:jc w:val="both"/>
        <w:rPr>
          <w:lang w:val="en-US"/>
        </w:rPr>
      </w:pPr>
      <w:r w:rsidRPr="000F4533">
        <w:rPr>
          <w:b/>
          <w:lang w:val="en-US"/>
        </w:rPr>
        <w:t>External action:</w:t>
      </w:r>
      <w:r>
        <w:rPr>
          <w:lang w:val="en-US"/>
        </w:rPr>
        <w:t xml:space="preserve"> </w:t>
      </w:r>
      <w:r w:rsidRPr="000F4533">
        <w:rPr>
          <w:lang w:val="en-US"/>
        </w:rPr>
        <w:t>LGBTI issues in Enlargement,</w:t>
      </w:r>
      <w:r>
        <w:rPr>
          <w:lang w:val="en-US"/>
        </w:rPr>
        <w:t xml:space="preserve"> </w:t>
      </w:r>
      <w:proofErr w:type="spellStart"/>
      <w:r w:rsidRPr="000F4533">
        <w:rPr>
          <w:lang w:val="en-US"/>
        </w:rPr>
        <w:t>Neighbourhood</w:t>
      </w:r>
      <w:proofErr w:type="spellEnd"/>
      <w:r w:rsidRPr="000F4533">
        <w:rPr>
          <w:lang w:val="en-US"/>
        </w:rPr>
        <w:t xml:space="preserve"> and Third countries</w:t>
      </w:r>
    </w:p>
    <w:p w14:paraId="28580191" w14:textId="6D2F9203" w:rsidR="000F4533" w:rsidRDefault="000F4533" w:rsidP="008132D5">
      <w:pPr>
        <w:spacing w:line="240" w:lineRule="auto"/>
        <w:jc w:val="both"/>
        <w:rPr>
          <w:lang w:val="en-US"/>
        </w:rPr>
      </w:pPr>
      <w:r>
        <w:rPr>
          <w:lang w:val="en-US"/>
        </w:rPr>
        <w:t xml:space="preserve">Equality bodies are mentioned </w:t>
      </w:r>
      <w:r w:rsidR="00FD4227">
        <w:rPr>
          <w:lang w:val="en-US"/>
        </w:rPr>
        <w:t>under the action n°2 as key actors to enforce and monitor the transposition and implementation of EU law.</w:t>
      </w:r>
    </w:p>
    <w:p w14:paraId="40328546" w14:textId="6148F604" w:rsidR="00FD4227" w:rsidRPr="00FD4227" w:rsidRDefault="00FD4227" w:rsidP="008132D5">
      <w:pPr>
        <w:shd w:val="clear" w:color="auto" w:fill="D9D9D9" w:themeFill="background1" w:themeFillShade="D9"/>
        <w:spacing w:line="240" w:lineRule="auto"/>
        <w:jc w:val="both"/>
        <w:rPr>
          <w:b/>
          <w:lang w:val="en-US"/>
        </w:rPr>
      </w:pPr>
      <w:r w:rsidRPr="00FD4227">
        <w:rPr>
          <w:b/>
          <w:lang w:val="en-US"/>
        </w:rPr>
        <w:t xml:space="preserve">The list of actions is available </w:t>
      </w:r>
      <w:hyperlink r:id="rId27" w:history="1">
        <w:r w:rsidRPr="00FD4227">
          <w:rPr>
            <w:rStyle w:val="Hyperlink"/>
            <w:b/>
            <w:lang w:val="en-US"/>
          </w:rPr>
          <w:t>here</w:t>
        </w:r>
      </w:hyperlink>
      <w:r w:rsidRPr="00FD4227">
        <w:rPr>
          <w:b/>
          <w:lang w:val="en-US"/>
        </w:rPr>
        <w:t xml:space="preserve">. </w:t>
      </w:r>
    </w:p>
    <w:p w14:paraId="00BC3755" w14:textId="77777777" w:rsidR="000F4533" w:rsidRDefault="000F4533" w:rsidP="000F4533">
      <w:pPr>
        <w:pStyle w:val="ListParagraph"/>
        <w:spacing w:line="240" w:lineRule="auto"/>
        <w:jc w:val="both"/>
        <w:rPr>
          <w:b/>
          <w:sz w:val="24"/>
          <w:lang w:val="en-US"/>
        </w:rPr>
      </w:pPr>
    </w:p>
    <w:p w14:paraId="5764728E" w14:textId="3A485366" w:rsidR="00672EAA" w:rsidRPr="00672EAA" w:rsidRDefault="00672EAA" w:rsidP="00672EAA">
      <w:pPr>
        <w:pStyle w:val="ListParagraph"/>
        <w:numPr>
          <w:ilvl w:val="0"/>
          <w:numId w:val="32"/>
        </w:numPr>
        <w:spacing w:line="240" w:lineRule="auto"/>
        <w:jc w:val="both"/>
        <w:rPr>
          <w:b/>
          <w:sz w:val="24"/>
          <w:lang w:val="en-US"/>
        </w:rPr>
      </w:pPr>
      <w:r w:rsidRPr="00672EAA">
        <w:rPr>
          <w:b/>
          <w:sz w:val="24"/>
          <w:lang w:val="en-US"/>
        </w:rPr>
        <w:t>20th November marks the Transgender Day of Remembrance</w:t>
      </w:r>
      <w:r>
        <w:rPr>
          <w:b/>
          <w:sz w:val="24"/>
          <w:lang w:val="en-US"/>
        </w:rPr>
        <w:t xml:space="preserve"> #TDOR</w:t>
      </w:r>
    </w:p>
    <w:p w14:paraId="423B303A" w14:textId="54CDE2D1" w:rsidR="00672EAA" w:rsidRDefault="00672EAA" w:rsidP="00672EAA">
      <w:pPr>
        <w:spacing w:line="240" w:lineRule="auto"/>
        <w:jc w:val="both"/>
        <w:rPr>
          <w:lang w:val="en-US"/>
        </w:rPr>
      </w:pPr>
      <w:r>
        <w:rPr>
          <w:lang w:val="en-US"/>
        </w:rPr>
        <w:t xml:space="preserve">The Transgender Day of Remembrance aims to pay tribute to victims of transphobic murders. According to Transgender Europe, since 2008, 104 transgender persons have been murdered in Europe. </w:t>
      </w:r>
    </w:p>
    <w:p w14:paraId="79835D5D" w14:textId="2B9F5EF6" w:rsidR="00672EAA" w:rsidRPr="00672EAA" w:rsidRDefault="00672EAA" w:rsidP="00672EAA">
      <w:pPr>
        <w:shd w:val="clear" w:color="auto" w:fill="D9D9D9" w:themeFill="background1" w:themeFillShade="D9"/>
        <w:spacing w:line="240" w:lineRule="auto"/>
        <w:jc w:val="both"/>
        <w:rPr>
          <w:b/>
          <w:lang w:val="en-US"/>
        </w:rPr>
      </w:pPr>
      <w:r w:rsidRPr="00672EAA">
        <w:rPr>
          <w:b/>
          <w:lang w:val="en-US"/>
        </w:rPr>
        <w:t xml:space="preserve">More information is available </w:t>
      </w:r>
      <w:hyperlink r:id="rId28" w:history="1">
        <w:r w:rsidRPr="00672EAA">
          <w:rPr>
            <w:rStyle w:val="Hyperlink"/>
            <w:b/>
            <w:lang w:val="en-US"/>
          </w:rPr>
          <w:t>here</w:t>
        </w:r>
      </w:hyperlink>
      <w:r w:rsidRPr="00672EAA">
        <w:rPr>
          <w:b/>
          <w:lang w:val="en-US"/>
        </w:rPr>
        <w:t xml:space="preserve">. </w:t>
      </w:r>
    </w:p>
    <w:p w14:paraId="66A693F6" w14:textId="77777777" w:rsidR="00672EAA" w:rsidRDefault="00672EAA" w:rsidP="007F0F41">
      <w:pPr>
        <w:rPr>
          <w:lang w:val="en-GB"/>
        </w:rPr>
      </w:pPr>
      <w:bookmarkStart w:id="21" w:name="_Toc418770749"/>
      <w:bookmarkStart w:id="22" w:name="_Ref418784327"/>
      <w:bookmarkStart w:id="23" w:name="_Ref421267533"/>
    </w:p>
    <w:p w14:paraId="40FEA6E3" w14:textId="77777777" w:rsidR="007F0F41" w:rsidRDefault="004A7771" w:rsidP="007F0F41">
      <w:pPr>
        <w:pStyle w:val="Heading2"/>
        <w:pBdr>
          <w:top w:val="dotted" w:sz="4" w:space="1" w:color="auto"/>
          <w:bottom w:val="dotted" w:sz="4" w:space="1" w:color="auto"/>
        </w:pBdr>
        <w:spacing w:line="240" w:lineRule="auto"/>
        <w:jc w:val="center"/>
        <w:rPr>
          <w:lang w:val="en-GB"/>
        </w:rPr>
      </w:pPr>
      <w:bookmarkStart w:id="24" w:name="_Ref437595735"/>
      <w:r w:rsidRPr="006075A4">
        <w:rPr>
          <w:lang w:val="en-GB"/>
        </w:rPr>
        <w:t>Religion and Belief</w:t>
      </w:r>
      <w:bookmarkEnd w:id="21"/>
      <w:bookmarkEnd w:id="22"/>
      <w:bookmarkEnd w:id="23"/>
      <w:bookmarkEnd w:id="24"/>
    </w:p>
    <w:p w14:paraId="3E08EF21" w14:textId="77777777" w:rsidR="00DA64B5" w:rsidRDefault="00DA64B5" w:rsidP="00DA64B5">
      <w:pPr>
        <w:rPr>
          <w:lang w:val="en-GB"/>
        </w:rPr>
      </w:pPr>
    </w:p>
    <w:p w14:paraId="59E4A3DA" w14:textId="77777777" w:rsidR="00DA64B5" w:rsidRPr="00DA64B5" w:rsidRDefault="00DA64B5" w:rsidP="00DA64B5">
      <w:pPr>
        <w:pStyle w:val="ListParagraph"/>
        <w:numPr>
          <w:ilvl w:val="0"/>
          <w:numId w:val="32"/>
        </w:numPr>
        <w:jc w:val="both"/>
        <w:rPr>
          <w:b/>
          <w:sz w:val="24"/>
          <w:lang w:val="en-GB"/>
        </w:rPr>
      </w:pPr>
      <w:r w:rsidRPr="00DA64B5">
        <w:rPr>
          <w:b/>
          <w:sz w:val="24"/>
          <w:lang w:val="en-GB"/>
        </w:rPr>
        <w:t>The European Commission appoints two Coordinators on combating antisemitism and anti-Muslim hatred</w:t>
      </w:r>
    </w:p>
    <w:p w14:paraId="01DA7734" w14:textId="393977AD" w:rsidR="00DA64B5" w:rsidRDefault="00DA64B5" w:rsidP="00DA64B5">
      <w:pPr>
        <w:rPr>
          <w:lang w:val="en-GB"/>
        </w:rPr>
      </w:pPr>
      <w:r>
        <w:rPr>
          <w:lang w:val="en-GB"/>
        </w:rPr>
        <w:t xml:space="preserve">In the context of the follow up of the first </w:t>
      </w:r>
      <w:hyperlink r:id="rId29" w:history="1">
        <w:r w:rsidRPr="00DA64B5">
          <w:rPr>
            <w:rStyle w:val="Hyperlink"/>
            <w:lang w:val="en-GB"/>
          </w:rPr>
          <w:t>Annual Colloquium on Fundamental Rights</w:t>
        </w:r>
      </w:hyperlink>
      <w:r>
        <w:rPr>
          <w:lang w:val="en-GB"/>
        </w:rPr>
        <w:t xml:space="preserve"> (1</w:t>
      </w:r>
      <w:r w:rsidRPr="00DA64B5">
        <w:rPr>
          <w:vertAlign w:val="superscript"/>
          <w:lang w:val="en-GB"/>
        </w:rPr>
        <w:t>st</w:t>
      </w:r>
      <w:r>
        <w:rPr>
          <w:lang w:val="en-GB"/>
        </w:rPr>
        <w:t xml:space="preserve"> and 2</w:t>
      </w:r>
      <w:r w:rsidRPr="00DA64B5">
        <w:rPr>
          <w:vertAlign w:val="superscript"/>
          <w:lang w:val="en-GB"/>
        </w:rPr>
        <w:t>nd</w:t>
      </w:r>
      <w:r>
        <w:rPr>
          <w:lang w:val="en-GB"/>
        </w:rPr>
        <w:t xml:space="preserve"> October 2015, Brussels), the European Commission announced the name of the two new EC Coordinators on combating antisemitism and anti-Muslim hatred: </w:t>
      </w:r>
    </w:p>
    <w:p w14:paraId="58A125F1" w14:textId="7C896B3B" w:rsidR="00DA64B5" w:rsidRDefault="00DA64B5" w:rsidP="00DA64B5">
      <w:pPr>
        <w:pStyle w:val="ListParagraph"/>
        <w:numPr>
          <w:ilvl w:val="0"/>
          <w:numId w:val="33"/>
        </w:numPr>
        <w:jc w:val="both"/>
        <w:rPr>
          <w:lang w:val="en-GB"/>
        </w:rPr>
      </w:pPr>
      <w:r w:rsidRPr="00DA64B5">
        <w:rPr>
          <w:b/>
          <w:lang w:val="en-GB"/>
        </w:rPr>
        <w:t xml:space="preserve">Katharina von </w:t>
      </w:r>
      <w:proofErr w:type="spellStart"/>
      <w:r w:rsidRPr="00DA64B5">
        <w:rPr>
          <w:b/>
          <w:lang w:val="en-GB"/>
        </w:rPr>
        <w:t>Schnurbein</w:t>
      </w:r>
      <w:proofErr w:type="spellEnd"/>
      <w:r>
        <w:rPr>
          <w:lang w:val="en-GB"/>
        </w:rPr>
        <w:t xml:space="preserve"> is appointed </w:t>
      </w:r>
      <w:r w:rsidRPr="00DA64B5">
        <w:rPr>
          <w:b/>
          <w:lang w:val="en-GB"/>
        </w:rPr>
        <w:t>Coordinator on combating antisemitism</w:t>
      </w:r>
      <w:r>
        <w:rPr>
          <w:lang w:val="en-GB"/>
        </w:rPr>
        <w:t xml:space="preserve">. </w:t>
      </w:r>
      <w:r>
        <w:rPr>
          <w:lang w:val="en-GB"/>
        </w:rPr>
        <w:tab/>
      </w:r>
      <w:r>
        <w:rPr>
          <w:lang w:val="en-GB"/>
        </w:rPr>
        <w:br/>
        <w:t>According to the European Commission’s press release: “</w:t>
      </w:r>
      <w:r w:rsidRPr="00DA64B5">
        <w:rPr>
          <w:lang w:val="en-GB"/>
        </w:rPr>
        <w:t>A German national, she has been coordinating the Commission's dialogue with Churches, religions, philosophical and non-confessional organisations and was part of former Commission President José Manuel Barroso's advisory team. Before that she was the Commission's spokesperson for Employment, Social Affairs and Equal opportunities (2004-2010) and press officer at the Delegation of the European Commission to the Czech Republic (2002-2004).</w:t>
      </w:r>
      <w:r>
        <w:rPr>
          <w:lang w:val="en-GB"/>
        </w:rPr>
        <w:t>”</w:t>
      </w:r>
    </w:p>
    <w:p w14:paraId="3EE3AF5E" w14:textId="77777777" w:rsidR="00DA64B5" w:rsidRDefault="00DA64B5" w:rsidP="00DA64B5">
      <w:pPr>
        <w:pStyle w:val="ListParagraph"/>
        <w:jc w:val="both"/>
        <w:rPr>
          <w:lang w:val="en-GB"/>
        </w:rPr>
      </w:pPr>
    </w:p>
    <w:p w14:paraId="6011DD34" w14:textId="320EBF61" w:rsidR="00DA64B5" w:rsidRPr="00DA64B5" w:rsidRDefault="00DA64B5" w:rsidP="00DA64B5">
      <w:pPr>
        <w:pStyle w:val="ListParagraph"/>
        <w:numPr>
          <w:ilvl w:val="0"/>
          <w:numId w:val="33"/>
        </w:numPr>
        <w:jc w:val="both"/>
        <w:rPr>
          <w:lang w:val="en-GB"/>
        </w:rPr>
      </w:pPr>
      <w:r w:rsidRPr="00DA64B5">
        <w:rPr>
          <w:b/>
          <w:lang w:val="en-GB"/>
        </w:rPr>
        <w:t xml:space="preserve">David </w:t>
      </w:r>
      <w:proofErr w:type="spellStart"/>
      <w:r w:rsidRPr="00DA64B5">
        <w:rPr>
          <w:b/>
          <w:lang w:val="en-GB"/>
        </w:rPr>
        <w:t>Friggieri</w:t>
      </w:r>
      <w:proofErr w:type="spellEnd"/>
      <w:r>
        <w:rPr>
          <w:lang w:val="en-GB"/>
        </w:rPr>
        <w:t xml:space="preserve"> is appointed </w:t>
      </w:r>
      <w:r w:rsidRPr="00DA64B5">
        <w:rPr>
          <w:b/>
          <w:lang w:val="en-GB"/>
        </w:rPr>
        <w:t>Coordinator on combating anti-Muslim hatred.</w:t>
      </w:r>
      <w:r>
        <w:rPr>
          <w:lang w:val="en-GB"/>
        </w:rPr>
        <w:t xml:space="preserve"> </w:t>
      </w:r>
      <w:r>
        <w:rPr>
          <w:lang w:val="en-GB"/>
        </w:rPr>
        <w:tab/>
      </w:r>
      <w:r>
        <w:rPr>
          <w:lang w:val="en-GB"/>
        </w:rPr>
        <w:br/>
        <w:t>“</w:t>
      </w:r>
      <w:r w:rsidRPr="00DA64B5">
        <w:rPr>
          <w:lang w:val="en-GB"/>
        </w:rPr>
        <w:t xml:space="preserve">A Maltese national, Mr </w:t>
      </w:r>
      <w:proofErr w:type="spellStart"/>
      <w:r w:rsidRPr="00DA64B5">
        <w:rPr>
          <w:lang w:val="en-GB"/>
        </w:rPr>
        <w:t>Friggieri</w:t>
      </w:r>
      <w:proofErr w:type="spellEnd"/>
      <w:r w:rsidRPr="00DA64B5">
        <w:rPr>
          <w:lang w:val="en-GB"/>
        </w:rPr>
        <w:t xml:space="preserve"> has, since 2012, been working within the Commission's Justice Directorate-General on anti-racism policies and fundamental rights and is the longest-standing member of the team working on the implementation of the EU's Framework Decision on racism and xenophobia. Previously, and since 2003, he held legal and policy officer posts within the Commission dealing with European citizenship and free movement and lectured European law at the University of Malta.</w:t>
      </w:r>
      <w:r>
        <w:rPr>
          <w:lang w:val="en-GB"/>
        </w:rPr>
        <w:t>”</w:t>
      </w:r>
    </w:p>
    <w:p w14:paraId="351BB565" w14:textId="6D43D692" w:rsidR="00DA64B5" w:rsidRPr="00DA64B5" w:rsidRDefault="00DA64B5" w:rsidP="00DA64B5">
      <w:pPr>
        <w:shd w:val="clear" w:color="auto" w:fill="D9D9D9" w:themeFill="background1" w:themeFillShade="D9"/>
        <w:rPr>
          <w:b/>
          <w:lang w:val="en-GB"/>
        </w:rPr>
      </w:pPr>
      <w:r w:rsidRPr="00DA64B5">
        <w:rPr>
          <w:b/>
          <w:lang w:val="en-GB"/>
        </w:rPr>
        <w:t xml:space="preserve">Read the European Commission’s press release </w:t>
      </w:r>
      <w:hyperlink r:id="rId30" w:history="1">
        <w:r w:rsidRPr="00DA64B5">
          <w:rPr>
            <w:rStyle w:val="Hyperlink"/>
            <w:b/>
            <w:lang w:val="en-GB"/>
          </w:rPr>
          <w:t>here</w:t>
        </w:r>
      </w:hyperlink>
      <w:r w:rsidRPr="00DA64B5">
        <w:rPr>
          <w:b/>
          <w:lang w:val="en-GB"/>
        </w:rPr>
        <w:t xml:space="preserve">. </w:t>
      </w:r>
    </w:p>
    <w:p w14:paraId="20701D7E" w14:textId="77777777" w:rsidR="003F4721" w:rsidRDefault="003F4721" w:rsidP="003F4721">
      <w:pPr>
        <w:spacing w:line="240" w:lineRule="auto"/>
        <w:jc w:val="both"/>
        <w:rPr>
          <w:lang w:val="en-GB"/>
        </w:rPr>
      </w:pPr>
    </w:p>
    <w:p w14:paraId="2C93E38C" w14:textId="359920D7" w:rsidR="003F4721" w:rsidRDefault="003F4721" w:rsidP="003F4721">
      <w:pPr>
        <w:pStyle w:val="Heading2"/>
        <w:pBdr>
          <w:top w:val="dotted" w:sz="4" w:space="1" w:color="auto"/>
          <w:bottom w:val="dotted" w:sz="4" w:space="1" w:color="auto"/>
        </w:pBdr>
        <w:spacing w:line="240" w:lineRule="auto"/>
        <w:jc w:val="center"/>
        <w:rPr>
          <w:lang w:val="en-GB"/>
        </w:rPr>
      </w:pPr>
      <w:bookmarkStart w:id="25" w:name="_Ref421267547"/>
      <w:r w:rsidRPr="006075A4">
        <w:rPr>
          <w:lang w:val="en-GB"/>
        </w:rPr>
        <w:t>Age</w:t>
      </w:r>
      <w:bookmarkEnd w:id="25"/>
    </w:p>
    <w:p w14:paraId="431BA762" w14:textId="2357FF64" w:rsidR="005165D2" w:rsidRPr="006075A4" w:rsidRDefault="005165D2" w:rsidP="003F4721">
      <w:pPr>
        <w:spacing w:line="240" w:lineRule="auto"/>
        <w:jc w:val="both"/>
        <w:rPr>
          <w:lang w:val="en-GB"/>
        </w:rPr>
      </w:pPr>
    </w:p>
    <w:p w14:paraId="43B97BB9" w14:textId="38775F89" w:rsidR="00DF3AA3" w:rsidRPr="00DF3AA3" w:rsidRDefault="00DF3AA3" w:rsidP="00DF3AA3">
      <w:pPr>
        <w:pStyle w:val="ListParagraph"/>
        <w:numPr>
          <w:ilvl w:val="0"/>
          <w:numId w:val="34"/>
        </w:numPr>
        <w:jc w:val="both"/>
        <w:rPr>
          <w:b/>
          <w:sz w:val="24"/>
          <w:lang w:val="en-US"/>
        </w:rPr>
      </w:pPr>
      <w:r w:rsidRPr="00DF3AA3">
        <w:rPr>
          <w:b/>
          <w:sz w:val="24"/>
          <w:lang w:val="en-US"/>
        </w:rPr>
        <w:t>The UN General Assembly adopts resolution on measures to promote the rights and dignity of older persons</w:t>
      </w:r>
    </w:p>
    <w:p w14:paraId="4B207D65" w14:textId="1571E05A" w:rsidR="00DF3AA3" w:rsidRDefault="00DF3AA3" w:rsidP="00DF3AA3">
      <w:pPr>
        <w:jc w:val="both"/>
        <w:rPr>
          <w:lang w:val="en-US"/>
        </w:rPr>
      </w:pPr>
      <w:r>
        <w:rPr>
          <w:lang w:val="en-US"/>
        </w:rPr>
        <w:t>On 25</w:t>
      </w:r>
      <w:r w:rsidRPr="00DF3AA3">
        <w:rPr>
          <w:vertAlign w:val="superscript"/>
          <w:lang w:val="en-US"/>
        </w:rPr>
        <w:t>th</w:t>
      </w:r>
      <w:r>
        <w:rPr>
          <w:lang w:val="en-US"/>
        </w:rPr>
        <w:t xml:space="preserve"> November 2015, the United Nations (UN) adopted a resolution entitled “Measures to enhance the promotion and protection of the human rights and dignity of older persons”. The resolution encourages Member States to take action to ensure that the rights of older persons are respected and the exchange of good practices. </w:t>
      </w:r>
    </w:p>
    <w:p w14:paraId="4CB8950A" w14:textId="78EE32B7" w:rsidR="00DF3AA3" w:rsidRPr="00DF3AA3" w:rsidRDefault="00DF3AA3" w:rsidP="00DF3AA3">
      <w:pPr>
        <w:jc w:val="both"/>
        <w:rPr>
          <w:lang w:val="en-US"/>
        </w:rPr>
      </w:pPr>
      <w:r>
        <w:rPr>
          <w:lang w:val="en-US"/>
        </w:rPr>
        <w:t xml:space="preserve">Read the full text of the resolution </w:t>
      </w:r>
      <w:hyperlink r:id="rId31" w:history="1">
        <w:r w:rsidRPr="00DF3AA3">
          <w:rPr>
            <w:rStyle w:val="Hyperlink"/>
            <w:lang w:val="en-US"/>
          </w:rPr>
          <w:t>here</w:t>
        </w:r>
      </w:hyperlink>
      <w:r>
        <w:rPr>
          <w:lang w:val="en-US"/>
        </w:rPr>
        <w:t xml:space="preserve">. </w:t>
      </w:r>
    </w:p>
    <w:p w14:paraId="613A1BA6" w14:textId="77777777" w:rsidR="00E91D96" w:rsidRPr="00DF3AA3" w:rsidRDefault="00E91D96" w:rsidP="000263B4">
      <w:pPr>
        <w:pBdr>
          <w:bottom w:val="dotted" w:sz="36" w:space="1" w:color="auto"/>
        </w:pBdr>
        <w:spacing w:line="240" w:lineRule="auto"/>
        <w:rPr>
          <w:lang w:val="en-US"/>
        </w:rPr>
      </w:pPr>
    </w:p>
    <w:p w14:paraId="046326B5" w14:textId="77777777" w:rsidR="000D6BD2" w:rsidRDefault="000D6BD2" w:rsidP="000D6BD2">
      <w:pPr>
        <w:pStyle w:val="Heading1"/>
        <w:spacing w:line="240" w:lineRule="auto"/>
        <w:rPr>
          <w:color w:val="FFFFFF" w:themeColor="background1"/>
          <w:lang w:val="en-GB"/>
        </w:rPr>
      </w:pPr>
      <w:r>
        <w:rPr>
          <w:color w:val="FFFFFF" w:themeColor="background1"/>
          <w:lang w:val="en-GB"/>
        </w:rPr>
        <w:br w:type="page"/>
      </w:r>
    </w:p>
    <w:p w14:paraId="0D439E6D" w14:textId="0D800C43" w:rsidR="004A7771" w:rsidRPr="00F7334E" w:rsidRDefault="00C117CA" w:rsidP="00F7334E">
      <w:pPr>
        <w:pStyle w:val="Heading1"/>
        <w:shd w:val="clear" w:color="auto" w:fill="3F897D"/>
        <w:spacing w:line="240" w:lineRule="auto"/>
        <w:rPr>
          <w:color w:val="FFFFFF" w:themeColor="background1"/>
          <w:lang w:val="en-GB"/>
        </w:rPr>
      </w:pPr>
      <w:bookmarkStart w:id="26" w:name="_Ref437595738"/>
      <w:r w:rsidRPr="00F7334E">
        <w:rPr>
          <w:color w:val="FFFFFF" w:themeColor="background1"/>
          <w:lang w:val="en-GB"/>
        </w:rPr>
        <w:t>Publications, funding opportunities and events</w:t>
      </w:r>
      <w:bookmarkEnd w:id="26"/>
    </w:p>
    <w:p w14:paraId="7BE4DE86" w14:textId="5B08BE30" w:rsidR="00566380" w:rsidRPr="006075A4" w:rsidRDefault="00566380" w:rsidP="00F7334E">
      <w:pPr>
        <w:rPr>
          <w:lang w:val="en-GB"/>
        </w:rPr>
      </w:pPr>
    </w:p>
    <w:p w14:paraId="42FFE26D" w14:textId="58B0BFB9" w:rsidR="00C01363" w:rsidRPr="00C01363" w:rsidRDefault="00F7334E" w:rsidP="00C01363">
      <w:pPr>
        <w:pStyle w:val="Heading2"/>
        <w:pBdr>
          <w:top w:val="dotted" w:sz="4" w:space="1" w:color="auto"/>
          <w:bottom w:val="dotted" w:sz="4" w:space="1" w:color="auto"/>
        </w:pBdr>
        <w:spacing w:line="240" w:lineRule="auto"/>
        <w:jc w:val="center"/>
        <w:rPr>
          <w:lang w:val="en-GB"/>
        </w:rPr>
      </w:pPr>
      <w:bookmarkStart w:id="27" w:name="_Ref437595739"/>
      <w:r>
        <w:rPr>
          <w:lang w:val="en-GB"/>
        </w:rPr>
        <w:t>General information</w:t>
      </w:r>
      <w:bookmarkEnd w:id="27"/>
    </w:p>
    <w:p w14:paraId="7EC8D787" w14:textId="77777777" w:rsidR="00C01363" w:rsidRDefault="00C01363" w:rsidP="00C01363">
      <w:pPr>
        <w:spacing w:line="240" w:lineRule="auto"/>
        <w:jc w:val="both"/>
        <w:rPr>
          <w:rFonts w:ascii="Calibri" w:eastAsia="Calibri" w:hAnsi="Calibri" w:cs="Times New Roman"/>
          <w:b/>
          <w:color w:val="FFFFFF" w:themeColor="background1"/>
          <w:shd w:val="clear" w:color="auto" w:fill="7030A0"/>
          <w:lang w:val="en-GB"/>
        </w:rPr>
      </w:pPr>
    </w:p>
    <w:p w14:paraId="651F1C4C" w14:textId="77777777" w:rsidR="00F07846" w:rsidRPr="00F07846" w:rsidRDefault="00F07846" w:rsidP="00F07846">
      <w:pPr>
        <w:jc w:val="both"/>
        <w:rPr>
          <w:b/>
          <w:lang w:val="en-GB"/>
        </w:rPr>
      </w:pPr>
      <w:r w:rsidRPr="00F07846">
        <w:rPr>
          <w:b/>
          <w:color w:val="FFFFFF" w:themeColor="background1"/>
          <w:shd w:val="clear" w:color="auto" w:fill="0070C0"/>
          <w:lang w:val="en-GB"/>
        </w:rPr>
        <w:t xml:space="preserve">SURVEY </w:t>
      </w:r>
      <w:r>
        <w:rPr>
          <w:lang w:val="en-GB"/>
        </w:rPr>
        <w:t xml:space="preserve">- </w:t>
      </w:r>
      <w:r w:rsidRPr="00F07846">
        <w:rPr>
          <w:b/>
          <w:lang w:val="en-GB"/>
        </w:rPr>
        <w:t xml:space="preserve">FRA Focus Papers - </w:t>
      </w:r>
      <w:hyperlink r:id="rId32" w:history="1">
        <w:r w:rsidRPr="00F07846">
          <w:rPr>
            <w:rStyle w:val="Hyperlink"/>
            <w:lang w:val="en-GB"/>
          </w:rPr>
          <w:t>Stakeholder feedback</w:t>
        </w:r>
      </w:hyperlink>
      <w:r w:rsidRPr="00F07846">
        <w:rPr>
          <w:b/>
          <w:lang w:val="en-GB"/>
        </w:rPr>
        <w:t xml:space="preserve"> </w:t>
      </w:r>
      <w:r w:rsidRPr="00F07846">
        <w:rPr>
          <w:lang w:val="en-GB"/>
        </w:rPr>
        <w:t>(Deadline: 16</w:t>
      </w:r>
      <w:r w:rsidRPr="00F07846">
        <w:rPr>
          <w:vertAlign w:val="superscript"/>
          <w:lang w:val="en-GB"/>
        </w:rPr>
        <w:t>th</w:t>
      </w:r>
      <w:r w:rsidRPr="00F07846">
        <w:rPr>
          <w:lang w:val="en-GB"/>
        </w:rPr>
        <w:t xml:space="preserve"> December 2015)</w:t>
      </w:r>
    </w:p>
    <w:p w14:paraId="3776876A" w14:textId="178CED94" w:rsidR="00C01363" w:rsidRDefault="00C01363" w:rsidP="00F07846">
      <w:pPr>
        <w:spacing w:line="240" w:lineRule="auto"/>
        <w:jc w:val="both"/>
        <w:rPr>
          <w:rFonts w:ascii="Calibri" w:eastAsia="Calibri" w:hAnsi="Calibri" w:cs="Times New Roman"/>
          <w:lang w:val="en-GB"/>
        </w:rPr>
      </w:pPr>
      <w:r w:rsidRPr="00F7334E">
        <w:rPr>
          <w:rFonts w:ascii="Calibri" w:eastAsia="Calibri" w:hAnsi="Calibri" w:cs="Times New Roman"/>
          <w:b/>
          <w:color w:val="FFFFFF" w:themeColor="background1"/>
          <w:shd w:val="clear" w:color="auto" w:fill="7030A0"/>
          <w:lang w:val="en-GB"/>
        </w:rPr>
        <w:t>PUBLICATION</w:t>
      </w:r>
      <w:r>
        <w:rPr>
          <w:rFonts w:ascii="Calibri" w:eastAsia="Calibri" w:hAnsi="Calibri" w:cs="Times New Roman"/>
          <w:lang w:val="en-GB"/>
        </w:rPr>
        <w:t xml:space="preserve"> –</w:t>
      </w:r>
      <w:r w:rsidR="00155A5A">
        <w:rPr>
          <w:rFonts w:ascii="Calibri" w:eastAsia="Calibri" w:hAnsi="Calibri" w:cs="Times New Roman"/>
          <w:lang w:val="en-GB"/>
        </w:rPr>
        <w:t xml:space="preserve"> </w:t>
      </w:r>
      <w:r w:rsidR="00155A5A" w:rsidRPr="00155A5A">
        <w:rPr>
          <w:rFonts w:ascii="Calibri" w:eastAsia="Calibri" w:hAnsi="Calibri" w:cs="Times New Roman"/>
          <w:b/>
          <w:lang w:val="en-GB"/>
        </w:rPr>
        <w:t xml:space="preserve">EUROFOUND </w:t>
      </w:r>
      <w:r w:rsidR="00155A5A">
        <w:rPr>
          <w:rFonts w:ascii="Calibri" w:eastAsia="Calibri" w:hAnsi="Calibri" w:cs="Times New Roman"/>
          <w:lang w:val="en-GB"/>
        </w:rPr>
        <w:t>-</w:t>
      </w:r>
      <w:r>
        <w:rPr>
          <w:rFonts w:ascii="Calibri" w:eastAsia="Calibri" w:hAnsi="Calibri" w:cs="Times New Roman"/>
          <w:lang w:val="en-GB"/>
        </w:rPr>
        <w:t xml:space="preserve"> </w:t>
      </w:r>
      <w:hyperlink r:id="rId33" w:history="1">
        <w:r w:rsidRPr="00C01363">
          <w:rPr>
            <w:rStyle w:val="Hyperlink"/>
            <w:rFonts w:ascii="Calibri" w:eastAsia="Calibri" w:hAnsi="Calibri" w:cs="Times New Roman"/>
            <w:lang w:val="en-GB"/>
          </w:rPr>
          <w:t>6</w:t>
        </w:r>
        <w:r w:rsidRPr="00C01363">
          <w:rPr>
            <w:rStyle w:val="Hyperlink"/>
            <w:rFonts w:ascii="Calibri" w:eastAsia="Calibri" w:hAnsi="Calibri" w:cs="Times New Roman"/>
            <w:vertAlign w:val="superscript"/>
            <w:lang w:val="en-GB"/>
          </w:rPr>
          <w:t>th</w:t>
        </w:r>
        <w:r w:rsidRPr="00C01363">
          <w:rPr>
            <w:rStyle w:val="Hyperlink"/>
            <w:rFonts w:ascii="Calibri" w:eastAsia="Calibri" w:hAnsi="Calibri" w:cs="Times New Roman"/>
            <w:lang w:val="en-GB"/>
          </w:rPr>
          <w:t xml:space="preserve"> survey of labour conditions</w:t>
        </w:r>
      </w:hyperlink>
      <w:r>
        <w:rPr>
          <w:rFonts w:ascii="Calibri" w:eastAsia="Calibri" w:hAnsi="Calibri" w:cs="Times New Roman"/>
          <w:lang w:val="en-GB"/>
        </w:rPr>
        <w:t xml:space="preserve"> </w:t>
      </w:r>
    </w:p>
    <w:p w14:paraId="5935C4B9" w14:textId="77777777" w:rsidR="00C01363" w:rsidRDefault="00C01363" w:rsidP="00F07846">
      <w:pPr>
        <w:spacing w:line="240" w:lineRule="auto"/>
        <w:jc w:val="both"/>
        <w:rPr>
          <w:rFonts w:ascii="Calibri" w:eastAsia="Calibri" w:hAnsi="Calibri" w:cs="Times New Roman"/>
          <w:lang w:val="en-GB"/>
        </w:rPr>
      </w:pPr>
      <w:r>
        <w:rPr>
          <w:rFonts w:ascii="Calibri" w:eastAsia="Calibri" w:hAnsi="Calibri" w:cs="Times New Roman"/>
          <w:lang w:val="en-GB"/>
        </w:rPr>
        <w:t>According to the report, a</w:t>
      </w:r>
      <w:r w:rsidRPr="00C01363">
        <w:rPr>
          <w:rFonts w:ascii="Calibri" w:eastAsia="Calibri" w:hAnsi="Calibri" w:cs="Times New Roman"/>
          <w:lang w:val="en-GB"/>
        </w:rPr>
        <w:t>lmost one in six workers (16%) reports having been subject to adverse social behaviour – such as acts of violence, harassmen</w:t>
      </w:r>
      <w:r>
        <w:rPr>
          <w:rFonts w:ascii="Calibri" w:eastAsia="Calibri" w:hAnsi="Calibri" w:cs="Times New Roman"/>
          <w:lang w:val="en-GB"/>
        </w:rPr>
        <w:t>t and unwanted sexual attention.</w:t>
      </w:r>
    </w:p>
    <w:p w14:paraId="1E861601" w14:textId="77777777" w:rsidR="00C01363" w:rsidRPr="0067555F" w:rsidRDefault="00C01363" w:rsidP="00C01363">
      <w:pPr>
        <w:pStyle w:val="Heading2"/>
        <w:pBdr>
          <w:top w:val="dotted" w:sz="4" w:space="1" w:color="auto"/>
          <w:bottom w:val="dotted" w:sz="4" w:space="1" w:color="auto"/>
        </w:pBdr>
        <w:jc w:val="center"/>
        <w:rPr>
          <w:lang w:val="en-US"/>
        </w:rPr>
      </w:pPr>
      <w:bookmarkStart w:id="28" w:name="_Ref437595740"/>
      <w:r>
        <w:rPr>
          <w:lang w:val="en-GB"/>
        </w:rPr>
        <w:t>Gender Equality</w:t>
      </w:r>
      <w:bookmarkEnd w:id="28"/>
    </w:p>
    <w:p w14:paraId="21157E96" w14:textId="77777777" w:rsidR="00C01363" w:rsidRPr="0067555F" w:rsidRDefault="00C01363" w:rsidP="00C01363">
      <w:pPr>
        <w:rPr>
          <w:lang w:val="en-US"/>
        </w:rPr>
      </w:pPr>
    </w:p>
    <w:p w14:paraId="6E84BE67" w14:textId="5D069098" w:rsidR="00F86B17" w:rsidRDefault="00C01363" w:rsidP="00C01363">
      <w:pPr>
        <w:jc w:val="both"/>
        <w:rPr>
          <w:lang w:val="en-US"/>
        </w:rPr>
      </w:pPr>
      <w:r w:rsidRPr="00C01363">
        <w:rPr>
          <w:b/>
          <w:color w:val="FFFFFF" w:themeColor="background1"/>
          <w:shd w:val="clear" w:color="auto" w:fill="7030A0"/>
          <w:lang w:val="en-US"/>
        </w:rPr>
        <w:t>PUBLICATION</w:t>
      </w:r>
      <w:r w:rsidRPr="00C01363">
        <w:rPr>
          <w:lang w:val="en-US"/>
        </w:rPr>
        <w:t xml:space="preserve"> – </w:t>
      </w:r>
      <w:r w:rsidR="00155A5A" w:rsidRPr="00C01363">
        <w:rPr>
          <w:b/>
          <w:lang w:val="en-US"/>
        </w:rPr>
        <w:t>EUROPEAN COMMISSION</w:t>
      </w:r>
      <w:r w:rsidR="00155A5A" w:rsidRPr="00C01363">
        <w:rPr>
          <w:lang w:val="en-US"/>
        </w:rPr>
        <w:t xml:space="preserve"> </w:t>
      </w:r>
      <w:r w:rsidRPr="00C01363">
        <w:rPr>
          <w:lang w:val="en-US"/>
        </w:rPr>
        <w:t xml:space="preserve">– </w:t>
      </w:r>
      <w:hyperlink r:id="rId34" w:history="1">
        <w:r w:rsidRPr="00C01363">
          <w:rPr>
            <w:rStyle w:val="Hyperlink"/>
            <w:lang w:val="en-US"/>
          </w:rPr>
          <w:t>Attitudes towards violence against women in the EU</w:t>
        </w:r>
      </w:hyperlink>
      <w:r w:rsidRPr="00C01363">
        <w:rPr>
          <w:lang w:val="en-US"/>
        </w:rPr>
        <w:t xml:space="preserve"> - Enrique </w:t>
      </w:r>
      <w:proofErr w:type="spellStart"/>
      <w:r w:rsidRPr="00C01363">
        <w:rPr>
          <w:lang w:val="en-US"/>
        </w:rPr>
        <w:t>Gracia</w:t>
      </w:r>
      <w:proofErr w:type="spellEnd"/>
      <w:r w:rsidRPr="00C01363">
        <w:rPr>
          <w:lang w:val="en-US"/>
        </w:rPr>
        <w:t xml:space="preserve"> &amp; Marisol Lila</w:t>
      </w:r>
      <w:r>
        <w:rPr>
          <w:lang w:val="en-US"/>
        </w:rPr>
        <w:t>, University of Valencia</w:t>
      </w:r>
    </w:p>
    <w:p w14:paraId="664A846C" w14:textId="77777777" w:rsidR="00C01363" w:rsidRPr="00C01363" w:rsidRDefault="00C01363" w:rsidP="00C01363">
      <w:pPr>
        <w:jc w:val="both"/>
        <w:rPr>
          <w:lang w:val="en-US"/>
        </w:rPr>
      </w:pPr>
    </w:p>
    <w:p w14:paraId="1F4DF171" w14:textId="0A0DA277" w:rsidR="00F93FE2" w:rsidRPr="006075A4" w:rsidRDefault="00F93FE2" w:rsidP="00C01363">
      <w:pPr>
        <w:pStyle w:val="Heading2"/>
        <w:pBdr>
          <w:top w:val="dotted" w:sz="4" w:space="1" w:color="auto"/>
          <w:bottom w:val="dotted" w:sz="4" w:space="1" w:color="auto"/>
        </w:pBdr>
        <w:jc w:val="center"/>
        <w:rPr>
          <w:lang w:val="en-GB"/>
        </w:rPr>
      </w:pPr>
      <w:bookmarkStart w:id="29" w:name="_Ref437595743"/>
      <w:r>
        <w:rPr>
          <w:lang w:val="en-GB"/>
        </w:rPr>
        <w:t>Race/ethnic origin</w:t>
      </w:r>
      <w:bookmarkEnd w:id="29"/>
    </w:p>
    <w:p w14:paraId="0C342D6F" w14:textId="7F1A3ADC" w:rsidR="00F93FE2" w:rsidRDefault="00F93FE2" w:rsidP="00C01363">
      <w:pPr>
        <w:rPr>
          <w:lang w:val="en-GB"/>
        </w:rPr>
      </w:pPr>
    </w:p>
    <w:p w14:paraId="0A417F2A" w14:textId="7EBDB8ED" w:rsidR="00C01363" w:rsidRDefault="00155A5A" w:rsidP="00155A5A">
      <w:pPr>
        <w:jc w:val="both"/>
        <w:rPr>
          <w:lang w:val="en-GB"/>
        </w:rPr>
      </w:pPr>
      <w:r w:rsidRPr="00155A5A">
        <w:rPr>
          <w:b/>
          <w:shd w:val="clear" w:color="auto" w:fill="A8D08D" w:themeFill="accent6" w:themeFillTint="99"/>
          <w:lang w:val="en-GB"/>
        </w:rPr>
        <w:t>CALL FOR PROPOSALS</w:t>
      </w:r>
      <w:r>
        <w:rPr>
          <w:lang w:val="en-GB"/>
        </w:rPr>
        <w:t xml:space="preserve"> – </w:t>
      </w:r>
      <w:r w:rsidRPr="00155A5A">
        <w:rPr>
          <w:b/>
          <w:lang w:val="en-GB"/>
        </w:rPr>
        <w:t>EUROPEAN COMMISSION</w:t>
      </w:r>
      <w:r>
        <w:rPr>
          <w:lang w:val="en-GB"/>
        </w:rPr>
        <w:t xml:space="preserve"> - </w:t>
      </w:r>
      <w:hyperlink r:id="rId35" w:history="1">
        <w:r w:rsidRPr="00155A5A">
          <w:rPr>
            <w:rStyle w:val="Hyperlink"/>
            <w:lang w:val="en-GB"/>
          </w:rPr>
          <w:t>Action grants to support transnational projects to prevent and combat racism, xenophobia, homophobia and other forms of intolerance</w:t>
        </w:r>
      </w:hyperlink>
      <w:r>
        <w:rPr>
          <w:lang w:val="en-GB"/>
        </w:rPr>
        <w:t xml:space="preserve"> (Deadline: 18</w:t>
      </w:r>
      <w:r w:rsidRPr="00155A5A">
        <w:rPr>
          <w:vertAlign w:val="superscript"/>
          <w:lang w:val="en-GB"/>
        </w:rPr>
        <w:t>th</w:t>
      </w:r>
      <w:r>
        <w:rPr>
          <w:lang w:val="en-GB"/>
        </w:rPr>
        <w:t xml:space="preserve"> February 2015)</w:t>
      </w:r>
    </w:p>
    <w:p w14:paraId="4F6C59D4" w14:textId="3A96FDD4" w:rsidR="00155A5A" w:rsidRDefault="00155A5A" w:rsidP="00155A5A">
      <w:pPr>
        <w:jc w:val="both"/>
        <w:rPr>
          <w:lang w:val="en-GB"/>
        </w:rPr>
      </w:pPr>
      <w:r w:rsidRPr="00155A5A">
        <w:rPr>
          <w:b/>
          <w:shd w:val="clear" w:color="auto" w:fill="FFFF00"/>
          <w:lang w:val="en-GB"/>
        </w:rPr>
        <w:t xml:space="preserve">NEWSLETTERS </w:t>
      </w:r>
      <w:r>
        <w:rPr>
          <w:lang w:val="en-GB"/>
        </w:rPr>
        <w:t xml:space="preserve">– </w:t>
      </w:r>
      <w:r w:rsidRPr="00155A5A">
        <w:rPr>
          <w:b/>
          <w:lang w:val="en-GB"/>
        </w:rPr>
        <w:t>EUROPEAN COMMISSION</w:t>
      </w:r>
      <w:r>
        <w:rPr>
          <w:lang w:val="en-GB"/>
        </w:rPr>
        <w:t xml:space="preserve"> – </w:t>
      </w:r>
      <w:hyperlink r:id="rId36" w:history="1">
        <w:r w:rsidRPr="00155A5A">
          <w:rPr>
            <w:rStyle w:val="Hyperlink"/>
            <w:lang w:val="en-GB"/>
          </w:rPr>
          <w:t>“For Roma, with Roma”</w:t>
        </w:r>
      </w:hyperlink>
    </w:p>
    <w:p w14:paraId="38D6DE95" w14:textId="77777777" w:rsidR="00F93FE2" w:rsidRPr="006075A4" w:rsidRDefault="00F93FE2" w:rsidP="00155A5A">
      <w:pPr>
        <w:spacing w:line="240" w:lineRule="auto"/>
        <w:jc w:val="both"/>
        <w:rPr>
          <w:lang w:val="en-GB"/>
        </w:rPr>
      </w:pPr>
    </w:p>
    <w:p w14:paraId="2625C7AE" w14:textId="04096567" w:rsidR="00F93FE2" w:rsidRPr="006075A4" w:rsidRDefault="00F93FE2" w:rsidP="00155A5A">
      <w:pPr>
        <w:pStyle w:val="Heading2"/>
        <w:pBdr>
          <w:top w:val="dotted" w:sz="4" w:space="1" w:color="auto"/>
          <w:bottom w:val="dotted" w:sz="4" w:space="1" w:color="auto"/>
        </w:pBdr>
        <w:spacing w:line="240" w:lineRule="auto"/>
        <w:jc w:val="center"/>
        <w:rPr>
          <w:lang w:val="en-GB"/>
        </w:rPr>
      </w:pPr>
      <w:bookmarkStart w:id="30" w:name="_Ref437595744"/>
      <w:r w:rsidRPr="006075A4">
        <w:rPr>
          <w:lang w:val="en-GB"/>
        </w:rPr>
        <w:t>Disability</w:t>
      </w:r>
      <w:bookmarkEnd w:id="30"/>
    </w:p>
    <w:p w14:paraId="398A976F" w14:textId="1083792C" w:rsidR="00AE4CA6" w:rsidRPr="0067555F" w:rsidRDefault="00AE4CA6" w:rsidP="005F242C">
      <w:pPr>
        <w:spacing w:line="240" w:lineRule="auto"/>
        <w:jc w:val="both"/>
        <w:rPr>
          <w:lang w:val="en-US"/>
        </w:rPr>
      </w:pPr>
    </w:p>
    <w:p w14:paraId="430566DD" w14:textId="19E7A40E" w:rsidR="005F242C" w:rsidRDefault="005F242C" w:rsidP="005F242C">
      <w:pPr>
        <w:spacing w:line="240" w:lineRule="auto"/>
        <w:jc w:val="both"/>
        <w:rPr>
          <w:lang w:val="en-US"/>
        </w:rPr>
      </w:pPr>
      <w:r w:rsidRPr="005F242C">
        <w:rPr>
          <w:b/>
          <w:color w:val="FFFFFF" w:themeColor="background1"/>
          <w:shd w:val="clear" w:color="auto" w:fill="7030A0"/>
          <w:lang w:val="en-US"/>
        </w:rPr>
        <w:t>PUBLICATION</w:t>
      </w:r>
      <w:r>
        <w:rPr>
          <w:lang w:val="en-US"/>
        </w:rPr>
        <w:t xml:space="preserve"> - </w:t>
      </w:r>
      <w:r w:rsidRPr="005F242C">
        <w:rPr>
          <w:b/>
          <w:lang w:val="en-US"/>
        </w:rPr>
        <w:t>EU AGENCY FOR FUNDAMENTAL RIGHTS (FRA)</w:t>
      </w:r>
      <w:r w:rsidRPr="005F242C">
        <w:rPr>
          <w:lang w:val="en-US"/>
        </w:rPr>
        <w:t xml:space="preserve"> - </w:t>
      </w:r>
      <w:hyperlink r:id="rId37" w:history="1">
        <w:r w:rsidRPr="005F242C">
          <w:rPr>
            <w:rStyle w:val="Hyperlink"/>
            <w:lang w:val="en-US"/>
          </w:rPr>
          <w:t>Violence against children with disabilities: legislation, policies and programmes in the European Union</w:t>
        </w:r>
      </w:hyperlink>
    </w:p>
    <w:p w14:paraId="126A37FA" w14:textId="16E78539" w:rsidR="00F93FE2" w:rsidRDefault="005F242C" w:rsidP="001870D2">
      <w:pPr>
        <w:spacing w:line="240" w:lineRule="auto"/>
        <w:jc w:val="both"/>
        <w:rPr>
          <w:lang w:val="en-US"/>
        </w:rPr>
      </w:pPr>
      <w:r w:rsidRPr="005F242C">
        <w:rPr>
          <w:b/>
          <w:color w:val="FFFFFF" w:themeColor="background1"/>
          <w:shd w:val="clear" w:color="auto" w:fill="7030A0"/>
          <w:lang w:val="en-US"/>
        </w:rPr>
        <w:t>PUBLICATION</w:t>
      </w:r>
      <w:r w:rsidRPr="005F242C">
        <w:rPr>
          <w:b/>
          <w:lang w:val="en-US"/>
        </w:rPr>
        <w:t xml:space="preserve"> </w:t>
      </w:r>
      <w:r>
        <w:rPr>
          <w:lang w:val="en-US"/>
        </w:rPr>
        <w:t>-</w:t>
      </w:r>
      <w:r w:rsidRPr="005F242C">
        <w:rPr>
          <w:b/>
          <w:lang w:val="en-US"/>
        </w:rPr>
        <w:t xml:space="preserve"> COUNCIL OF EUROPE</w:t>
      </w:r>
      <w:r>
        <w:rPr>
          <w:lang w:val="en-US"/>
        </w:rPr>
        <w:t xml:space="preserve"> - </w:t>
      </w:r>
      <w:hyperlink r:id="rId38" w:history="1">
        <w:r w:rsidRPr="005F242C">
          <w:rPr>
            <w:rStyle w:val="Hyperlink"/>
            <w:lang w:val="en-US"/>
          </w:rPr>
          <w:t>Implementation of the Council of Europe Action Plan to promote the rights and full participation of people with disabilities in society: Improving the quality of life of people with disabilities in Europe 2006-2015- Abridged evaluation report</w:t>
        </w:r>
      </w:hyperlink>
    </w:p>
    <w:p w14:paraId="4AEE8764" w14:textId="77777777" w:rsidR="001870D2" w:rsidRPr="005F242C" w:rsidRDefault="001870D2" w:rsidP="001870D2">
      <w:pPr>
        <w:spacing w:line="240" w:lineRule="auto"/>
        <w:jc w:val="both"/>
        <w:rPr>
          <w:lang w:val="en-US"/>
        </w:rPr>
      </w:pPr>
    </w:p>
    <w:p w14:paraId="1D166ABD" w14:textId="2D3E21DB" w:rsidR="001870D2" w:rsidRDefault="001870D2" w:rsidP="001870D2">
      <w:pPr>
        <w:pStyle w:val="Heading2"/>
        <w:pBdr>
          <w:top w:val="dotted" w:sz="4" w:space="1" w:color="auto"/>
          <w:bottom w:val="dotted" w:sz="4" w:space="1" w:color="auto"/>
        </w:pBdr>
        <w:spacing w:line="240" w:lineRule="auto"/>
        <w:jc w:val="center"/>
        <w:rPr>
          <w:lang w:val="en-US"/>
        </w:rPr>
      </w:pPr>
      <w:bookmarkStart w:id="31" w:name="_Ref437595745"/>
      <w:r>
        <w:rPr>
          <w:lang w:val="en-US"/>
        </w:rPr>
        <w:t>Age</w:t>
      </w:r>
      <w:bookmarkEnd w:id="31"/>
    </w:p>
    <w:p w14:paraId="0B7E7872" w14:textId="77777777" w:rsidR="001870D2" w:rsidRDefault="001870D2" w:rsidP="001870D2">
      <w:pPr>
        <w:rPr>
          <w:lang w:val="en-US"/>
        </w:rPr>
      </w:pPr>
    </w:p>
    <w:p w14:paraId="3BCCDD32" w14:textId="460FCA38" w:rsidR="001870D2" w:rsidRDefault="001870D2" w:rsidP="001870D2">
      <w:pPr>
        <w:jc w:val="both"/>
        <w:rPr>
          <w:lang w:val="en-US"/>
        </w:rPr>
      </w:pPr>
      <w:r w:rsidRPr="005F242C">
        <w:rPr>
          <w:b/>
          <w:color w:val="FFFFFF" w:themeColor="background1"/>
          <w:shd w:val="clear" w:color="auto" w:fill="7030A0"/>
          <w:lang w:val="en-US"/>
        </w:rPr>
        <w:t>PUBLICATION</w:t>
      </w:r>
      <w:r>
        <w:rPr>
          <w:lang w:val="en-US"/>
        </w:rPr>
        <w:t xml:space="preserve"> - </w:t>
      </w:r>
      <w:r w:rsidRPr="005F242C">
        <w:rPr>
          <w:b/>
          <w:lang w:val="en-US"/>
        </w:rPr>
        <w:t>EU AGENCY FOR FUNDAMENTAL RIGHTS (FRA)</w:t>
      </w:r>
      <w:r w:rsidRPr="005F242C">
        <w:rPr>
          <w:lang w:val="en-US"/>
        </w:rPr>
        <w:t xml:space="preserve"> </w:t>
      </w:r>
      <w:r>
        <w:rPr>
          <w:lang w:val="en-US"/>
        </w:rPr>
        <w:t xml:space="preserve">- </w:t>
      </w:r>
      <w:hyperlink r:id="rId39" w:history="1">
        <w:r w:rsidRPr="001870D2">
          <w:rPr>
            <w:rStyle w:val="Hyperlink"/>
            <w:lang w:val="en-US"/>
          </w:rPr>
          <w:t>Handbook on European law relating to the rights of the child</w:t>
        </w:r>
      </w:hyperlink>
    </w:p>
    <w:p w14:paraId="5032AC06" w14:textId="528284A5" w:rsidR="001870D2" w:rsidRDefault="001870D2" w:rsidP="001870D2">
      <w:pPr>
        <w:jc w:val="both"/>
        <w:rPr>
          <w:lang w:val="en-US"/>
        </w:rPr>
      </w:pPr>
      <w:r w:rsidRPr="005F242C">
        <w:rPr>
          <w:b/>
          <w:color w:val="FFFFFF" w:themeColor="background1"/>
          <w:shd w:val="clear" w:color="auto" w:fill="7030A0"/>
          <w:lang w:val="en-US"/>
        </w:rPr>
        <w:t>PUBLICATION</w:t>
      </w:r>
      <w:r>
        <w:rPr>
          <w:lang w:val="en-US"/>
        </w:rPr>
        <w:t xml:space="preserve"> - </w:t>
      </w:r>
      <w:r w:rsidRPr="005F242C">
        <w:rPr>
          <w:b/>
          <w:lang w:val="en-US"/>
        </w:rPr>
        <w:t>EU AGENCY FOR FUNDAMENTAL RIGHTS (FRA)</w:t>
      </w:r>
      <w:r w:rsidRPr="005F242C">
        <w:rPr>
          <w:lang w:val="en-US"/>
        </w:rPr>
        <w:t xml:space="preserve"> </w:t>
      </w:r>
      <w:r>
        <w:rPr>
          <w:lang w:val="en-US"/>
        </w:rPr>
        <w:t xml:space="preserve">- </w:t>
      </w:r>
      <w:hyperlink r:id="rId40" w:history="1">
        <w:r w:rsidRPr="001870D2">
          <w:rPr>
            <w:rStyle w:val="Hyperlink"/>
            <w:lang w:val="en-US"/>
          </w:rPr>
          <w:t>Guardianship systems for children deprived of parental care in the European Union</w:t>
        </w:r>
      </w:hyperlink>
    </w:p>
    <w:p w14:paraId="0FF23C87" w14:textId="186ACAE5" w:rsidR="00F93FE2" w:rsidRPr="001870D2" w:rsidRDefault="00F93FE2" w:rsidP="001870D2">
      <w:pPr>
        <w:rPr>
          <w:lang w:val="en-US"/>
        </w:rPr>
      </w:pPr>
    </w:p>
    <w:p w14:paraId="346CA8BB" w14:textId="202A2AF0" w:rsidR="0067153F" w:rsidRPr="0067555F" w:rsidRDefault="00AE4CA6" w:rsidP="001870D2">
      <w:pPr>
        <w:pStyle w:val="Heading2"/>
        <w:pBdr>
          <w:top w:val="dotted" w:sz="4" w:space="1" w:color="auto"/>
          <w:bottom w:val="dotted" w:sz="4" w:space="1" w:color="auto"/>
        </w:pBdr>
        <w:jc w:val="center"/>
        <w:rPr>
          <w:lang w:val="en-US"/>
        </w:rPr>
      </w:pPr>
      <w:bookmarkStart w:id="32" w:name="_Ref437595746"/>
      <w:r w:rsidRPr="0067555F">
        <w:rPr>
          <w:lang w:val="en-US"/>
        </w:rPr>
        <w:t>Other</w:t>
      </w:r>
      <w:bookmarkEnd w:id="32"/>
    </w:p>
    <w:p w14:paraId="68A86F02" w14:textId="77777777" w:rsidR="001870D2" w:rsidRPr="0067555F" w:rsidRDefault="001870D2" w:rsidP="001870D2">
      <w:pPr>
        <w:rPr>
          <w:lang w:val="en-US"/>
        </w:rPr>
      </w:pPr>
    </w:p>
    <w:p w14:paraId="20B79FDB" w14:textId="7E6ADFFF" w:rsidR="001870D2" w:rsidRPr="001870D2" w:rsidRDefault="001870D2" w:rsidP="001870D2">
      <w:pPr>
        <w:jc w:val="both"/>
        <w:rPr>
          <w:lang w:val="en-US"/>
        </w:rPr>
      </w:pPr>
      <w:r w:rsidRPr="005F242C">
        <w:rPr>
          <w:b/>
          <w:color w:val="FFFFFF" w:themeColor="background1"/>
          <w:shd w:val="clear" w:color="auto" w:fill="7030A0"/>
          <w:lang w:val="en-US"/>
        </w:rPr>
        <w:t>PUBLICATION</w:t>
      </w:r>
      <w:r>
        <w:rPr>
          <w:lang w:val="en-US"/>
        </w:rPr>
        <w:t xml:space="preserve"> - </w:t>
      </w:r>
      <w:r w:rsidRPr="005F242C">
        <w:rPr>
          <w:b/>
          <w:lang w:val="en-US"/>
        </w:rPr>
        <w:t>EU AGENCY FOR FUNDAMENTAL RIGHTS (FRA)</w:t>
      </w:r>
      <w:r>
        <w:rPr>
          <w:b/>
          <w:lang w:val="en-US"/>
        </w:rPr>
        <w:t xml:space="preserve"> - </w:t>
      </w:r>
      <w:hyperlink r:id="rId41" w:history="1">
        <w:r w:rsidRPr="001870D2">
          <w:rPr>
            <w:rStyle w:val="Hyperlink"/>
            <w:lang w:val="en-US"/>
          </w:rPr>
          <w:t>Cost of exclusion from healthcare – The case of migrants in an irregular situation</w:t>
        </w:r>
      </w:hyperlink>
    </w:p>
    <w:p w14:paraId="3F7C5F43" w14:textId="77777777" w:rsidR="001870D2" w:rsidRPr="001870D2" w:rsidRDefault="001870D2" w:rsidP="001870D2">
      <w:pPr>
        <w:rPr>
          <w:lang w:val="en-US"/>
        </w:rPr>
      </w:pPr>
    </w:p>
    <w:p w14:paraId="6C53EA1D" w14:textId="77777777" w:rsidR="00B07813" w:rsidRPr="001870D2" w:rsidRDefault="00B07813" w:rsidP="000263B4">
      <w:pPr>
        <w:pBdr>
          <w:bottom w:val="dotted" w:sz="36" w:space="1" w:color="auto"/>
        </w:pBdr>
        <w:spacing w:line="240" w:lineRule="auto"/>
        <w:rPr>
          <w:lang w:val="en-US"/>
        </w:rPr>
      </w:pPr>
    </w:p>
    <w:p w14:paraId="21B1D0B2" w14:textId="77777777" w:rsidR="000D6BD2" w:rsidRDefault="000D6BD2" w:rsidP="000D6BD2">
      <w:pPr>
        <w:pStyle w:val="Heading1"/>
        <w:spacing w:line="240" w:lineRule="auto"/>
        <w:rPr>
          <w:color w:val="FFFFFF" w:themeColor="background1"/>
          <w:lang w:val="en-GB"/>
        </w:rPr>
      </w:pPr>
      <w:bookmarkStart w:id="33" w:name="_Toc418770756"/>
      <w:bookmarkStart w:id="34" w:name="_Ref418784375"/>
      <w:bookmarkStart w:id="35" w:name="_Ref421267634"/>
      <w:r>
        <w:rPr>
          <w:color w:val="FFFFFF" w:themeColor="background1"/>
          <w:lang w:val="en-GB"/>
        </w:rPr>
        <w:br w:type="page"/>
      </w:r>
    </w:p>
    <w:p w14:paraId="6A49563D" w14:textId="494CC86D" w:rsidR="00B07813" w:rsidRPr="00C8704A" w:rsidRDefault="00B07813" w:rsidP="00C8704A">
      <w:pPr>
        <w:pStyle w:val="Heading1"/>
        <w:shd w:val="clear" w:color="auto" w:fill="3F897D"/>
        <w:spacing w:line="240" w:lineRule="auto"/>
        <w:rPr>
          <w:color w:val="FFFFFF" w:themeColor="background1"/>
          <w:lang w:val="en-GB"/>
        </w:rPr>
      </w:pPr>
      <w:bookmarkStart w:id="36" w:name="_Ref437595747"/>
      <w:r w:rsidRPr="00C8704A">
        <w:rPr>
          <w:color w:val="FFFFFF" w:themeColor="background1"/>
          <w:lang w:val="en-GB"/>
        </w:rPr>
        <w:t>Recent case-law</w:t>
      </w:r>
      <w:bookmarkEnd w:id="33"/>
      <w:bookmarkEnd w:id="34"/>
      <w:bookmarkEnd w:id="35"/>
      <w:bookmarkEnd w:id="36"/>
    </w:p>
    <w:p w14:paraId="6789F518" w14:textId="77777777" w:rsidR="0034362B" w:rsidRPr="006075A4" w:rsidRDefault="0034362B" w:rsidP="000263B4">
      <w:pPr>
        <w:spacing w:line="240" w:lineRule="auto"/>
        <w:rPr>
          <w:lang w:val="en-GB"/>
        </w:rPr>
      </w:pPr>
    </w:p>
    <w:p w14:paraId="7B10DD56" w14:textId="2365666F" w:rsidR="009913B6" w:rsidRPr="006075A4" w:rsidRDefault="00AB116C" w:rsidP="00C8704A">
      <w:pPr>
        <w:pStyle w:val="Heading2"/>
        <w:pBdr>
          <w:top w:val="dotted" w:sz="4" w:space="1" w:color="auto"/>
          <w:bottom w:val="dotted" w:sz="4" w:space="1" w:color="auto"/>
        </w:pBdr>
        <w:spacing w:line="240" w:lineRule="auto"/>
        <w:jc w:val="center"/>
        <w:rPr>
          <w:lang w:val="en-GB"/>
        </w:rPr>
      </w:pPr>
      <w:bookmarkStart w:id="37" w:name="_Ref421267644"/>
      <w:r w:rsidRPr="006075A4">
        <w:rPr>
          <w:lang w:val="en-GB"/>
        </w:rPr>
        <w:t>European Court of Human Rights (ECHR)</w:t>
      </w:r>
      <w:bookmarkEnd w:id="37"/>
    </w:p>
    <w:p w14:paraId="3007CF4B" w14:textId="77777777" w:rsidR="00DC0B82" w:rsidRDefault="00845CD1" w:rsidP="000263B4">
      <w:pPr>
        <w:spacing w:line="240" w:lineRule="auto"/>
        <w:jc w:val="both"/>
        <w:rPr>
          <w:lang w:val="en-GB"/>
        </w:rPr>
      </w:pPr>
      <w:r w:rsidRPr="006075A4">
        <w:rPr>
          <w:lang w:val="en-GB"/>
        </w:rPr>
        <w:t xml:space="preserve"> </w:t>
      </w:r>
    </w:p>
    <w:p w14:paraId="6EB0DC5F" w14:textId="64610855" w:rsidR="00DC0B82" w:rsidRPr="00DC0B82" w:rsidRDefault="00DC0B82" w:rsidP="00DC0B82">
      <w:pPr>
        <w:pStyle w:val="ListParagraph"/>
        <w:numPr>
          <w:ilvl w:val="0"/>
          <w:numId w:val="34"/>
        </w:numPr>
        <w:spacing w:line="240" w:lineRule="auto"/>
        <w:jc w:val="both"/>
        <w:rPr>
          <w:b/>
          <w:lang w:val="en-GB"/>
        </w:rPr>
      </w:pPr>
      <w:proofErr w:type="spellStart"/>
      <w:r w:rsidRPr="00DC0B82">
        <w:rPr>
          <w:b/>
          <w:lang w:val="en-GB"/>
        </w:rPr>
        <w:t>Ebrahimian</w:t>
      </w:r>
      <w:proofErr w:type="spellEnd"/>
      <w:r w:rsidRPr="00DC0B82">
        <w:rPr>
          <w:b/>
          <w:lang w:val="en-GB"/>
        </w:rPr>
        <w:t xml:space="preserve"> v. France (application no. 64846/11)</w:t>
      </w:r>
      <w:r>
        <w:rPr>
          <w:b/>
          <w:lang w:val="en-GB"/>
        </w:rPr>
        <w:t xml:space="preserve"> – 26</w:t>
      </w:r>
      <w:r w:rsidRPr="00DC0B82">
        <w:rPr>
          <w:b/>
          <w:vertAlign w:val="superscript"/>
          <w:lang w:val="en-GB"/>
        </w:rPr>
        <w:t>th</w:t>
      </w:r>
      <w:r>
        <w:rPr>
          <w:b/>
          <w:lang w:val="en-GB"/>
        </w:rPr>
        <w:t xml:space="preserve"> November 2015</w:t>
      </w:r>
    </w:p>
    <w:p w14:paraId="4F344257" w14:textId="51550676" w:rsidR="00DC0B82" w:rsidRDefault="00DC0B82" w:rsidP="000263B4">
      <w:pPr>
        <w:spacing w:line="240" w:lineRule="auto"/>
        <w:jc w:val="both"/>
        <w:rPr>
          <w:lang w:val="en-GB"/>
        </w:rPr>
      </w:pPr>
      <w:r w:rsidRPr="00DC0B82">
        <w:rPr>
          <w:lang w:val="en-GB"/>
        </w:rPr>
        <w:t xml:space="preserve">In its judgment in the case of </w:t>
      </w:r>
      <w:proofErr w:type="spellStart"/>
      <w:r w:rsidRPr="00DC0B82">
        <w:rPr>
          <w:lang w:val="en-GB"/>
        </w:rPr>
        <w:t>Ebrahimian</w:t>
      </w:r>
      <w:proofErr w:type="spellEnd"/>
      <w:r w:rsidRPr="00DC0B82">
        <w:rPr>
          <w:lang w:val="en-GB"/>
        </w:rPr>
        <w:t xml:space="preserve"> v. France (application no. 64846/11) regarding the non-renewal of a French social worker’s contract, who refused to remove her veil, the European Court of Human Rights held, unanimously, that there had been no violation of Article 9 (right to freedom of religion) of the European Convention on Human Rights</w:t>
      </w:r>
      <w:r>
        <w:rPr>
          <w:lang w:val="en-GB"/>
        </w:rPr>
        <w:t xml:space="preserve">. </w:t>
      </w:r>
    </w:p>
    <w:p w14:paraId="1D4C5118" w14:textId="574C25DB" w:rsidR="00DC0B82" w:rsidRPr="00DC0B82" w:rsidRDefault="00DC0B82" w:rsidP="00DC0B82">
      <w:pPr>
        <w:shd w:val="clear" w:color="auto" w:fill="D9D9D9" w:themeFill="background1" w:themeFillShade="D9"/>
        <w:spacing w:line="240" w:lineRule="auto"/>
        <w:jc w:val="both"/>
        <w:rPr>
          <w:b/>
          <w:lang w:val="en-GB"/>
        </w:rPr>
      </w:pPr>
      <w:r w:rsidRPr="00DC0B82">
        <w:rPr>
          <w:b/>
          <w:lang w:val="en-GB"/>
        </w:rPr>
        <w:t xml:space="preserve">The judgement can be downloaded </w:t>
      </w:r>
      <w:hyperlink r:id="rId42" w:history="1">
        <w:r w:rsidRPr="00DC0B82">
          <w:rPr>
            <w:rStyle w:val="Hyperlink"/>
            <w:b/>
            <w:lang w:val="en-GB"/>
          </w:rPr>
          <w:t>here</w:t>
        </w:r>
      </w:hyperlink>
      <w:r w:rsidRPr="00DC0B82">
        <w:rPr>
          <w:b/>
          <w:lang w:val="en-GB"/>
        </w:rPr>
        <w:t>.</w:t>
      </w:r>
      <w:r>
        <w:rPr>
          <w:b/>
          <w:lang w:val="en-GB"/>
        </w:rPr>
        <w:tab/>
      </w:r>
      <w:r w:rsidRPr="00DC0B82">
        <w:rPr>
          <w:b/>
          <w:lang w:val="en-GB"/>
        </w:rPr>
        <w:t xml:space="preserve"> </w:t>
      </w:r>
      <w:r>
        <w:rPr>
          <w:b/>
          <w:lang w:val="en-GB"/>
        </w:rPr>
        <w:br/>
        <w:t xml:space="preserve">A longer analysis of the case is available </w:t>
      </w:r>
      <w:hyperlink r:id="rId43" w:history="1">
        <w:r w:rsidRPr="00DC0B82">
          <w:rPr>
            <w:rStyle w:val="Hyperlink"/>
            <w:b/>
            <w:lang w:val="en-GB"/>
          </w:rPr>
          <w:t>here</w:t>
        </w:r>
      </w:hyperlink>
      <w:r>
        <w:rPr>
          <w:b/>
          <w:lang w:val="en-GB"/>
        </w:rPr>
        <w:t>.</w:t>
      </w:r>
    </w:p>
    <w:p w14:paraId="13CFC09E" w14:textId="77777777" w:rsidR="00DC0B82" w:rsidRDefault="00DC0B82" w:rsidP="000263B4">
      <w:pPr>
        <w:spacing w:line="240" w:lineRule="auto"/>
        <w:jc w:val="both"/>
        <w:rPr>
          <w:lang w:val="en-GB"/>
        </w:rPr>
      </w:pPr>
    </w:p>
    <w:p w14:paraId="241D1809" w14:textId="09A0F528" w:rsidR="00DC0B82" w:rsidRDefault="00DC0B82" w:rsidP="00DC0B82">
      <w:pPr>
        <w:pStyle w:val="ListParagraph"/>
        <w:numPr>
          <w:ilvl w:val="0"/>
          <w:numId w:val="34"/>
        </w:numPr>
        <w:spacing w:line="240" w:lineRule="auto"/>
        <w:jc w:val="both"/>
        <w:rPr>
          <w:b/>
          <w:lang w:val="en-GB"/>
        </w:rPr>
      </w:pPr>
      <w:r w:rsidRPr="00DC0B82">
        <w:rPr>
          <w:b/>
          <w:lang w:val="en-GB"/>
        </w:rPr>
        <w:t xml:space="preserve">Judgment </w:t>
      </w:r>
      <w:proofErr w:type="spellStart"/>
      <w:r w:rsidRPr="00DC0B82">
        <w:rPr>
          <w:b/>
          <w:lang w:val="en-GB"/>
        </w:rPr>
        <w:t>Annen</w:t>
      </w:r>
      <w:proofErr w:type="spellEnd"/>
      <w:r w:rsidRPr="00DC0B82">
        <w:rPr>
          <w:b/>
          <w:lang w:val="en-GB"/>
        </w:rPr>
        <w:t xml:space="preserve"> v. Germany - prohibition from distributing anti-abortion leaflets</w:t>
      </w:r>
      <w:r>
        <w:rPr>
          <w:b/>
          <w:lang w:val="en-GB"/>
        </w:rPr>
        <w:t xml:space="preserve"> </w:t>
      </w:r>
      <w:r w:rsidRPr="00DC0B82">
        <w:rPr>
          <w:b/>
          <w:lang w:val="en-GB"/>
        </w:rPr>
        <w:t>(application no. 3690/10)</w:t>
      </w:r>
      <w:r>
        <w:rPr>
          <w:b/>
          <w:lang w:val="en-GB"/>
        </w:rPr>
        <w:t xml:space="preserve"> – 26</w:t>
      </w:r>
      <w:r w:rsidRPr="00DC0B82">
        <w:rPr>
          <w:b/>
          <w:vertAlign w:val="superscript"/>
          <w:lang w:val="en-GB"/>
        </w:rPr>
        <w:t>th</w:t>
      </w:r>
      <w:r>
        <w:rPr>
          <w:b/>
          <w:lang w:val="en-GB"/>
        </w:rPr>
        <w:t xml:space="preserve"> November 2015</w:t>
      </w:r>
    </w:p>
    <w:p w14:paraId="7940D96B" w14:textId="5EFFC2E7" w:rsidR="00DC0B82" w:rsidRPr="00DC0B82" w:rsidRDefault="00DC0B82" w:rsidP="00DC0B82">
      <w:pPr>
        <w:spacing w:line="240" w:lineRule="auto"/>
        <w:jc w:val="both"/>
        <w:rPr>
          <w:lang w:val="en-GB"/>
        </w:rPr>
      </w:pPr>
      <w:r w:rsidRPr="00DC0B82">
        <w:rPr>
          <w:lang w:val="en-GB"/>
        </w:rPr>
        <w:t xml:space="preserve">The case of </w:t>
      </w:r>
      <w:proofErr w:type="spellStart"/>
      <w:r w:rsidRPr="00DC0B82">
        <w:rPr>
          <w:lang w:val="en-GB"/>
        </w:rPr>
        <w:t>Annen</w:t>
      </w:r>
      <w:proofErr w:type="spellEnd"/>
      <w:r w:rsidRPr="00DC0B82">
        <w:rPr>
          <w:lang w:val="en-GB"/>
        </w:rPr>
        <w:t xml:space="preserve"> v. Germany (application no. 3690/10) concerned a civil injunction by the German courts which prohibited an activist from continuing to distribute anti-abortion leaflets in the vicinity of a day clinic which performed abortions, and from continuing to list on his website the names of the doctors running the clinic.</w:t>
      </w:r>
    </w:p>
    <w:p w14:paraId="78F187D3" w14:textId="1CA7AEC9" w:rsidR="00DC0B82" w:rsidRPr="00DC0B82" w:rsidRDefault="00DC0B82" w:rsidP="00DC0B82">
      <w:pPr>
        <w:spacing w:line="240" w:lineRule="auto"/>
        <w:jc w:val="both"/>
        <w:rPr>
          <w:lang w:val="en-GB"/>
        </w:rPr>
      </w:pPr>
      <w:r w:rsidRPr="00DC0B82">
        <w:rPr>
          <w:lang w:val="en-GB"/>
        </w:rPr>
        <w:t>In today’s Chamber judgment in the case, the European Court of Human Rights held, by a majority, that there had been:</w:t>
      </w:r>
    </w:p>
    <w:p w14:paraId="2306EDDE" w14:textId="66425422" w:rsidR="00DC0B82" w:rsidRPr="00DC0B82" w:rsidRDefault="00DC0B82" w:rsidP="00DC0B82">
      <w:pPr>
        <w:spacing w:line="240" w:lineRule="auto"/>
        <w:jc w:val="both"/>
        <w:rPr>
          <w:lang w:val="en-GB"/>
        </w:rPr>
      </w:pPr>
      <w:r w:rsidRPr="00DC0B82">
        <w:rPr>
          <w:lang w:val="en-GB"/>
        </w:rPr>
        <w:t>A violation of Article 10 (freedom of expression) of the European Convention on Human Rights, on account of the order to stop distributing the leaflets in question, and a violation of Article 10 in its procedural aspect, on account of the order to stop listing the names of the doctors on the website in question.</w:t>
      </w:r>
    </w:p>
    <w:p w14:paraId="12595F12" w14:textId="2091AD89" w:rsidR="00DC0B82" w:rsidRPr="00DC0B82" w:rsidRDefault="00DC0B82" w:rsidP="00DC0B82">
      <w:pPr>
        <w:spacing w:line="240" w:lineRule="auto"/>
        <w:jc w:val="both"/>
        <w:rPr>
          <w:lang w:val="en-GB"/>
        </w:rPr>
      </w:pPr>
      <w:r w:rsidRPr="00DC0B82">
        <w:rPr>
          <w:lang w:val="en-GB"/>
        </w:rPr>
        <w:t xml:space="preserve">The Court found that the German courts had failed to strike a fair balance between Mr </w:t>
      </w:r>
      <w:proofErr w:type="spellStart"/>
      <w:r w:rsidRPr="00DC0B82">
        <w:rPr>
          <w:lang w:val="en-GB"/>
        </w:rPr>
        <w:t>Annen’s</w:t>
      </w:r>
      <w:proofErr w:type="spellEnd"/>
      <w:r w:rsidRPr="00DC0B82">
        <w:rPr>
          <w:lang w:val="en-GB"/>
        </w:rPr>
        <w:t xml:space="preserve"> right to freedom of expression and the doctor’s personality rights. In particular, in the leaflets it was made clear that the abortions performed in the clinic were not subject to criminal liability. Moreover, while the leaflets included a reference to the Holocaust, they did not compare the doctors’ professional activities to the Nazi regime and did not explicitly equate abortions with the Holocaust.</w:t>
      </w:r>
    </w:p>
    <w:p w14:paraId="0B2FD250" w14:textId="50C7D74B" w:rsidR="00DC0B82" w:rsidRPr="007E6FF8" w:rsidRDefault="007E6FF8" w:rsidP="007E6FF8">
      <w:pPr>
        <w:shd w:val="clear" w:color="auto" w:fill="D9D9D9" w:themeFill="background1" w:themeFillShade="D9"/>
        <w:spacing w:line="240" w:lineRule="auto"/>
        <w:jc w:val="both"/>
        <w:rPr>
          <w:b/>
          <w:lang w:val="en-GB"/>
        </w:rPr>
      </w:pPr>
      <w:r w:rsidRPr="007E6FF8">
        <w:rPr>
          <w:b/>
          <w:lang w:val="en-GB"/>
        </w:rPr>
        <w:t xml:space="preserve">Download the full press release and the judgement </w:t>
      </w:r>
      <w:hyperlink r:id="rId44" w:anchor="{&quot;itemid&quot;:[&quot;003-5236493-6495449&quot;]}" w:history="1">
        <w:r w:rsidRPr="007E6FF8">
          <w:rPr>
            <w:rStyle w:val="Hyperlink"/>
            <w:b/>
            <w:lang w:val="en-GB"/>
          </w:rPr>
          <w:t>here</w:t>
        </w:r>
      </w:hyperlink>
      <w:r w:rsidRPr="007E6FF8">
        <w:rPr>
          <w:b/>
          <w:lang w:val="en-GB"/>
        </w:rPr>
        <w:t xml:space="preserve">. </w:t>
      </w:r>
    </w:p>
    <w:sectPr w:rsidR="00DC0B82" w:rsidRPr="007E6FF8" w:rsidSect="006415D5">
      <w:footerReference w:type="default" r:id="rId4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pPr>
        <w:spacing w:after="0" w:line="240" w:lineRule="auto"/>
      </w:pPr>
      <w:r>
        <w:separator/>
      </w:r>
    </w:p>
  </w:endnote>
  <w:endnote w:type="continuationSeparator" w:id="0">
    <w:p w14:paraId="66C38360" w14:textId="77777777"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0D6BD2">
          <w:rPr>
            <w:noProof/>
          </w:rPr>
          <w:t>1</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pPr>
        <w:spacing w:after="0" w:line="240" w:lineRule="auto"/>
      </w:pPr>
      <w:r>
        <w:separator/>
      </w:r>
    </w:p>
  </w:footnote>
  <w:footnote w:type="continuationSeparator" w:id="0">
    <w:p w14:paraId="2DAA5EEB" w14:textId="77777777"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D09BB"/>
    <w:multiLevelType w:val="hybridMultilevel"/>
    <w:tmpl w:val="11A09E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A387D79"/>
    <w:multiLevelType w:val="hybridMultilevel"/>
    <w:tmpl w:val="B4DCEB4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91557E0"/>
    <w:multiLevelType w:val="hybridMultilevel"/>
    <w:tmpl w:val="56708EFE"/>
    <w:lvl w:ilvl="0" w:tplc="9FF4E8E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5204610"/>
    <w:multiLevelType w:val="hybridMultilevel"/>
    <w:tmpl w:val="EF9269E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66B6A64"/>
    <w:multiLevelType w:val="hybridMultilevel"/>
    <w:tmpl w:val="77823A5E"/>
    <w:lvl w:ilvl="0" w:tplc="A16E72E8">
      <w:start w:val="1"/>
      <w:numFmt w:val="bullet"/>
      <w:lvlText w:val=""/>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F525C30"/>
    <w:multiLevelType w:val="hybridMultilevel"/>
    <w:tmpl w:val="C87852FA"/>
    <w:lvl w:ilvl="0" w:tplc="D66C658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28"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1C629D4"/>
    <w:multiLevelType w:val="hybridMultilevel"/>
    <w:tmpl w:val="C666AD7A"/>
    <w:lvl w:ilvl="0" w:tplc="D66C658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B720CBE"/>
    <w:multiLevelType w:val="hybridMultilevel"/>
    <w:tmpl w:val="E77E8D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2"/>
  </w:num>
  <w:num w:numId="4">
    <w:abstractNumId w:val="29"/>
  </w:num>
  <w:num w:numId="5">
    <w:abstractNumId w:val="32"/>
  </w:num>
  <w:num w:numId="6">
    <w:abstractNumId w:val="21"/>
  </w:num>
  <w:num w:numId="7">
    <w:abstractNumId w:val="10"/>
  </w:num>
  <w:num w:numId="8">
    <w:abstractNumId w:val="14"/>
  </w:num>
  <w:num w:numId="9">
    <w:abstractNumId w:val="0"/>
  </w:num>
  <w:num w:numId="10">
    <w:abstractNumId w:val="16"/>
  </w:num>
  <w:num w:numId="11">
    <w:abstractNumId w:val="34"/>
  </w:num>
  <w:num w:numId="12">
    <w:abstractNumId w:val="28"/>
  </w:num>
  <w:num w:numId="13">
    <w:abstractNumId w:val="6"/>
  </w:num>
  <w:num w:numId="14">
    <w:abstractNumId w:val="25"/>
  </w:num>
  <w:num w:numId="15">
    <w:abstractNumId w:val="23"/>
  </w:num>
  <w:num w:numId="16">
    <w:abstractNumId w:val="3"/>
  </w:num>
  <w:num w:numId="17">
    <w:abstractNumId w:val="24"/>
  </w:num>
  <w:num w:numId="18">
    <w:abstractNumId w:val="9"/>
  </w:num>
  <w:num w:numId="19">
    <w:abstractNumId w:val="4"/>
  </w:num>
  <w:num w:numId="20">
    <w:abstractNumId w:val="13"/>
  </w:num>
  <w:num w:numId="21">
    <w:abstractNumId w:val="26"/>
  </w:num>
  <w:num w:numId="22">
    <w:abstractNumId w:val="35"/>
  </w:num>
  <w:num w:numId="23">
    <w:abstractNumId w:val="5"/>
  </w:num>
  <w:num w:numId="24">
    <w:abstractNumId w:val="19"/>
  </w:num>
  <w:num w:numId="25">
    <w:abstractNumId w:val="38"/>
  </w:num>
  <w:num w:numId="26">
    <w:abstractNumId w:val="27"/>
  </w:num>
  <w:num w:numId="27">
    <w:abstractNumId w:val="7"/>
  </w:num>
  <w:num w:numId="28">
    <w:abstractNumId w:val="12"/>
  </w:num>
  <w:num w:numId="29">
    <w:abstractNumId w:val="18"/>
  </w:num>
  <w:num w:numId="30">
    <w:abstractNumId w:val="33"/>
  </w:num>
  <w:num w:numId="31">
    <w:abstractNumId w:val="37"/>
  </w:num>
  <w:num w:numId="32">
    <w:abstractNumId w:val="15"/>
  </w:num>
  <w:num w:numId="33">
    <w:abstractNumId w:val="11"/>
  </w:num>
  <w:num w:numId="34">
    <w:abstractNumId w:val="36"/>
  </w:num>
  <w:num w:numId="35">
    <w:abstractNumId w:val="8"/>
  </w:num>
  <w:num w:numId="36">
    <w:abstractNumId w:val="2"/>
  </w:num>
  <w:num w:numId="37">
    <w:abstractNumId w:val="20"/>
  </w:num>
  <w:num w:numId="38">
    <w:abstractNumId w:val="3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63B4"/>
    <w:rsid w:val="000348AB"/>
    <w:rsid w:val="00036CEA"/>
    <w:rsid w:val="000515A0"/>
    <w:rsid w:val="000B22AC"/>
    <w:rsid w:val="000B784B"/>
    <w:rsid w:val="000D5978"/>
    <w:rsid w:val="000D6BD2"/>
    <w:rsid w:val="000F19A7"/>
    <w:rsid w:val="000F4533"/>
    <w:rsid w:val="000F46D8"/>
    <w:rsid w:val="000F79AC"/>
    <w:rsid w:val="001140DC"/>
    <w:rsid w:val="0014109E"/>
    <w:rsid w:val="00155A5A"/>
    <w:rsid w:val="0016113D"/>
    <w:rsid w:val="00175EA1"/>
    <w:rsid w:val="00177C56"/>
    <w:rsid w:val="0018390B"/>
    <w:rsid w:val="0018402A"/>
    <w:rsid w:val="001870D2"/>
    <w:rsid w:val="001B305F"/>
    <w:rsid w:val="001C172F"/>
    <w:rsid w:val="001E1B6C"/>
    <w:rsid w:val="001E3467"/>
    <w:rsid w:val="001E3E3E"/>
    <w:rsid w:val="00207FD0"/>
    <w:rsid w:val="00217BAD"/>
    <w:rsid w:val="00255FDB"/>
    <w:rsid w:val="00291191"/>
    <w:rsid w:val="002B08F4"/>
    <w:rsid w:val="002C3BF0"/>
    <w:rsid w:val="00322BF8"/>
    <w:rsid w:val="0034362B"/>
    <w:rsid w:val="0038736A"/>
    <w:rsid w:val="003A4519"/>
    <w:rsid w:val="003C34AB"/>
    <w:rsid w:val="003F4721"/>
    <w:rsid w:val="004275EC"/>
    <w:rsid w:val="0044701A"/>
    <w:rsid w:val="0048576D"/>
    <w:rsid w:val="004A7771"/>
    <w:rsid w:val="004B78B6"/>
    <w:rsid w:val="005047E4"/>
    <w:rsid w:val="0051290D"/>
    <w:rsid w:val="005165D2"/>
    <w:rsid w:val="00522381"/>
    <w:rsid w:val="00542158"/>
    <w:rsid w:val="00551D13"/>
    <w:rsid w:val="00566380"/>
    <w:rsid w:val="005978FA"/>
    <w:rsid w:val="005A767B"/>
    <w:rsid w:val="005B04DF"/>
    <w:rsid w:val="005D3458"/>
    <w:rsid w:val="005F20DB"/>
    <w:rsid w:val="005F242C"/>
    <w:rsid w:val="00600BC4"/>
    <w:rsid w:val="0060251B"/>
    <w:rsid w:val="006075A4"/>
    <w:rsid w:val="00624AFF"/>
    <w:rsid w:val="006415D5"/>
    <w:rsid w:val="0067153F"/>
    <w:rsid w:val="00672EAA"/>
    <w:rsid w:val="0067555F"/>
    <w:rsid w:val="006C3CD5"/>
    <w:rsid w:val="00702D8C"/>
    <w:rsid w:val="00757D6D"/>
    <w:rsid w:val="00792C11"/>
    <w:rsid w:val="007E6FF8"/>
    <w:rsid w:val="007F0F41"/>
    <w:rsid w:val="008132D5"/>
    <w:rsid w:val="00837FF6"/>
    <w:rsid w:val="00845CD1"/>
    <w:rsid w:val="00871587"/>
    <w:rsid w:val="008719D8"/>
    <w:rsid w:val="008F06E9"/>
    <w:rsid w:val="00922F1E"/>
    <w:rsid w:val="00975348"/>
    <w:rsid w:val="0098311A"/>
    <w:rsid w:val="009913B6"/>
    <w:rsid w:val="009B4DBA"/>
    <w:rsid w:val="009C2CBE"/>
    <w:rsid w:val="00A34EB9"/>
    <w:rsid w:val="00A73FA9"/>
    <w:rsid w:val="00A74E27"/>
    <w:rsid w:val="00A83053"/>
    <w:rsid w:val="00A86A2F"/>
    <w:rsid w:val="00A91933"/>
    <w:rsid w:val="00A924CE"/>
    <w:rsid w:val="00A965AC"/>
    <w:rsid w:val="00A975CF"/>
    <w:rsid w:val="00AB116C"/>
    <w:rsid w:val="00AE4CA6"/>
    <w:rsid w:val="00B07813"/>
    <w:rsid w:val="00B33A99"/>
    <w:rsid w:val="00B40C5A"/>
    <w:rsid w:val="00B51F7F"/>
    <w:rsid w:val="00B81B74"/>
    <w:rsid w:val="00BC522B"/>
    <w:rsid w:val="00BD7FB3"/>
    <w:rsid w:val="00BE1F3C"/>
    <w:rsid w:val="00BE506C"/>
    <w:rsid w:val="00C01363"/>
    <w:rsid w:val="00C117CA"/>
    <w:rsid w:val="00C52394"/>
    <w:rsid w:val="00C842B1"/>
    <w:rsid w:val="00C8704A"/>
    <w:rsid w:val="00C91705"/>
    <w:rsid w:val="00C92B6C"/>
    <w:rsid w:val="00CB2E4E"/>
    <w:rsid w:val="00CF0EF7"/>
    <w:rsid w:val="00CF7284"/>
    <w:rsid w:val="00D05673"/>
    <w:rsid w:val="00D06EA2"/>
    <w:rsid w:val="00D1064D"/>
    <w:rsid w:val="00D54367"/>
    <w:rsid w:val="00D80D0E"/>
    <w:rsid w:val="00DA1BD6"/>
    <w:rsid w:val="00DA64B5"/>
    <w:rsid w:val="00DC0B82"/>
    <w:rsid w:val="00DF3AA3"/>
    <w:rsid w:val="00E014FB"/>
    <w:rsid w:val="00E300D5"/>
    <w:rsid w:val="00E64486"/>
    <w:rsid w:val="00E90C97"/>
    <w:rsid w:val="00E91D96"/>
    <w:rsid w:val="00EA1275"/>
    <w:rsid w:val="00F07846"/>
    <w:rsid w:val="00F23218"/>
    <w:rsid w:val="00F31126"/>
    <w:rsid w:val="00F66D27"/>
    <w:rsid w:val="00F7334E"/>
    <w:rsid w:val="00F86B17"/>
    <w:rsid w:val="00F92C30"/>
    <w:rsid w:val="00F93FE2"/>
    <w:rsid w:val="00FA6B5D"/>
    <w:rsid w:val="00FD4227"/>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strokecolor="none [3213]"/>
    </o:shapedefaults>
    <o:shapelayout v:ext="edit">
      <o:idmap v:ext="edit" data="1"/>
    </o:shapelayout>
  </w:shapeDefaults>
  <w:decimalSymbol w:val=","/>
  <w:listSeparator w:val=";"/>
  <w14:docId w14:val="42898E6A"/>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3FA9"/>
    <w:pPr>
      <w:keepNext/>
      <w:keepLines/>
      <w:spacing w:before="240" w:after="0"/>
      <w:jc w:val="center"/>
      <w:outlineLvl w:val="0"/>
    </w:pPr>
    <w:rPr>
      <w:rFonts w:ascii="Tahoma" w:eastAsiaTheme="majorEastAsia" w:hAnsi="Tahom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A4519"/>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A9"/>
    <w:rPr>
      <w:rFonts w:ascii="Tahoma" w:eastAsiaTheme="majorEastAsia" w:hAnsi="Tahoma"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3A4519"/>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line="240" w:lineRule="auto"/>
    </w:pPr>
    <w:rPr>
      <w:sz w:val="20"/>
      <w:szCs w:val="20"/>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paragraph" w:styleId="NoSpacing">
    <w:name w:val="No Spacing"/>
    <w:uiPriority w:val="1"/>
    <w:qFormat/>
    <w:rsid w:val="00551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63566">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un.org/en/events/humanrightsday/" TargetMode="External"/><Relationship Id="rId26" Type="http://schemas.openxmlformats.org/officeDocument/2006/relationships/hyperlink" Target="http://www.europarl.europa.eu/sides/getDoc.do?pubRef=-//EP//TEXT+TA+P7-TA-2014-0062+0+DOC+XML+V0//EN" TargetMode="External"/><Relationship Id="rId39" Type="http://schemas.openxmlformats.org/officeDocument/2006/relationships/hyperlink" Target="http://links.fra.europa.eu/l/1ce15da06e824a2f8949a4e8f35978e3/73EFBBC/112015" TargetMode="External"/><Relationship Id="rId3" Type="http://schemas.openxmlformats.org/officeDocument/2006/relationships/styles" Target="styles.xml"/><Relationship Id="rId21" Type="http://schemas.openxmlformats.org/officeDocument/2006/relationships/hyperlink" Target="http://eur-lex.europa.eu/legal-content/EN/TXT/?qid=1421925131614&amp;uri=CELEX:32012L0029" TargetMode="External"/><Relationship Id="rId34" Type="http://schemas.openxmlformats.org/officeDocument/2006/relationships/hyperlink" Target="http://ec.europa.eu/justice/gender-equality/files/documents/151125_attitudes_enege_report_en.pdf" TargetMode="External"/><Relationship Id="rId42" Type="http://schemas.openxmlformats.org/officeDocument/2006/relationships/hyperlink" Target="https://t.co/ERyEq24SPC"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Equinet%20Perspective%20%22Realising%20Rights:%20Equality%20Bodies%20and%20People%20with%20Disabilities.%20Supporting%20the%20review%20of%20the%20European%20Union%20Disability%20Strategy%202010-2020%22" TargetMode="External"/><Relationship Id="rId17" Type="http://schemas.openxmlformats.org/officeDocument/2006/relationships/hyperlink" Target="http://www.equineteurope.org/Equality-Bodies-promoting-a-better" TargetMode="External"/><Relationship Id="rId25" Type="http://schemas.openxmlformats.org/officeDocument/2006/relationships/image" Target="media/image4.png"/><Relationship Id="rId33" Type="http://schemas.openxmlformats.org/officeDocument/2006/relationships/hyperlink" Target="http://www.eurofound.europa.eu/sites/default/files/ef_publication/field_ef_document/ef1568en.pdf" TargetMode="External"/><Relationship Id="rId38" Type="http://schemas.openxmlformats.org/officeDocument/2006/relationships/hyperlink" Target="http://www.coe.int/t/dg3/Disability/Source/2015_Disability_conference/Abridged_Evaluation_Report_en.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c.europa.eu/justice/newsroom/gender-equality/opinion/1511_roadmap_reconciliation_en.htm" TargetMode="External"/><Relationship Id="rId20" Type="http://schemas.openxmlformats.org/officeDocument/2006/relationships/hyperlink" Target="http://www.nohatespeechmovement.org/" TargetMode="External"/><Relationship Id="rId29" Type="http://schemas.openxmlformats.org/officeDocument/2006/relationships/hyperlink" Target="http://www.equineteurope.org/Equality-bodies-and-the-Annual" TargetMode="External"/><Relationship Id="rId41" Type="http://schemas.openxmlformats.org/officeDocument/2006/relationships/hyperlink" Target="http://fra.europa.eu/en/publication/2015/cost-exclusion-healthcare-case-migrants-irregular-situation?_cldee=amVzc2ljYS5tYWNoYWNvdmFAZXF1aW5ldGV1cm9wZS5vcmc%3d&amp;urlid=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eu/rapid/press-release_IP-15-6147_en.htm" TargetMode="External"/><Relationship Id="rId24" Type="http://schemas.openxmlformats.org/officeDocument/2006/relationships/hyperlink" Target="http://eige.europa.eu/news-and-events/news/16-days-activism-we-invite-you-join-us" TargetMode="External"/><Relationship Id="rId32" Type="http://schemas.openxmlformats.org/officeDocument/2006/relationships/hyperlink" Target="http://fra.europa.eu/surveys/index.php/472548/lang-en?_cldee=amVzc2ljYS5tYWNoYWNvdmFAZXF1aW5ldGV1cm9wZS5vcmc%3d&amp;urlid=0" TargetMode="External"/><Relationship Id="rId37" Type="http://schemas.openxmlformats.org/officeDocument/2006/relationships/hyperlink" Target="http://fra.europa.eu/en/publication/2015/children-disabilities-violence?_cldee=amVzc2ljYS5tYWNoYWNvdmFAZXF1aW5ldGV1cm9wZS5vcmc%3d&amp;urlid=0" TargetMode="External"/><Relationship Id="rId40" Type="http://schemas.openxmlformats.org/officeDocument/2006/relationships/hyperlink" Target="http://fra.europa.eu/en/publication/2015/guardianship-children-deprived-parental-care?_cldee=amVzc2ljYS5tYWNoYWNvdmFAZXF1aW5ldGV1cm9wZS5vcmc%3d&amp;urlid=2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essica.machacova@equineteurope.org" TargetMode="External"/><Relationship Id="rId23" Type="http://schemas.openxmlformats.org/officeDocument/2006/relationships/hyperlink" Target="http://europa.eu/rapid/press-release_STATEMENT-15-6149_en.htm" TargetMode="External"/><Relationship Id="rId28" Type="http://schemas.openxmlformats.org/officeDocument/2006/relationships/hyperlink" Target="http://tgeu.org/" TargetMode="External"/><Relationship Id="rId36" Type="http://schemas.openxmlformats.org/officeDocument/2006/relationships/hyperlink" Target="http://ec.europa.eu/justice/discrimination/media/pdf/newsletter_en.pdf" TargetMode="External"/><Relationship Id="rId10" Type="http://schemas.openxmlformats.org/officeDocument/2006/relationships/hyperlink" Target="http://www.un.org/disabilities/default.asp/default.asp?id=111" TargetMode="External"/><Relationship Id="rId19" Type="http://schemas.openxmlformats.org/officeDocument/2006/relationships/image" Target="media/image3.png"/><Relationship Id="rId31" Type="http://schemas.openxmlformats.org/officeDocument/2006/relationships/hyperlink" Target="http://www.un.org/ga/search/view_doc.asp?symbol=A/C.3/70/L.50/Rev.1" TargetMode="External"/><Relationship Id="rId44" Type="http://schemas.openxmlformats.org/officeDocument/2006/relationships/hyperlink" Target="http://hudoc.echr.coe.int/eng-press?i=003-5236493-6495449"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ec.europa.eu/smart-regulation/roadmaps/docs/2015_just_012_new_initiative_replacing_maternity_leave_directive_en.pdf" TargetMode="External"/><Relationship Id="rId22" Type="http://schemas.openxmlformats.org/officeDocument/2006/relationships/hyperlink" Target="http://europa.eu/rapid/press-release_IP-15-6095_en.htm" TargetMode="External"/><Relationship Id="rId27" Type="http://schemas.openxmlformats.org/officeDocument/2006/relationships/hyperlink" Target="http://ec.europa.eu/justice/discrimination/files/lgbti_actionlist_en.pdf" TargetMode="External"/><Relationship Id="rId30" Type="http://schemas.openxmlformats.org/officeDocument/2006/relationships/hyperlink" Target="http://ec.europa.eu/justice/newsroom/fundamental-rights/news/151201_en.htm" TargetMode="External"/><Relationship Id="rId35" Type="http://schemas.openxmlformats.org/officeDocument/2006/relationships/hyperlink" Target="http://ec.europa.eu/justice/grants1/calls/2015_action_grants/just_2015_rrac_ag_en.htm" TargetMode="External"/><Relationship Id="rId43" Type="http://schemas.openxmlformats.org/officeDocument/2006/relationships/hyperlink" Target="http://www.humanrightseurope.org/2015/11/france-court-judgement-in-religious-veil-human-rights-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4BB7-2C1C-49E3-BC27-C76F0E5B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2773</Words>
  <Characters>15256</Characters>
  <Application>Microsoft Office Word</Application>
  <DocSecurity>0</DocSecurity>
  <Lines>127</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30</cp:revision>
  <cp:lastPrinted>2015-06-05T09:25:00Z</cp:lastPrinted>
  <dcterms:created xsi:type="dcterms:W3CDTF">2015-06-12T12:43:00Z</dcterms:created>
  <dcterms:modified xsi:type="dcterms:W3CDTF">2015-12-11T10:16:00Z</dcterms:modified>
</cp:coreProperties>
</file>