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8EF3B" w14:textId="29D25122" w:rsidR="00D767B3" w:rsidRDefault="00D767B3" w:rsidP="000263B4">
      <w:pPr>
        <w:spacing w:line="240" w:lineRule="auto"/>
        <w:jc w:val="both"/>
        <w:rPr>
          <w:b/>
          <w:noProof/>
          <w:sz w:val="28"/>
          <w:lang w:val="en-US" w:eastAsia="fr-BE"/>
        </w:rPr>
      </w:pPr>
      <w:r>
        <w:rPr>
          <w:b/>
          <w:noProof/>
          <w:sz w:val="28"/>
          <w:lang w:eastAsia="fr-BE"/>
        </w:rPr>
        <w:drawing>
          <wp:anchor distT="0" distB="0" distL="114300" distR="114300" simplePos="0" relativeHeight="251658240" behindDoc="0" locked="0" layoutInCell="1" allowOverlap="1" wp14:anchorId="074993D4" wp14:editId="2E89D083">
            <wp:simplePos x="0" y="0"/>
            <wp:positionH relativeFrom="margin">
              <wp:posOffset>-685800</wp:posOffset>
            </wp:positionH>
            <wp:positionV relativeFrom="margin">
              <wp:posOffset>-923925</wp:posOffset>
            </wp:positionV>
            <wp:extent cx="7581265" cy="211455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1265"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010D27" w14:textId="77777777" w:rsidR="00F66D27" w:rsidRPr="006075A4" w:rsidRDefault="00F31126" w:rsidP="000263B4">
      <w:pPr>
        <w:spacing w:line="240" w:lineRule="auto"/>
        <w:jc w:val="both"/>
        <w:rPr>
          <w:lang w:val="en-GB"/>
        </w:rPr>
      </w:pPr>
      <w:r w:rsidRPr="006075A4">
        <w:rPr>
          <w:b/>
          <w:lang w:val="en-GB"/>
        </w:rPr>
        <w:t xml:space="preserve">Dear Equinet Members, </w:t>
      </w:r>
      <w:r w:rsidRPr="006075A4">
        <w:rPr>
          <w:b/>
          <w:lang w:val="en-GB"/>
        </w:rPr>
        <w:tab/>
      </w:r>
      <w:r w:rsidRPr="006075A4">
        <w:rPr>
          <w:b/>
          <w:lang w:val="en-GB"/>
        </w:rPr>
        <w:br/>
      </w:r>
      <w:r w:rsidRPr="006075A4">
        <w:rPr>
          <w:lang w:val="en-GB"/>
        </w:rPr>
        <w:t xml:space="preserve">This Members’ Bulletin gathers </w:t>
      </w:r>
      <w:r w:rsidRPr="006075A4">
        <w:rPr>
          <w:b/>
          <w:lang w:val="en-GB"/>
        </w:rPr>
        <w:t>the latest European Union (EU) and international developments</w:t>
      </w:r>
      <w:r w:rsidRPr="006075A4">
        <w:rPr>
          <w:lang w:val="en-GB"/>
        </w:rPr>
        <w:t xml:space="preserve">. It aims to give you an </w:t>
      </w:r>
      <w:r w:rsidRPr="006075A4">
        <w:rPr>
          <w:b/>
          <w:lang w:val="en-GB"/>
        </w:rPr>
        <w:t>overview of relevant policy and legal developments</w:t>
      </w:r>
      <w:r w:rsidRPr="006075A4">
        <w:rPr>
          <w:lang w:val="en-GB"/>
        </w:rPr>
        <w:t xml:space="preserve">, as well as latest calls for interest, funding opportunities and upcoming events. We very much hope this members’ bulletin will be useful in your day-to-day work and we would be grateful if you could </w:t>
      </w:r>
      <w:r w:rsidRPr="006075A4">
        <w:rPr>
          <w:b/>
          <w:lang w:val="en-GB"/>
        </w:rPr>
        <w:t>disseminate it among your colleagues</w:t>
      </w:r>
      <w:r w:rsidRPr="006075A4">
        <w:rPr>
          <w:lang w:val="en-GB"/>
        </w:rPr>
        <w:t xml:space="preserve">. Your feedback is also greatly appreciated. Should you have any comments or further questions, </w:t>
      </w:r>
      <w:r w:rsidRPr="006075A4">
        <w:rPr>
          <w:b/>
          <w:lang w:val="en-GB"/>
        </w:rPr>
        <w:t>please do not hesitate to contact Jessica Machacova, Equinet Project Officer</w:t>
      </w:r>
      <w:r w:rsidRPr="006075A4">
        <w:rPr>
          <w:lang w:val="en-GB"/>
        </w:rPr>
        <w:t xml:space="preserve"> (</w:t>
      </w:r>
      <w:hyperlink r:id="rId9" w:history="1">
        <w:r w:rsidRPr="006075A4">
          <w:rPr>
            <w:rStyle w:val="Hyperlink"/>
            <w:lang w:val="en-GB"/>
          </w:rPr>
          <w:t>Jessica.machacova@equineteurope.org</w:t>
        </w:r>
      </w:hyperlink>
      <w:r w:rsidRPr="006075A4">
        <w:rPr>
          <w:lang w:val="en-GB"/>
        </w:rPr>
        <w:t xml:space="preserve"> / 0032 2 212 31 80). </w:t>
      </w:r>
    </w:p>
    <w:p w14:paraId="04626731" w14:textId="77777777" w:rsidR="00CF7284" w:rsidRPr="006075A4" w:rsidRDefault="00CF7284" w:rsidP="000263B4">
      <w:pPr>
        <w:spacing w:line="240" w:lineRule="auto"/>
        <w:jc w:val="both"/>
        <w:rPr>
          <w:lang w:val="en-GB"/>
        </w:rPr>
      </w:pPr>
    </w:p>
    <w:p w14:paraId="4E1D63FE" w14:textId="77777777" w:rsidR="002C3BF0" w:rsidRPr="006075A4" w:rsidRDefault="002C3BF0" w:rsidP="00D87445">
      <w:pPr>
        <w:shd w:val="clear" w:color="auto" w:fill="538135" w:themeFill="accent6" w:themeFillShade="BF"/>
        <w:spacing w:line="240" w:lineRule="auto"/>
        <w:jc w:val="center"/>
        <w:rPr>
          <w:b/>
          <w:color w:val="FFFFFF" w:themeColor="background1"/>
          <w:sz w:val="28"/>
          <w:lang w:val="en-GB"/>
        </w:rPr>
      </w:pPr>
      <w:r w:rsidRPr="006075A4">
        <w:rPr>
          <w:b/>
          <w:color w:val="FFFFFF" w:themeColor="background1"/>
          <w:sz w:val="28"/>
          <w:lang w:val="en-GB"/>
        </w:rPr>
        <w:t>Equinet Members’ Bulletin on latest EU and internal developments – Table of contents</w:t>
      </w:r>
    </w:p>
    <w:p w14:paraId="5891F305" w14:textId="77777777" w:rsidR="002C3BF0" w:rsidRPr="006075A4" w:rsidRDefault="002C3BF0" w:rsidP="000263B4">
      <w:pPr>
        <w:spacing w:line="240" w:lineRule="auto"/>
        <w:jc w:val="both"/>
        <w:rPr>
          <w:b/>
          <w:i/>
          <w:color w:val="FF0000"/>
          <w:lang w:val="en-GB"/>
        </w:rPr>
      </w:pPr>
      <w:r w:rsidRPr="006075A4">
        <w:rPr>
          <w:b/>
          <w:i/>
          <w:color w:val="FF0000"/>
          <w:lang w:val="en-GB"/>
        </w:rPr>
        <w:t>(Ctrl + Click to follow the link)</w:t>
      </w:r>
    </w:p>
    <w:bookmarkStart w:id="0" w:name="_Toc418770742"/>
    <w:bookmarkStart w:id="1" w:name="_Ref418783893"/>
    <w:bookmarkStart w:id="2" w:name="_Ref418783894"/>
    <w:bookmarkStart w:id="3" w:name="_Ref421267367"/>
    <w:p w14:paraId="4B83AA0A" w14:textId="117C37FA" w:rsidR="007C6B02" w:rsidRPr="007C6B02" w:rsidRDefault="007C6B02">
      <w:pPr>
        <w:rPr>
          <w:b/>
          <w:sz w:val="28"/>
          <w:lang w:val="en-GB"/>
        </w:rPr>
      </w:pPr>
      <w:r w:rsidRPr="007C6B02">
        <w:rPr>
          <w:b/>
          <w:sz w:val="28"/>
          <w:lang w:val="en-GB"/>
        </w:rPr>
        <w:fldChar w:fldCharType="begin"/>
      </w:r>
      <w:r w:rsidRPr="007C6B02">
        <w:rPr>
          <w:b/>
          <w:sz w:val="28"/>
          <w:lang w:val="en-GB"/>
        </w:rPr>
        <w:instrText xml:space="preserve"> REF _Ref435194258 \h  \* MERGEFORMAT </w:instrText>
      </w:r>
      <w:r w:rsidRPr="007C6B02">
        <w:rPr>
          <w:b/>
          <w:sz w:val="28"/>
          <w:lang w:val="en-GB"/>
        </w:rPr>
      </w:r>
      <w:r w:rsidRPr="007C6B02">
        <w:rPr>
          <w:b/>
          <w:sz w:val="28"/>
          <w:lang w:val="en-GB"/>
        </w:rPr>
        <w:fldChar w:fldCharType="separate"/>
      </w:r>
      <w:r w:rsidRPr="007C6B02">
        <w:rPr>
          <w:b/>
          <w:sz w:val="28"/>
          <w:lang w:val="en-GB"/>
        </w:rPr>
        <w:t>Highlight: European Equal Pay Day and the Gender Pay Gap</w:t>
      </w:r>
      <w:r w:rsidRPr="007C6B02">
        <w:rPr>
          <w:b/>
          <w:sz w:val="28"/>
          <w:lang w:val="en-GB"/>
        </w:rPr>
        <w:fldChar w:fldCharType="end"/>
      </w:r>
    </w:p>
    <w:p w14:paraId="4C3C4C22" w14:textId="657C1B67" w:rsidR="007C6B02" w:rsidRPr="007C6B02" w:rsidRDefault="007C6B02">
      <w:pPr>
        <w:rPr>
          <w:b/>
          <w:sz w:val="28"/>
          <w:lang w:val="en-GB"/>
        </w:rPr>
      </w:pPr>
      <w:r w:rsidRPr="007C6B02">
        <w:rPr>
          <w:b/>
          <w:sz w:val="28"/>
          <w:lang w:val="en-GB"/>
        </w:rPr>
        <w:fldChar w:fldCharType="begin"/>
      </w:r>
      <w:r w:rsidRPr="007C6B02">
        <w:rPr>
          <w:b/>
          <w:sz w:val="28"/>
          <w:lang w:val="en-GB"/>
        </w:rPr>
        <w:instrText xml:space="preserve"> REF _Ref435194261 \h  \* MERGEFORMAT </w:instrText>
      </w:r>
      <w:r w:rsidRPr="007C6B02">
        <w:rPr>
          <w:b/>
          <w:sz w:val="28"/>
          <w:lang w:val="en-GB"/>
        </w:rPr>
      </w:r>
      <w:r w:rsidRPr="007C6B02">
        <w:rPr>
          <w:b/>
          <w:sz w:val="28"/>
          <w:lang w:val="en-GB"/>
        </w:rPr>
        <w:fldChar w:fldCharType="separate"/>
      </w:r>
      <w:r w:rsidRPr="007C6B02">
        <w:rPr>
          <w:b/>
          <w:sz w:val="28"/>
          <w:lang w:val="en-GB"/>
        </w:rPr>
        <w:t>Thematic Policy Developments</w:t>
      </w:r>
      <w:r w:rsidRPr="007C6B02">
        <w:rPr>
          <w:b/>
          <w:sz w:val="28"/>
          <w:lang w:val="en-GB"/>
        </w:rPr>
        <w:fldChar w:fldCharType="end"/>
      </w:r>
    </w:p>
    <w:p w14:paraId="2F6E6EA9" w14:textId="77777777" w:rsidR="007C6B02" w:rsidRPr="007C6B02" w:rsidRDefault="007C6B02" w:rsidP="007C6B02">
      <w:pPr>
        <w:pStyle w:val="ListParagraph"/>
        <w:numPr>
          <w:ilvl w:val="0"/>
          <w:numId w:val="36"/>
        </w:numPr>
        <w:rPr>
          <w:color w:val="0070C0"/>
          <w:u w:val="single"/>
          <w:lang w:val="en-GB"/>
        </w:rPr>
      </w:pPr>
      <w:r w:rsidRPr="007C6B02">
        <w:rPr>
          <w:color w:val="0070C0"/>
          <w:u w:val="single"/>
          <w:lang w:val="en-GB"/>
        </w:rPr>
        <w:fldChar w:fldCharType="begin"/>
      </w:r>
      <w:r w:rsidRPr="007C6B02">
        <w:rPr>
          <w:color w:val="0070C0"/>
          <w:u w:val="single"/>
          <w:lang w:val="en-GB"/>
        </w:rPr>
        <w:instrText xml:space="preserve"> REF _Ref435194262 \h </w:instrText>
      </w:r>
      <w:r w:rsidRPr="007C6B02">
        <w:rPr>
          <w:color w:val="0070C0"/>
          <w:u w:val="single"/>
          <w:lang w:val="en-GB"/>
        </w:rPr>
      </w:r>
      <w:r w:rsidRPr="007C6B02">
        <w:rPr>
          <w:color w:val="0070C0"/>
          <w:u w:val="single"/>
          <w:lang w:val="en-GB"/>
        </w:rPr>
        <w:fldChar w:fldCharType="separate"/>
      </w:r>
      <w:r w:rsidRPr="007C6B02">
        <w:rPr>
          <w:color w:val="0070C0"/>
          <w:u w:val="single"/>
          <w:lang w:val="en-GB"/>
        </w:rPr>
        <w:t>General Developments</w:t>
      </w:r>
      <w:r w:rsidRPr="007C6B02">
        <w:rPr>
          <w:color w:val="0070C0"/>
          <w:u w:val="single"/>
          <w:lang w:val="en-GB"/>
        </w:rPr>
        <w:fldChar w:fldCharType="end"/>
      </w:r>
    </w:p>
    <w:p w14:paraId="79AF04EA" w14:textId="77777777" w:rsidR="007C6B02" w:rsidRPr="007C6B02" w:rsidRDefault="007C6B02" w:rsidP="007C6B02">
      <w:pPr>
        <w:pStyle w:val="ListParagraph"/>
        <w:numPr>
          <w:ilvl w:val="0"/>
          <w:numId w:val="36"/>
        </w:numPr>
        <w:rPr>
          <w:color w:val="0070C0"/>
          <w:u w:val="single"/>
          <w:lang w:val="en-GB"/>
        </w:rPr>
      </w:pPr>
      <w:r w:rsidRPr="007C6B02">
        <w:rPr>
          <w:color w:val="0070C0"/>
          <w:u w:val="single"/>
          <w:lang w:val="en-GB"/>
        </w:rPr>
        <w:fldChar w:fldCharType="begin"/>
      </w:r>
      <w:r w:rsidRPr="007C6B02">
        <w:rPr>
          <w:color w:val="0070C0"/>
          <w:u w:val="single"/>
          <w:lang w:val="en-GB"/>
        </w:rPr>
        <w:instrText xml:space="preserve"> REF _Ref435194264 \h </w:instrText>
      </w:r>
      <w:r w:rsidRPr="007C6B02">
        <w:rPr>
          <w:color w:val="0070C0"/>
          <w:u w:val="single"/>
          <w:lang w:val="en-GB"/>
        </w:rPr>
      </w:r>
      <w:r w:rsidRPr="007C6B02">
        <w:rPr>
          <w:color w:val="0070C0"/>
          <w:u w:val="single"/>
          <w:lang w:val="en-GB"/>
        </w:rPr>
        <w:fldChar w:fldCharType="separate"/>
      </w:r>
      <w:r w:rsidRPr="007C6B02">
        <w:rPr>
          <w:color w:val="0070C0"/>
          <w:u w:val="single"/>
          <w:lang w:val="en-GB"/>
        </w:rPr>
        <w:t>Gender Equality</w:t>
      </w:r>
      <w:r w:rsidRPr="007C6B02">
        <w:rPr>
          <w:color w:val="0070C0"/>
          <w:u w:val="single"/>
          <w:lang w:val="en-GB"/>
        </w:rPr>
        <w:fldChar w:fldCharType="end"/>
      </w:r>
    </w:p>
    <w:p w14:paraId="58B48E47" w14:textId="77777777" w:rsidR="007C6B02" w:rsidRPr="007C6B02" w:rsidRDefault="007C6B02" w:rsidP="007C6B02">
      <w:pPr>
        <w:pStyle w:val="ListParagraph"/>
        <w:numPr>
          <w:ilvl w:val="0"/>
          <w:numId w:val="36"/>
        </w:numPr>
        <w:rPr>
          <w:color w:val="0070C0"/>
          <w:u w:val="single"/>
          <w:lang w:val="en-GB"/>
        </w:rPr>
      </w:pPr>
      <w:r w:rsidRPr="007C6B02">
        <w:rPr>
          <w:color w:val="0070C0"/>
          <w:u w:val="single"/>
          <w:lang w:val="en-GB"/>
        </w:rPr>
        <w:fldChar w:fldCharType="begin"/>
      </w:r>
      <w:r w:rsidRPr="007C6B02">
        <w:rPr>
          <w:color w:val="0070C0"/>
          <w:u w:val="single"/>
          <w:lang w:val="en-GB"/>
        </w:rPr>
        <w:instrText xml:space="preserve"> REF _Ref435194266 \h </w:instrText>
      </w:r>
      <w:r w:rsidRPr="007C6B02">
        <w:rPr>
          <w:color w:val="0070C0"/>
          <w:u w:val="single"/>
          <w:lang w:val="en-GB"/>
        </w:rPr>
      </w:r>
      <w:r w:rsidRPr="007C6B02">
        <w:rPr>
          <w:color w:val="0070C0"/>
          <w:u w:val="single"/>
          <w:lang w:val="en-GB"/>
        </w:rPr>
        <w:fldChar w:fldCharType="separate"/>
      </w:r>
      <w:r w:rsidRPr="007C6B02">
        <w:rPr>
          <w:color w:val="0070C0"/>
          <w:u w:val="single"/>
          <w:lang w:val="en-GB"/>
        </w:rPr>
        <w:t>Disability</w:t>
      </w:r>
      <w:r w:rsidRPr="007C6B02">
        <w:rPr>
          <w:color w:val="0070C0"/>
          <w:u w:val="single"/>
          <w:lang w:val="en-GB"/>
        </w:rPr>
        <w:fldChar w:fldCharType="end"/>
      </w:r>
    </w:p>
    <w:p w14:paraId="57EE3051" w14:textId="6534375A" w:rsidR="007C6B02" w:rsidRPr="007C6B02" w:rsidRDefault="007C6B02">
      <w:pPr>
        <w:rPr>
          <w:b/>
          <w:sz w:val="28"/>
          <w:lang w:val="en-GB"/>
        </w:rPr>
      </w:pPr>
      <w:r w:rsidRPr="007C6B02">
        <w:rPr>
          <w:b/>
          <w:sz w:val="28"/>
          <w:lang w:val="en-GB"/>
        </w:rPr>
        <w:fldChar w:fldCharType="begin"/>
      </w:r>
      <w:r w:rsidRPr="007C6B02">
        <w:rPr>
          <w:b/>
          <w:sz w:val="28"/>
          <w:lang w:val="en-GB"/>
        </w:rPr>
        <w:instrText xml:space="preserve"> REF _Ref435194267 \h  \* MERGEFORMAT </w:instrText>
      </w:r>
      <w:r w:rsidRPr="007C6B02">
        <w:rPr>
          <w:b/>
          <w:sz w:val="28"/>
          <w:lang w:val="en-GB"/>
        </w:rPr>
      </w:r>
      <w:r w:rsidRPr="007C6B02">
        <w:rPr>
          <w:b/>
          <w:sz w:val="28"/>
          <w:lang w:val="en-GB"/>
        </w:rPr>
        <w:fldChar w:fldCharType="separate"/>
      </w:r>
      <w:r w:rsidRPr="007C6B02">
        <w:rPr>
          <w:b/>
          <w:sz w:val="28"/>
          <w:lang w:val="en-GB"/>
        </w:rPr>
        <w:t>Publications, funding opportunities and events</w:t>
      </w:r>
      <w:r w:rsidRPr="007C6B02">
        <w:rPr>
          <w:b/>
          <w:sz w:val="28"/>
          <w:lang w:val="en-GB"/>
        </w:rPr>
        <w:fldChar w:fldCharType="end"/>
      </w:r>
    </w:p>
    <w:p w14:paraId="60A787C6" w14:textId="75BDD854" w:rsidR="007C6B02" w:rsidRPr="007C6B02" w:rsidRDefault="007C6B02" w:rsidP="007C6B02">
      <w:pPr>
        <w:pStyle w:val="ListParagraph"/>
        <w:numPr>
          <w:ilvl w:val="0"/>
          <w:numId w:val="37"/>
        </w:numPr>
        <w:rPr>
          <w:color w:val="0070C0"/>
          <w:u w:val="single"/>
          <w:lang w:val="en-GB"/>
        </w:rPr>
      </w:pPr>
      <w:r w:rsidRPr="007C6B02">
        <w:rPr>
          <w:color w:val="0070C0"/>
          <w:u w:val="single"/>
          <w:lang w:val="en-GB"/>
        </w:rPr>
        <w:fldChar w:fldCharType="begin"/>
      </w:r>
      <w:r w:rsidRPr="007C6B02">
        <w:rPr>
          <w:color w:val="0070C0"/>
          <w:u w:val="single"/>
          <w:lang w:val="en-GB"/>
        </w:rPr>
        <w:instrText xml:space="preserve"> REF _Ref435194268 \h </w:instrText>
      </w:r>
      <w:r w:rsidRPr="007C6B02">
        <w:rPr>
          <w:color w:val="0070C0"/>
          <w:u w:val="single"/>
          <w:lang w:val="en-GB"/>
        </w:rPr>
      </w:r>
      <w:r w:rsidRPr="007C6B02">
        <w:rPr>
          <w:color w:val="0070C0"/>
          <w:u w:val="single"/>
          <w:lang w:val="en-GB"/>
        </w:rPr>
        <w:fldChar w:fldCharType="separate"/>
      </w:r>
      <w:r w:rsidRPr="007C6B02">
        <w:rPr>
          <w:color w:val="0070C0"/>
          <w:u w:val="single"/>
          <w:lang w:val="en-GB"/>
        </w:rPr>
        <w:t>General Information</w:t>
      </w:r>
      <w:r w:rsidRPr="007C6B02">
        <w:rPr>
          <w:color w:val="0070C0"/>
          <w:u w:val="single"/>
          <w:lang w:val="en-GB"/>
        </w:rPr>
        <w:fldChar w:fldCharType="end"/>
      </w:r>
    </w:p>
    <w:p w14:paraId="15497ED6" w14:textId="77777777" w:rsidR="007C6B02" w:rsidRPr="007C6B02" w:rsidRDefault="007C6B02" w:rsidP="007C6B02">
      <w:pPr>
        <w:pStyle w:val="ListParagraph"/>
        <w:numPr>
          <w:ilvl w:val="0"/>
          <w:numId w:val="37"/>
        </w:numPr>
        <w:rPr>
          <w:color w:val="0070C0"/>
          <w:u w:val="single"/>
          <w:lang w:val="en-GB"/>
        </w:rPr>
      </w:pPr>
      <w:r w:rsidRPr="007C6B02">
        <w:rPr>
          <w:color w:val="0070C0"/>
          <w:u w:val="single"/>
          <w:lang w:val="en-GB"/>
        </w:rPr>
        <w:fldChar w:fldCharType="begin"/>
      </w:r>
      <w:r w:rsidRPr="007C6B02">
        <w:rPr>
          <w:color w:val="0070C0"/>
          <w:u w:val="single"/>
          <w:lang w:val="en-GB"/>
        </w:rPr>
        <w:instrText xml:space="preserve"> REF _Ref435194269 \h </w:instrText>
      </w:r>
      <w:r w:rsidRPr="007C6B02">
        <w:rPr>
          <w:color w:val="0070C0"/>
          <w:u w:val="single"/>
          <w:lang w:val="en-GB"/>
        </w:rPr>
      </w:r>
      <w:r w:rsidRPr="007C6B02">
        <w:rPr>
          <w:color w:val="0070C0"/>
          <w:u w:val="single"/>
          <w:lang w:val="en-GB"/>
        </w:rPr>
        <w:fldChar w:fldCharType="separate"/>
      </w:r>
      <w:r w:rsidRPr="007C6B02">
        <w:rPr>
          <w:color w:val="0070C0"/>
          <w:u w:val="single"/>
          <w:lang w:val="en-GB"/>
        </w:rPr>
        <w:t>Gender Equality</w:t>
      </w:r>
      <w:r w:rsidRPr="007C6B02">
        <w:rPr>
          <w:color w:val="0070C0"/>
          <w:u w:val="single"/>
          <w:lang w:val="en-GB"/>
        </w:rPr>
        <w:fldChar w:fldCharType="end"/>
      </w:r>
    </w:p>
    <w:p w14:paraId="1A5954A1" w14:textId="2419BBB3" w:rsidR="007C6B02" w:rsidRPr="007C6B02" w:rsidRDefault="007C6B02" w:rsidP="007C6B02">
      <w:pPr>
        <w:pStyle w:val="ListParagraph"/>
        <w:numPr>
          <w:ilvl w:val="0"/>
          <w:numId w:val="37"/>
        </w:numPr>
        <w:rPr>
          <w:color w:val="0070C0"/>
          <w:u w:val="single"/>
          <w:lang w:val="en-GB"/>
        </w:rPr>
      </w:pPr>
      <w:r w:rsidRPr="007C6B02">
        <w:rPr>
          <w:color w:val="0070C0"/>
          <w:u w:val="single"/>
          <w:lang w:val="en-GB"/>
        </w:rPr>
        <w:fldChar w:fldCharType="begin"/>
      </w:r>
      <w:r w:rsidRPr="007C6B02">
        <w:rPr>
          <w:color w:val="0070C0"/>
          <w:u w:val="single"/>
          <w:lang w:val="en-GB"/>
        </w:rPr>
        <w:instrText xml:space="preserve"> REF _Ref435194270 \h  \* MERGEFORMAT </w:instrText>
      </w:r>
      <w:r w:rsidRPr="007C6B02">
        <w:rPr>
          <w:color w:val="0070C0"/>
          <w:u w:val="single"/>
          <w:lang w:val="en-GB"/>
        </w:rPr>
      </w:r>
      <w:r w:rsidRPr="007C6B02">
        <w:rPr>
          <w:color w:val="0070C0"/>
          <w:u w:val="single"/>
          <w:lang w:val="en-GB"/>
        </w:rPr>
        <w:fldChar w:fldCharType="separate"/>
      </w:r>
      <w:r w:rsidRPr="007C6B02">
        <w:rPr>
          <w:color w:val="0070C0"/>
          <w:u w:val="single"/>
          <w:lang w:val="en-GB"/>
        </w:rPr>
        <w:t>Disability</w:t>
      </w:r>
      <w:r w:rsidRPr="007C6B02">
        <w:rPr>
          <w:color w:val="0070C0"/>
          <w:u w:val="single"/>
          <w:lang w:val="en-GB"/>
        </w:rPr>
        <w:fldChar w:fldCharType="end"/>
      </w:r>
    </w:p>
    <w:p w14:paraId="41DFA44D" w14:textId="77777777" w:rsidR="007C6B02" w:rsidRPr="007C6B02" w:rsidRDefault="007C6B02" w:rsidP="007C6B02">
      <w:pPr>
        <w:pStyle w:val="ListParagraph"/>
        <w:numPr>
          <w:ilvl w:val="0"/>
          <w:numId w:val="37"/>
        </w:numPr>
        <w:rPr>
          <w:color w:val="0070C0"/>
          <w:u w:val="single"/>
          <w:lang w:val="en-GB"/>
        </w:rPr>
      </w:pPr>
      <w:r w:rsidRPr="007C6B02">
        <w:rPr>
          <w:color w:val="0070C0"/>
          <w:u w:val="single"/>
          <w:lang w:val="en-GB"/>
        </w:rPr>
        <w:fldChar w:fldCharType="begin"/>
      </w:r>
      <w:r w:rsidRPr="007C6B02">
        <w:rPr>
          <w:color w:val="0070C0"/>
          <w:u w:val="single"/>
          <w:lang w:val="en-GB"/>
        </w:rPr>
        <w:instrText xml:space="preserve"> REF _Ref435194271 \h </w:instrText>
      </w:r>
      <w:r w:rsidRPr="007C6B02">
        <w:rPr>
          <w:color w:val="0070C0"/>
          <w:u w:val="single"/>
          <w:lang w:val="en-GB"/>
        </w:rPr>
      </w:r>
      <w:r w:rsidRPr="007C6B02">
        <w:rPr>
          <w:color w:val="0070C0"/>
          <w:u w:val="single"/>
          <w:lang w:val="en-GB"/>
        </w:rPr>
        <w:fldChar w:fldCharType="separate"/>
      </w:r>
      <w:r w:rsidRPr="007C6B02">
        <w:rPr>
          <w:color w:val="0070C0"/>
          <w:u w:val="single"/>
          <w:lang w:val="en-US"/>
        </w:rPr>
        <w:t>Age</w:t>
      </w:r>
      <w:r w:rsidRPr="007C6B02">
        <w:rPr>
          <w:color w:val="0070C0"/>
          <w:u w:val="single"/>
          <w:lang w:val="en-GB"/>
        </w:rPr>
        <w:fldChar w:fldCharType="end"/>
      </w:r>
    </w:p>
    <w:p w14:paraId="4476A070" w14:textId="0A4279A1" w:rsidR="007C6B02" w:rsidRPr="007C6B02" w:rsidRDefault="007C6B02">
      <w:pPr>
        <w:rPr>
          <w:b/>
          <w:sz w:val="28"/>
          <w:lang w:val="en-GB"/>
        </w:rPr>
      </w:pPr>
      <w:r w:rsidRPr="007C6B02">
        <w:rPr>
          <w:b/>
          <w:sz w:val="28"/>
          <w:lang w:val="en-GB"/>
        </w:rPr>
        <w:fldChar w:fldCharType="begin"/>
      </w:r>
      <w:r w:rsidRPr="007C6B02">
        <w:rPr>
          <w:b/>
          <w:sz w:val="28"/>
          <w:lang w:val="en-GB"/>
        </w:rPr>
        <w:instrText xml:space="preserve"> REF _Ref435194273 \h  \* MERGEFORMAT </w:instrText>
      </w:r>
      <w:r w:rsidRPr="007C6B02">
        <w:rPr>
          <w:b/>
          <w:sz w:val="28"/>
          <w:lang w:val="en-GB"/>
        </w:rPr>
      </w:r>
      <w:r w:rsidRPr="007C6B02">
        <w:rPr>
          <w:b/>
          <w:sz w:val="28"/>
          <w:lang w:val="en-GB"/>
        </w:rPr>
        <w:fldChar w:fldCharType="separate"/>
      </w:r>
      <w:r w:rsidRPr="007C6B02">
        <w:rPr>
          <w:b/>
          <w:sz w:val="28"/>
          <w:lang w:val="en-GB"/>
        </w:rPr>
        <w:t>Recent case-law</w:t>
      </w:r>
      <w:r w:rsidRPr="007C6B02">
        <w:rPr>
          <w:b/>
          <w:sz w:val="28"/>
          <w:lang w:val="en-GB"/>
        </w:rPr>
        <w:fldChar w:fldCharType="end"/>
      </w:r>
    </w:p>
    <w:p w14:paraId="7CABA703" w14:textId="15F5CB12" w:rsidR="00F93FE2" w:rsidRPr="007C6B02" w:rsidRDefault="007C6B02" w:rsidP="007C6B02">
      <w:pPr>
        <w:pStyle w:val="ListParagraph"/>
        <w:numPr>
          <w:ilvl w:val="0"/>
          <w:numId w:val="38"/>
        </w:numPr>
        <w:rPr>
          <w:rFonts w:ascii="Tahoma" w:eastAsiaTheme="majorEastAsia" w:hAnsi="Tahoma" w:cstheme="majorBidi"/>
          <w:b/>
          <w:color w:val="2E74B5" w:themeColor="accent1" w:themeShade="BF"/>
          <w:sz w:val="32"/>
          <w:szCs w:val="32"/>
          <w:u w:val="single"/>
          <w:lang w:val="en-GB"/>
        </w:rPr>
      </w:pPr>
      <w:r w:rsidRPr="007C6B02">
        <w:rPr>
          <w:color w:val="0070C0"/>
          <w:u w:val="single"/>
          <w:lang w:val="en-GB"/>
        </w:rPr>
        <w:fldChar w:fldCharType="begin"/>
      </w:r>
      <w:r w:rsidRPr="007C6B02">
        <w:rPr>
          <w:color w:val="0070C0"/>
          <w:u w:val="single"/>
          <w:lang w:val="en-GB"/>
        </w:rPr>
        <w:instrText xml:space="preserve"> REF _Ref421267644 \h </w:instrText>
      </w:r>
      <w:r w:rsidRPr="007C6B02">
        <w:rPr>
          <w:color w:val="0070C0"/>
          <w:u w:val="single"/>
          <w:lang w:val="en-GB"/>
        </w:rPr>
      </w:r>
      <w:r w:rsidRPr="007C6B02">
        <w:rPr>
          <w:color w:val="0070C0"/>
          <w:u w:val="single"/>
          <w:lang w:val="en-GB"/>
        </w:rPr>
        <w:fldChar w:fldCharType="separate"/>
      </w:r>
      <w:r w:rsidRPr="007C6B02">
        <w:rPr>
          <w:color w:val="0070C0"/>
          <w:u w:val="single"/>
          <w:lang w:val="en-GB"/>
        </w:rPr>
        <w:t>European Court of Human Rights (ECHR)</w:t>
      </w:r>
      <w:r w:rsidRPr="007C6B02">
        <w:rPr>
          <w:color w:val="0070C0"/>
          <w:u w:val="single"/>
          <w:lang w:val="en-GB"/>
        </w:rPr>
        <w:fldChar w:fldCharType="end"/>
      </w:r>
      <w:r w:rsidR="00F93FE2" w:rsidRPr="007C6B02">
        <w:rPr>
          <w:u w:val="single"/>
          <w:lang w:val="en-GB"/>
        </w:rPr>
        <w:br w:type="page"/>
      </w:r>
    </w:p>
    <w:p w14:paraId="040B29A2" w14:textId="120140F9" w:rsidR="001140DC" w:rsidRDefault="00922F1E" w:rsidP="00D87445">
      <w:pPr>
        <w:pStyle w:val="Heading1"/>
        <w:shd w:val="clear" w:color="auto" w:fill="A8D08D" w:themeFill="accent6" w:themeFillTint="99"/>
        <w:spacing w:line="240" w:lineRule="auto"/>
        <w:rPr>
          <w:lang w:val="en-GB"/>
        </w:rPr>
      </w:pPr>
      <w:bookmarkStart w:id="4" w:name="_Ref435194258"/>
      <w:r w:rsidRPr="006075A4">
        <w:rPr>
          <w:lang w:val="en-GB"/>
        </w:rPr>
        <w:lastRenderedPageBreak/>
        <w:t>Highlight</w:t>
      </w:r>
      <w:bookmarkEnd w:id="0"/>
      <w:bookmarkEnd w:id="1"/>
      <w:bookmarkEnd w:id="2"/>
      <w:bookmarkEnd w:id="3"/>
      <w:r w:rsidR="00F93FE2">
        <w:rPr>
          <w:lang w:val="en-GB"/>
        </w:rPr>
        <w:t>:</w:t>
      </w:r>
      <w:r w:rsidR="006F2D5F">
        <w:rPr>
          <w:lang w:val="en-GB"/>
        </w:rPr>
        <w:t xml:space="preserve"> European Equal Pay Day and the Gender Pay Gap</w:t>
      </w:r>
      <w:bookmarkEnd w:id="4"/>
    </w:p>
    <w:p w14:paraId="43616600" w14:textId="6A206300" w:rsidR="00F93FE2" w:rsidRPr="00F93FE2" w:rsidRDefault="00F93FE2" w:rsidP="00F93FE2">
      <w:pPr>
        <w:rPr>
          <w:lang w:val="en-GB"/>
        </w:rPr>
      </w:pPr>
    </w:p>
    <w:p w14:paraId="3B48D390" w14:textId="423DA78C" w:rsidR="001140DC" w:rsidRDefault="006F2D5F" w:rsidP="000263B4">
      <w:pPr>
        <w:pStyle w:val="Heading2"/>
        <w:spacing w:line="240" w:lineRule="auto"/>
        <w:jc w:val="both"/>
        <w:rPr>
          <w:lang w:val="en-GB"/>
        </w:rPr>
      </w:pPr>
      <w:bookmarkStart w:id="5" w:name="_Ref435194260"/>
      <w:r>
        <w:rPr>
          <w:lang w:val="en-GB"/>
        </w:rPr>
        <w:t>2</w:t>
      </w:r>
      <w:r w:rsidRPr="006F2D5F">
        <w:rPr>
          <w:vertAlign w:val="superscript"/>
          <w:lang w:val="en-GB"/>
        </w:rPr>
        <w:t>nd</w:t>
      </w:r>
      <w:r w:rsidR="00D87445">
        <w:rPr>
          <w:lang w:val="en-GB"/>
        </w:rPr>
        <w:t xml:space="preserve"> November marks the</w:t>
      </w:r>
      <w:r>
        <w:rPr>
          <w:lang w:val="en-GB"/>
        </w:rPr>
        <w:t xml:space="preserve"> European Equal Pay Day</w:t>
      </w:r>
      <w:bookmarkEnd w:id="5"/>
      <w:r>
        <w:rPr>
          <w:lang w:val="en-GB"/>
        </w:rPr>
        <w:t xml:space="preserve"> </w:t>
      </w:r>
    </w:p>
    <w:p w14:paraId="3FD7E82C" w14:textId="3462DD80" w:rsidR="006F2D5F" w:rsidRDefault="006F2D5F" w:rsidP="006F2D5F">
      <w:pPr>
        <w:rPr>
          <w:rFonts w:ascii="Arial" w:hAnsi="Arial" w:cs="Arial"/>
          <w:color w:val="333333"/>
          <w:sz w:val="21"/>
          <w:szCs w:val="21"/>
          <w:lang w:val="en-US"/>
        </w:rPr>
      </w:pPr>
    </w:p>
    <w:p w14:paraId="16EBE1A8" w14:textId="1449787A" w:rsidR="006F2D5F" w:rsidRPr="006F2D5F" w:rsidRDefault="00D87445" w:rsidP="00D87445">
      <w:pPr>
        <w:jc w:val="both"/>
        <w:rPr>
          <w:lang w:val="en-GB"/>
        </w:rPr>
      </w:pPr>
      <w:r>
        <w:rPr>
          <w:noProof/>
          <w:lang w:eastAsia="fr-BE"/>
        </w:rPr>
        <w:drawing>
          <wp:anchor distT="0" distB="0" distL="114300" distR="114300" simplePos="0" relativeHeight="251662336" behindDoc="0" locked="0" layoutInCell="1" allowOverlap="1" wp14:anchorId="05A9FF37" wp14:editId="08E10134">
            <wp:simplePos x="0" y="0"/>
            <wp:positionH relativeFrom="margin">
              <wp:posOffset>0</wp:posOffset>
            </wp:positionH>
            <wp:positionV relativeFrom="margin">
              <wp:posOffset>1257300</wp:posOffset>
            </wp:positionV>
            <wp:extent cx="2306320" cy="1493520"/>
            <wp:effectExtent l="0" t="0" r="0" b="0"/>
            <wp:wrapSquare wrapText="bothSides"/>
            <wp:docPr id="1" name="Picture 1" descr="http://ec.europa.eu/justice/newsroom/media/photos/epd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europa.eu/justice/newsroom/media/photos/epd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6320" cy="1493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US"/>
        </w:rPr>
        <w:t xml:space="preserve">On the occasion of the European Equal Pay Day, the EU </w:t>
      </w:r>
      <w:r w:rsidR="006F2D5F" w:rsidRPr="006F2D5F">
        <w:rPr>
          <w:lang w:val="en-GB"/>
        </w:rPr>
        <w:t>Commissioner for Justice, Consumers and Gender Equality</w:t>
      </w:r>
      <w:r w:rsidR="006F2D5F" w:rsidRPr="006F2D5F">
        <w:rPr>
          <w:b/>
          <w:lang w:val="en-GB"/>
        </w:rPr>
        <w:t>, Věra Jourová</w:t>
      </w:r>
      <w:r w:rsidR="006F2D5F" w:rsidRPr="006F2D5F">
        <w:rPr>
          <w:lang w:val="en-GB"/>
        </w:rPr>
        <w:t xml:space="preserve"> highlighted the need to take urgent action to combat the perpetual gender pay gap. </w:t>
      </w:r>
    </w:p>
    <w:p w14:paraId="70709745" w14:textId="77777777" w:rsidR="006F2D5F" w:rsidRPr="006F2D5F" w:rsidRDefault="006F2D5F" w:rsidP="00D87445">
      <w:pPr>
        <w:pStyle w:val="NormalWeb"/>
        <w:shd w:val="clear" w:color="auto" w:fill="FFFFFF"/>
        <w:spacing w:before="0" w:beforeAutospacing="0" w:after="0" w:afterAutospacing="0" w:line="315" w:lineRule="atLeast"/>
        <w:jc w:val="both"/>
        <w:rPr>
          <w:rFonts w:asciiTheme="minorHAnsi" w:eastAsiaTheme="minorHAnsi" w:hAnsiTheme="minorHAnsi" w:cstheme="minorBidi"/>
          <w:sz w:val="22"/>
          <w:szCs w:val="22"/>
          <w:lang w:val="en-GB" w:eastAsia="en-US"/>
        </w:rPr>
      </w:pPr>
      <w:r w:rsidRPr="006F2D5F">
        <w:rPr>
          <w:rFonts w:asciiTheme="minorHAnsi" w:eastAsiaTheme="minorHAnsi" w:hAnsiTheme="minorHAnsi" w:cstheme="minorBidi"/>
          <w:sz w:val="22"/>
          <w:szCs w:val="22"/>
          <w:lang w:val="en-GB" w:eastAsia="en-US"/>
        </w:rPr>
        <w:t>"</w:t>
      </w:r>
      <w:r w:rsidRPr="006F2D5F">
        <w:rPr>
          <w:rFonts w:asciiTheme="minorHAnsi" w:eastAsiaTheme="minorHAnsi" w:hAnsiTheme="minorHAnsi" w:cstheme="minorBidi"/>
          <w:i/>
          <w:sz w:val="22"/>
          <w:szCs w:val="22"/>
          <w:lang w:val="en-GB" w:eastAsia="en-US"/>
        </w:rPr>
        <w:t>Monday 2 November marks the day in the year when women across Europe stop earning for the rest of the year in comparison to men," she said. "The average hourly wage for women in Europe is 16% lower than it is for men. Women continue to work nearly two months for free every year, because of an average hourly wage for women 16% inferior to that of men. Equality between men and women is one of the fundamental values of the European Union, but this day reminds us that it is not one of its fundamental realities."</w:t>
      </w:r>
    </w:p>
    <w:p w14:paraId="62C176FD" w14:textId="77777777" w:rsidR="006F2D5F" w:rsidRDefault="006F2D5F" w:rsidP="00B41103">
      <w:pPr>
        <w:rPr>
          <w:lang w:val="en-US"/>
        </w:rPr>
      </w:pPr>
    </w:p>
    <w:p w14:paraId="2097B9F5" w14:textId="52518B50" w:rsidR="00392C90" w:rsidRDefault="006F2D5F" w:rsidP="00D87445">
      <w:pPr>
        <w:jc w:val="both"/>
        <w:rPr>
          <w:lang w:val="en-US"/>
        </w:rPr>
      </w:pPr>
      <w:r>
        <w:rPr>
          <w:lang w:val="en-US"/>
        </w:rPr>
        <w:t xml:space="preserve">For raising awareness on the gender pay gap, the European Commission launched </w:t>
      </w:r>
      <w:r w:rsidR="00392C90" w:rsidRPr="00392C90">
        <w:rPr>
          <w:lang w:val="en-US"/>
        </w:rPr>
        <w:t>an </w:t>
      </w:r>
      <w:hyperlink r:id="rId11" w:history="1">
        <w:r w:rsidR="00392C90" w:rsidRPr="00392C90">
          <w:rPr>
            <w:color w:val="0070C0"/>
            <w:u w:val="single"/>
            <w:lang w:val="en-US"/>
          </w:rPr>
          <w:t>animated infographic</w:t>
        </w:r>
      </w:hyperlink>
      <w:r w:rsidR="00392C90" w:rsidRPr="00392C90">
        <w:rPr>
          <w:color w:val="0070C0"/>
          <w:u w:val="single"/>
          <w:lang w:val="en-US"/>
        </w:rPr>
        <w:t> </w:t>
      </w:r>
      <w:r w:rsidR="00392C90" w:rsidRPr="00392C90">
        <w:rPr>
          <w:lang w:val="en-US"/>
        </w:rPr>
        <w:t> explaining some of the reasons behind the gender pay gap and an </w:t>
      </w:r>
      <w:r w:rsidR="00392C90" w:rsidRPr="00392C90">
        <w:rPr>
          <w:b/>
          <w:bCs/>
          <w:lang w:val="en-US"/>
        </w:rPr>
        <w:t>information package</w:t>
      </w:r>
      <w:r w:rsidR="00392C90" w:rsidRPr="00392C90">
        <w:rPr>
          <w:lang w:val="en-US"/>
        </w:rPr>
        <w:t> which includes</w:t>
      </w:r>
      <w:r w:rsidR="00392C90">
        <w:rPr>
          <w:lang w:val="en-US"/>
        </w:rPr>
        <w:t>:</w:t>
      </w:r>
    </w:p>
    <w:p w14:paraId="07C13F61" w14:textId="3711F300" w:rsidR="00392C90" w:rsidRPr="00392C90" w:rsidRDefault="00392C90" w:rsidP="00D87445">
      <w:pPr>
        <w:numPr>
          <w:ilvl w:val="0"/>
          <w:numId w:val="32"/>
        </w:numPr>
        <w:shd w:val="clear" w:color="auto" w:fill="FFFFFF"/>
        <w:spacing w:after="0" w:line="315" w:lineRule="atLeast"/>
        <w:ind w:left="0"/>
        <w:jc w:val="both"/>
        <w:rPr>
          <w:lang w:val="en-US"/>
        </w:rPr>
      </w:pPr>
      <w:r w:rsidRPr="00392C90">
        <w:rPr>
          <w:lang w:val="en-US"/>
        </w:rPr>
        <w:t>A </w:t>
      </w:r>
      <w:hyperlink r:id="rId12" w:history="1">
        <w:r w:rsidRPr="00392C90">
          <w:rPr>
            <w:color w:val="0070C0"/>
            <w:u w:val="single"/>
            <w:lang w:val="en-US"/>
          </w:rPr>
          <w:t>statement by Věra Jourová</w:t>
        </w:r>
      </w:hyperlink>
      <w:r w:rsidRPr="00392C90">
        <w:rPr>
          <w:lang w:val="en-US"/>
        </w:rPr>
        <w:t>, accompanied by Questions and Answers;</w:t>
      </w:r>
    </w:p>
    <w:p w14:paraId="1BA913F4" w14:textId="77777777" w:rsidR="00392C90" w:rsidRPr="00392C90" w:rsidRDefault="00111605" w:rsidP="00D87445">
      <w:pPr>
        <w:numPr>
          <w:ilvl w:val="0"/>
          <w:numId w:val="32"/>
        </w:numPr>
        <w:shd w:val="clear" w:color="auto" w:fill="FFFFFF"/>
        <w:spacing w:after="0" w:line="315" w:lineRule="atLeast"/>
        <w:ind w:left="0"/>
        <w:jc w:val="both"/>
        <w:rPr>
          <w:lang w:val="en-US"/>
        </w:rPr>
      </w:pPr>
      <w:hyperlink r:id="rId13" w:anchor="pay" w:tgtFrame="_blank" w:history="1">
        <w:r w:rsidR="00392C90" w:rsidRPr="00392C90">
          <w:rPr>
            <w:color w:val="0070C0"/>
            <w:u w:val="single"/>
            <w:lang w:val="en-US"/>
          </w:rPr>
          <w:t>28 Country factsheets</w:t>
        </w:r>
      </w:hyperlink>
      <w:r w:rsidR="00392C90" w:rsidRPr="00392C90">
        <w:rPr>
          <w:lang w:val="en-US"/>
        </w:rPr>
        <w:t> – one for each EU Member State - with figures on the gender pay gap and the overall gender earnings gap in the different Member States; and</w:t>
      </w:r>
    </w:p>
    <w:p w14:paraId="3C74AA99" w14:textId="43F2AB1B" w:rsidR="006F2D5F" w:rsidRDefault="00392C90" w:rsidP="00D87445">
      <w:pPr>
        <w:numPr>
          <w:ilvl w:val="0"/>
          <w:numId w:val="32"/>
        </w:numPr>
        <w:shd w:val="clear" w:color="auto" w:fill="FFFFFF"/>
        <w:spacing w:after="0" w:line="315" w:lineRule="atLeast"/>
        <w:ind w:left="0"/>
        <w:jc w:val="both"/>
        <w:rPr>
          <w:lang w:val="en-US"/>
        </w:rPr>
      </w:pPr>
      <w:r w:rsidRPr="00392C90">
        <w:rPr>
          <w:lang w:val="en-US"/>
        </w:rPr>
        <w:t>An </w:t>
      </w:r>
      <w:hyperlink r:id="rId14" w:tgtFrame="_blank" w:history="1">
        <w:r w:rsidRPr="00392C90">
          <w:rPr>
            <w:color w:val="0070C0"/>
            <w:u w:val="single"/>
            <w:lang w:val="en-US"/>
          </w:rPr>
          <w:t>EU factsheet</w:t>
        </w:r>
      </w:hyperlink>
      <w:r w:rsidRPr="00392C90">
        <w:rPr>
          <w:lang w:val="en-US"/>
        </w:rPr>
        <w:t>  with the same information for the European Union as a whole.</w:t>
      </w:r>
    </w:p>
    <w:p w14:paraId="74E60A53" w14:textId="77777777" w:rsidR="00A73FA9" w:rsidRDefault="00A73FA9" w:rsidP="007C6B02">
      <w:pPr>
        <w:rPr>
          <w:lang w:val="en-GB"/>
        </w:rPr>
      </w:pPr>
    </w:p>
    <w:p w14:paraId="49854A47" w14:textId="623692E7" w:rsidR="00D87445" w:rsidRPr="00D87445" w:rsidRDefault="002633AF" w:rsidP="00D87445">
      <w:pPr>
        <w:shd w:val="clear" w:color="auto" w:fill="D0CECE" w:themeFill="background2" w:themeFillShade="E6"/>
        <w:jc w:val="center"/>
        <w:rPr>
          <w:rFonts w:ascii="Calibri" w:eastAsia="Calibri" w:hAnsi="Calibri" w:cs="Times New Roman"/>
          <w:b/>
          <w:color w:val="0563C1" w:themeColor="hyperlink"/>
          <w:sz w:val="24"/>
          <w:u w:val="single"/>
          <w:lang w:val="en-GB" w:eastAsia="fr-BE"/>
        </w:rPr>
      </w:pPr>
      <w:r>
        <w:rPr>
          <w:rFonts w:ascii="Calibri" w:eastAsia="Calibri" w:hAnsi="Calibri" w:cs="Times New Roman"/>
          <w:b/>
          <w:sz w:val="24"/>
          <w:lang w:val="en-GB" w:eastAsia="fr-BE"/>
        </w:rPr>
        <w:t xml:space="preserve">For more information click </w:t>
      </w:r>
      <w:hyperlink r:id="rId15" w:history="1">
        <w:r w:rsidRPr="002633AF">
          <w:rPr>
            <w:rStyle w:val="Hyperlink"/>
            <w:rFonts w:ascii="Calibri" w:eastAsia="Calibri" w:hAnsi="Calibri" w:cs="Times New Roman"/>
            <w:b/>
            <w:sz w:val="24"/>
            <w:lang w:val="en-GB" w:eastAsia="fr-BE"/>
          </w:rPr>
          <w:t>here</w:t>
        </w:r>
      </w:hyperlink>
      <w:r w:rsidR="00D87445">
        <w:rPr>
          <w:rStyle w:val="Hyperlink"/>
          <w:rFonts w:ascii="Calibri" w:eastAsia="Calibri" w:hAnsi="Calibri" w:cs="Times New Roman"/>
          <w:b/>
          <w:sz w:val="24"/>
          <w:lang w:val="en-GB" w:eastAsia="fr-BE"/>
        </w:rPr>
        <w:br/>
      </w:r>
      <w:r w:rsidR="00D87445" w:rsidRPr="00D87445">
        <w:rPr>
          <w:rStyle w:val="Hyperlink"/>
          <w:rFonts w:ascii="Calibri" w:eastAsia="Calibri" w:hAnsi="Calibri" w:cs="Times New Roman"/>
          <w:b/>
          <w:color w:val="auto"/>
          <w:sz w:val="24"/>
          <w:u w:val="none"/>
          <w:lang w:val="en-GB" w:eastAsia="fr-BE"/>
        </w:rPr>
        <w:t>Read</w:t>
      </w:r>
      <w:r w:rsidR="00D87445">
        <w:rPr>
          <w:rStyle w:val="Hyperlink"/>
          <w:rFonts w:ascii="Calibri" w:eastAsia="Calibri" w:hAnsi="Calibri" w:cs="Times New Roman"/>
          <w:b/>
          <w:color w:val="auto"/>
          <w:sz w:val="24"/>
          <w:u w:val="none"/>
          <w:lang w:val="en-GB" w:eastAsia="fr-BE"/>
        </w:rPr>
        <w:t xml:space="preserve"> Equinet’s report “Equal Pay – The experience of equality bodies”</w:t>
      </w:r>
      <w:r w:rsidR="006D35C1">
        <w:rPr>
          <w:rStyle w:val="Hyperlink"/>
          <w:rFonts w:ascii="Calibri" w:eastAsia="Calibri" w:hAnsi="Calibri" w:cs="Times New Roman"/>
          <w:b/>
          <w:color w:val="auto"/>
          <w:sz w:val="24"/>
          <w:u w:val="none"/>
          <w:lang w:val="en-GB" w:eastAsia="fr-BE"/>
        </w:rPr>
        <w:t xml:space="preserve"> (2013)</w:t>
      </w:r>
      <w:r w:rsidR="00D87445">
        <w:rPr>
          <w:rStyle w:val="Hyperlink"/>
          <w:rFonts w:ascii="Calibri" w:eastAsia="Calibri" w:hAnsi="Calibri" w:cs="Times New Roman"/>
          <w:b/>
          <w:color w:val="auto"/>
          <w:sz w:val="24"/>
          <w:u w:val="none"/>
          <w:lang w:val="en-GB" w:eastAsia="fr-BE"/>
        </w:rPr>
        <w:t xml:space="preserve"> </w:t>
      </w:r>
      <w:hyperlink r:id="rId16" w:history="1">
        <w:r w:rsidR="00D87445" w:rsidRPr="00D87445">
          <w:rPr>
            <w:rStyle w:val="Hyperlink"/>
            <w:rFonts w:ascii="Calibri" w:eastAsia="Calibri" w:hAnsi="Calibri" w:cs="Times New Roman"/>
            <w:b/>
            <w:sz w:val="24"/>
            <w:lang w:val="en-GB" w:eastAsia="fr-BE"/>
          </w:rPr>
          <w:t>here</w:t>
        </w:r>
      </w:hyperlink>
    </w:p>
    <w:p w14:paraId="3826F7AE" w14:textId="77777777" w:rsidR="00A73FA9" w:rsidRPr="006075A4" w:rsidRDefault="00A73FA9" w:rsidP="000263B4">
      <w:pPr>
        <w:pBdr>
          <w:bottom w:val="dotted" w:sz="36" w:space="1" w:color="auto"/>
        </w:pBdr>
        <w:spacing w:line="240" w:lineRule="auto"/>
        <w:rPr>
          <w:lang w:val="en-GB"/>
        </w:rPr>
      </w:pPr>
    </w:p>
    <w:p w14:paraId="54158D4D" w14:textId="37330AD1" w:rsidR="00F93FE2" w:rsidRPr="003D3E6F" w:rsidRDefault="00F93FE2" w:rsidP="007C6B02">
      <w:pPr>
        <w:rPr>
          <w:lang w:val="en-US"/>
        </w:rPr>
      </w:pPr>
      <w:bookmarkStart w:id="6" w:name="_Toc418770746"/>
      <w:bookmarkStart w:id="7" w:name="_Ref418784288"/>
      <w:bookmarkStart w:id="8" w:name="_Ref421267472"/>
    </w:p>
    <w:p w14:paraId="766F533E" w14:textId="33F8B64F" w:rsidR="002633AF" w:rsidRDefault="002633AF" w:rsidP="007C6B02">
      <w:pPr>
        <w:rPr>
          <w:lang w:val="en-GB"/>
        </w:rPr>
      </w:pPr>
    </w:p>
    <w:p w14:paraId="27D96AD6" w14:textId="77777777" w:rsidR="002633AF" w:rsidRDefault="002633AF" w:rsidP="007C6B02">
      <w:pPr>
        <w:rPr>
          <w:lang w:val="en-GB"/>
        </w:rPr>
      </w:pPr>
    </w:p>
    <w:p w14:paraId="5AE44A37" w14:textId="77777777" w:rsidR="002633AF" w:rsidRDefault="002633AF" w:rsidP="007C6B02">
      <w:pPr>
        <w:rPr>
          <w:lang w:val="en-GB"/>
        </w:rPr>
      </w:pPr>
    </w:p>
    <w:p w14:paraId="02FFFBD9" w14:textId="77777777" w:rsidR="002633AF" w:rsidRDefault="002633AF" w:rsidP="007C6B02">
      <w:pPr>
        <w:rPr>
          <w:lang w:val="en-GB"/>
        </w:rPr>
      </w:pPr>
    </w:p>
    <w:p w14:paraId="316D5B78" w14:textId="77777777" w:rsidR="002633AF" w:rsidRDefault="002633AF" w:rsidP="007C6B02">
      <w:pPr>
        <w:rPr>
          <w:lang w:val="en-GB"/>
        </w:rPr>
      </w:pPr>
    </w:p>
    <w:p w14:paraId="69837B8A" w14:textId="77777777" w:rsidR="008A2241" w:rsidRDefault="008A2241" w:rsidP="007C6B02">
      <w:pPr>
        <w:rPr>
          <w:lang w:val="en-GB"/>
        </w:rPr>
      </w:pPr>
    </w:p>
    <w:p w14:paraId="74275D68" w14:textId="77777777" w:rsidR="008A2241" w:rsidRDefault="008A2241" w:rsidP="007C6B02">
      <w:pPr>
        <w:rPr>
          <w:lang w:val="en-GB"/>
        </w:rPr>
      </w:pPr>
    </w:p>
    <w:p w14:paraId="39DAA48C" w14:textId="77777777" w:rsidR="00CB253F" w:rsidRDefault="00CB253F">
      <w:pPr>
        <w:rPr>
          <w:rFonts w:ascii="Tahoma" w:eastAsiaTheme="majorEastAsia" w:hAnsi="Tahoma" w:cstheme="majorBidi"/>
          <w:b/>
          <w:sz w:val="32"/>
          <w:szCs w:val="32"/>
          <w:lang w:val="en-GB"/>
        </w:rPr>
      </w:pPr>
      <w:r>
        <w:rPr>
          <w:lang w:val="en-GB"/>
        </w:rPr>
        <w:br w:type="page"/>
      </w:r>
    </w:p>
    <w:p w14:paraId="5E67C06B" w14:textId="55265012" w:rsidR="00D87445" w:rsidRPr="00D87445" w:rsidRDefault="00A73FA9" w:rsidP="00D87445">
      <w:pPr>
        <w:pStyle w:val="Heading1"/>
        <w:shd w:val="clear" w:color="auto" w:fill="A8D08D" w:themeFill="accent6" w:themeFillTint="99"/>
        <w:spacing w:line="240" w:lineRule="auto"/>
        <w:rPr>
          <w:lang w:val="en-GB"/>
        </w:rPr>
      </w:pPr>
      <w:bookmarkStart w:id="9" w:name="_Ref435194261"/>
      <w:r w:rsidRPr="006075A4">
        <w:rPr>
          <w:lang w:val="en-GB"/>
        </w:rPr>
        <w:lastRenderedPageBreak/>
        <w:t>Thematic Policy Developments</w:t>
      </w:r>
      <w:bookmarkEnd w:id="6"/>
      <w:bookmarkEnd w:id="7"/>
      <w:bookmarkEnd w:id="8"/>
      <w:bookmarkEnd w:id="9"/>
    </w:p>
    <w:p w14:paraId="1CE53917" w14:textId="77777777" w:rsidR="00D87445" w:rsidRDefault="00D87445" w:rsidP="00D87445">
      <w:pPr>
        <w:rPr>
          <w:lang w:val="en-GB"/>
        </w:rPr>
      </w:pPr>
    </w:p>
    <w:p w14:paraId="20CBDB22" w14:textId="47A26E89" w:rsidR="00D87445" w:rsidRDefault="00D87445" w:rsidP="00D87445">
      <w:pPr>
        <w:pStyle w:val="Heading2"/>
        <w:pBdr>
          <w:top w:val="dotted" w:sz="4" w:space="1" w:color="auto"/>
          <w:bottom w:val="dotted" w:sz="4" w:space="1" w:color="auto"/>
        </w:pBdr>
        <w:jc w:val="center"/>
        <w:rPr>
          <w:lang w:val="en-GB"/>
        </w:rPr>
      </w:pPr>
      <w:bookmarkStart w:id="10" w:name="_Ref435194262"/>
      <w:r>
        <w:rPr>
          <w:lang w:val="en-GB"/>
        </w:rPr>
        <w:t>General Developments</w:t>
      </w:r>
      <w:bookmarkEnd w:id="10"/>
    </w:p>
    <w:p w14:paraId="26EF8F93" w14:textId="77777777" w:rsidR="00D87445" w:rsidRDefault="00D87445" w:rsidP="00D87445">
      <w:pPr>
        <w:rPr>
          <w:lang w:val="en-GB"/>
        </w:rPr>
      </w:pPr>
    </w:p>
    <w:p w14:paraId="4F63B392" w14:textId="1A123868" w:rsidR="00D87445" w:rsidRPr="00D87445" w:rsidRDefault="00D87445" w:rsidP="00D87445">
      <w:pPr>
        <w:rPr>
          <w:b/>
          <w:sz w:val="26"/>
          <w:szCs w:val="26"/>
          <w:lang w:val="en-GB"/>
        </w:rPr>
      </w:pPr>
      <w:r w:rsidRPr="00D87445">
        <w:rPr>
          <w:b/>
          <w:sz w:val="26"/>
          <w:szCs w:val="26"/>
          <w:lang w:val="en-GB"/>
        </w:rPr>
        <w:t>The European Commission publishes its new Work Plan 2016</w:t>
      </w:r>
    </w:p>
    <w:p w14:paraId="579AA27E" w14:textId="4E5EC665" w:rsidR="00D87445" w:rsidRPr="003D3E6F" w:rsidRDefault="00D87445" w:rsidP="00D87445">
      <w:pPr>
        <w:spacing w:line="276" w:lineRule="auto"/>
        <w:jc w:val="both"/>
        <w:rPr>
          <w:lang w:val="en-US"/>
        </w:rPr>
      </w:pPr>
      <w:r w:rsidRPr="003D3E6F">
        <w:rPr>
          <w:lang w:val="en-US"/>
        </w:rPr>
        <w:t>On 27 October</w:t>
      </w:r>
      <w:r w:rsidR="003757B2">
        <w:rPr>
          <w:lang w:val="en-US"/>
        </w:rPr>
        <w:t xml:space="preserve"> 2015</w:t>
      </w:r>
      <w:r w:rsidRPr="003D3E6F">
        <w:rPr>
          <w:lang w:val="en-US"/>
        </w:rPr>
        <w:t>, the European Commission adopted its </w:t>
      </w:r>
      <w:hyperlink r:id="rId17" w:history="1">
        <w:r w:rsidRPr="008A2241">
          <w:rPr>
            <w:color w:val="0070C0"/>
            <w:u w:val="single"/>
            <w:lang w:val="en-US"/>
          </w:rPr>
          <w:t>2016 Work Programme</w:t>
        </w:r>
      </w:hyperlink>
      <w:r w:rsidRPr="003D3E6F">
        <w:rPr>
          <w:lang w:val="en-US"/>
        </w:rPr>
        <w:t>, the second of the Juncker Commission, reaffirming the commitment to the ten political priorities of its Political Guidelines.</w:t>
      </w:r>
    </w:p>
    <w:p w14:paraId="625892EA" w14:textId="77777777" w:rsidR="00D87445" w:rsidRPr="003D3E6F" w:rsidRDefault="00D87445" w:rsidP="00D87445">
      <w:pPr>
        <w:shd w:val="clear" w:color="auto" w:fill="FFFFFF"/>
        <w:spacing w:before="60" w:after="60" w:line="276" w:lineRule="auto"/>
        <w:jc w:val="both"/>
        <w:rPr>
          <w:lang w:val="en-US"/>
        </w:rPr>
      </w:pPr>
      <w:r w:rsidRPr="003D3E6F">
        <w:rPr>
          <w:lang w:val="en-US"/>
        </w:rPr>
        <w:t>The new initiatives which the Commission will deliver in 2016 include:</w:t>
      </w:r>
    </w:p>
    <w:p w14:paraId="7B08FE5C" w14:textId="77777777" w:rsidR="00D87445" w:rsidRPr="008A2241" w:rsidRDefault="00D87445" w:rsidP="00D87445">
      <w:pPr>
        <w:pStyle w:val="ListParagraph"/>
        <w:numPr>
          <w:ilvl w:val="0"/>
          <w:numId w:val="34"/>
        </w:numPr>
        <w:shd w:val="clear" w:color="auto" w:fill="FFFFFF"/>
        <w:spacing w:before="60" w:after="60" w:line="276" w:lineRule="auto"/>
        <w:jc w:val="both"/>
        <w:rPr>
          <w:lang w:val="en-US"/>
        </w:rPr>
      </w:pPr>
      <w:r w:rsidRPr="008A2241">
        <w:rPr>
          <w:lang w:val="en-US"/>
        </w:rPr>
        <w:t xml:space="preserve">Initiatives on Better </w:t>
      </w:r>
      <w:r w:rsidRPr="00D87445">
        <w:rPr>
          <w:b/>
          <w:lang w:val="en-US"/>
        </w:rPr>
        <w:t>Migration Management</w:t>
      </w:r>
      <w:r w:rsidRPr="008A2241">
        <w:rPr>
          <w:lang w:val="en-US"/>
        </w:rPr>
        <w:t>, and proposals on Border Management</w:t>
      </w:r>
    </w:p>
    <w:p w14:paraId="3F264F56" w14:textId="77777777" w:rsidR="00D87445" w:rsidRDefault="00D87445" w:rsidP="00D87445">
      <w:pPr>
        <w:numPr>
          <w:ilvl w:val="0"/>
          <w:numId w:val="35"/>
        </w:numPr>
        <w:shd w:val="clear" w:color="auto" w:fill="FFFFFF"/>
        <w:spacing w:before="60" w:after="60" w:line="276" w:lineRule="auto"/>
        <w:jc w:val="both"/>
        <w:rPr>
          <w:lang w:val="en-US"/>
        </w:rPr>
      </w:pPr>
      <w:r w:rsidRPr="003D3E6F">
        <w:rPr>
          <w:lang w:val="en-US"/>
        </w:rPr>
        <w:t xml:space="preserve">A New Skills Agenda for Europe, </w:t>
      </w:r>
      <w:r w:rsidRPr="003D3E6F">
        <w:rPr>
          <w:b/>
          <w:lang w:val="en-US"/>
        </w:rPr>
        <w:t>a New Start for Working Parents</w:t>
      </w:r>
      <w:r w:rsidRPr="003D3E6F">
        <w:rPr>
          <w:lang w:val="en-US"/>
        </w:rPr>
        <w:t>, and a Pillar of Social Rights as part of a deepening of Economic and Monetary Union</w:t>
      </w:r>
    </w:p>
    <w:p w14:paraId="43AAA66E" w14:textId="77777777" w:rsidR="00D87445" w:rsidRDefault="00D87445" w:rsidP="00D87445">
      <w:pPr>
        <w:shd w:val="clear" w:color="auto" w:fill="FFFFFF"/>
        <w:spacing w:before="60" w:after="60" w:line="276" w:lineRule="auto"/>
        <w:jc w:val="both"/>
        <w:rPr>
          <w:lang w:val="en-US"/>
        </w:rPr>
      </w:pPr>
    </w:p>
    <w:p w14:paraId="44D8C49C" w14:textId="1FCF3B4E" w:rsidR="00D87445" w:rsidRPr="008A2241" w:rsidRDefault="00D87445" w:rsidP="00D87445">
      <w:pPr>
        <w:shd w:val="clear" w:color="auto" w:fill="FFFFFF"/>
        <w:spacing w:before="60" w:after="60" w:line="276" w:lineRule="auto"/>
        <w:jc w:val="both"/>
        <w:rPr>
          <w:lang w:val="en-US"/>
        </w:rPr>
      </w:pPr>
      <w:r w:rsidRPr="00D87445">
        <w:rPr>
          <w:lang w:val="en-US"/>
        </w:rPr>
        <w:t>The Work Plan notably states that ‘</w:t>
      </w:r>
      <w:r w:rsidRPr="00D87445">
        <w:rPr>
          <w:i/>
          <w:lang w:val="en-US"/>
        </w:rPr>
        <w:t>special attention will be paid to work-life balance of working families, with a view to increasing women's participation in the labour market. The Women on Boards Directive should be adopted in 2016 and the Commission will continue its practical work to promote gender equalit</w:t>
      </w:r>
      <w:r w:rsidRPr="00D87445">
        <w:rPr>
          <w:lang w:val="en-US"/>
        </w:rPr>
        <w:t>y.’</w:t>
      </w:r>
      <w:r>
        <w:rPr>
          <w:lang w:val="en-US"/>
        </w:rPr>
        <w:t xml:space="preserve"> It is also stated that </w:t>
      </w:r>
      <w:r w:rsidRPr="008A2241">
        <w:rPr>
          <w:lang w:val="en-US"/>
        </w:rPr>
        <w:t>a particular emphasis</w:t>
      </w:r>
      <w:r>
        <w:rPr>
          <w:lang w:val="en-US"/>
        </w:rPr>
        <w:t xml:space="preserve"> will be put ‘</w:t>
      </w:r>
      <w:r w:rsidRPr="008A2241">
        <w:rPr>
          <w:i/>
          <w:lang w:val="en-US"/>
        </w:rPr>
        <w:t>on improving access to selected goods and services for people with disabilities</w:t>
      </w:r>
      <w:r w:rsidRPr="008A2241">
        <w:rPr>
          <w:lang w:val="en-US"/>
        </w:rPr>
        <w:t>.</w:t>
      </w:r>
      <w:r>
        <w:rPr>
          <w:lang w:val="en-US"/>
        </w:rPr>
        <w:t>’</w:t>
      </w:r>
    </w:p>
    <w:p w14:paraId="3C38716E" w14:textId="436914CB" w:rsidR="00587183" w:rsidRPr="006D35C1" w:rsidRDefault="00D87445" w:rsidP="00587183">
      <w:pPr>
        <w:shd w:val="clear" w:color="auto" w:fill="D9D9D9" w:themeFill="background1" w:themeFillShade="D9"/>
        <w:jc w:val="center"/>
        <w:rPr>
          <w:b/>
          <w:sz w:val="24"/>
          <w:lang w:val="en-US"/>
        </w:rPr>
      </w:pPr>
      <w:r w:rsidRPr="006D35C1">
        <w:rPr>
          <w:b/>
          <w:sz w:val="24"/>
          <w:lang w:val="en-US"/>
        </w:rPr>
        <w:t xml:space="preserve">More information is available </w:t>
      </w:r>
      <w:hyperlink r:id="rId18" w:history="1">
        <w:r w:rsidRPr="006D35C1">
          <w:rPr>
            <w:rStyle w:val="Hyperlink"/>
            <w:b/>
            <w:sz w:val="24"/>
            <w:lang w:val="en-US"/>
          </w:rPr>
          <w:t>here</w:t>
        </w:r>
      </w:hyperlink>
      <w:bookmarkStart w:id="11" w:name="_Ref421267526"/>
      <w:bookmarkStart w:id="12" w:name="_Toc418770747"/>
      <w:bookmarkStart w:id="13" w:name="_Ref418784309"/>
    </w:p>
    <w:p w14:paraId="16123FA7" w14:textId="77777777" w:rsidR="00587183" w:rsidRPr="00587183" w:rsidRDefault="00587183" w:rsidP="00587183">
      <w:pPr>
        <w:jc w:val="center"/>
        <w:rPr>
          <w:b/>
          <w:lang w:val="en-US"/>
        </w:rPr>
      </w:pPr>
    </w:p>
    <w:p w14:paraId="68F0D8A5" w14:textId="7AB422EE" w:rsidR="00E465AF" w:rsidRPr="00E465AF" w:rsidRDefault="00C842B1" w:rsidP="00587183">
      <w:pPr>
        <w:pStyle w:val="Heading2"/>
        <w:pBdr>
          <w:top w:val="dotted" w:sz="4" w:space="1" w:color="auto"/>
          <w:bottom w:val="dotted" w:sz="4" w:space="1" w:color="auto"/>
        </w:pBdr>
        <w:spacing w:line="240" w:lineRule="auto"/>
        <w:jc w:val="center"/>
        <w:rPr>
          <w:lang w:val="en-GB"/>
        </w:rPr>
      </w:pPr>
      <w:bookmarkStart w:id="14" w:name="_Ref435194264"/>
      <w:r w:rsidRPr="006075A4">
        <w:rPr>
          <w:lang w:val="en-GB"/>
        </w:rPr>
        <w:t>Gender Equality</w:t>
      </w:r>
      <w:bookmarkEnd w:id="11"/>
      <w:bookmarkEnd w:id="14"/>
    </w:p>
    <w:p w14:paraId="49AEFA4E" w14:textId="77777777" w:rsidR="002633AF" w:rsidRDefault="002633AF" w:rsidP="00E465AF">
      <w:pPr>
        <w:rPr>
          <w:lang w:val="en-GB"/>
        </w:rPr>
      </w:pPr>
    </w:p>
    <w:p w14:paraId="2322A892" w14:textId="3FC1A5DC" w:rsidR="00FD085C" w:rsidRDefault="00FD085C" w:rsidP="003757B2">
      <w:pPr>
        <w:jc w:val="both"/>
        <w:rPr>
          <w:rFonts w:ascii="Calibri" w:eastAsia="Calibri" w:hAnsi="Calibri" w:cs="Times New Roman"/>
          <w:b/>
          <w:sz w:val="26"/>
          <w:szCs w:val="26"/>
          <w:lang w:val="en-GB" w:eastAsia="fr-BE"/>
        </w:rPr>
      </w:pPr>
      <w:r>
        <w:rPr>
          <w:rFonts w:ascii="Calibri" w:eastAsia="Calibri" w:hAnsi="Calibri" w:cs="Times New Roman"/>
          <w:b/>
          <w:sz w:val="26"/>
          <w:szCs w:val="26"/>
          <w:lang w:val="en-GB" w:eastAsia="fr-BE"/>
        </w:rPr>
        <w:t>The European Commission launches consultation of EU social partner organisations on work-life balance</w:t>
      </w:r>
    </w:p>
    <w:p w14:paraId="6DADCDEB" w14:textId="43D99E02" w:rsidR="00FD085C" w:rsidRPr="00FD085C" w:rsidRDefault="00FD085C" w:rsidP="00FD085C">
      <w:pPr>
        <w:spacing w:line="276" w:lineRule="auto"/>
        <w:jc w:val="both"/>
        <w:rPr>
          <w:rFonts w:ascii="Calibri" w:eastAsia="Calibri" w:hAnsi="Calibri" w:cs="Times New Roman"/>
          <w:szCs w:val="26"/>
          <w:lang w:val="en-GB" w:eastAsia="fr-BE"/>
        </w:rPr>
      </w:pPr>
      <w:r w:rsidRPr="00FD085C">
        <w:rPr>
          <w:rFonts w:ascii="Calibri" w:eastAsia="Calibri" w:hAnsi="Calibri" w:cs="Times New Roman"/>
          <w:szCs w:val="26"/>
          <w:lang w:val="en-GB" w:eastAsia="fr-BE"/>
        </w:rPr>
        <w:t xml:space="preserve">On 11 October, </w:t>
      </w:r>
      <w:r>
        <w:rPr>
          <w:rFonts w:ascii="Calibri" w:eastAsia="Calibri" w:hAnsi="Calibri" w:cs="Times New Roman"/>
          <w:szCs w:val="26"/>
          <w:lang w:val="en-GB" w:eastAsia="fr-BE"/>
        </w:rPr>
        <w:t>t</w:t>
      </w:r>
      <w:r w:rsidRPr="00FD085C">
        <w:rPr>
          <w:rFonts w:ascii="Calibri" w:eastAsia="Calibri" w:hAnsi="Calibri" w:cs="Times New Roman"/>
          <w:szCs w:val="26"/>
          <w:lang w:val="en-GB" w:eastAsia="fr-BE"/>
        </w:rPr>
        <w:t>he Eu</w:t>
      </w:r>
      <w:r w:rsidR="00111605">
        <w:rPr>
          <w:rFonts w:ascii="Calibri" w:eastAsia="Calibri" w:hAnsi="Calibri" w:cs="Times New Roman"/>
          <w:szCs w:val="26"/>
          <w:lang w:val="en-GB" w:eastAsia="fr-BE"/>
        </w:rPr>
        <w:t xml:space="preserve">ropean Commission </w:t>
      </w:r>
      <w:r>
        <w:rPr>
          <w:rFonts w:ascii="Calibri" w:eastAsia="Calibri" w:hAnsi="Calibri" w:cs="Times New Roman"/>
          <w:szCs w:val="26"/>
          <w:lang w:val="en-GB" w:eastAsia="fr-BE"/>
        </w:rPr>
        <w:t xml:space="preserve">launched </w:t>
      </w:r>
      <w:r w:rsidRPr="00FD085C">
        <w:rPr>
          <w:rFonts w:ascii="Calibri" w:eastAsia="Calibri" w:hAnsi="Calibri" w:cs="Times New Roman"/>
          <w:szCs w:val="26"/>
          <w:lang w:val="en-GB" w:eastAsia="fr-BE"/>
        </w:rPr>
        <w:t>a first stage consultation with EU social partner organisations on how to improve work-life balance and reduce obstacles to women's participation in the labour market.</w:t>
      </w:r>
    </w:p>
    <w:p w14:paraId="03A9BB77" w14:textId="5557080F" w:rsidR="00FD085C" w:rsidRDefault="00FD085C" w:rsidP="00FD085C">
      <w:pPr>
        <w:spacing w:line="276" w:lineRule="auto"/>
        <w:jc w:val="both"/>
        <w:rPr>
          <w:rFonts w:ascii="Calibri" w:eastAsia="Calibri" w:hAnsi="Calibri" w:cs="Times New Roman"/>
          <w:szCs w:val="26"/>
          <w:lang w:val="en-GB" w:eastAsia="fr-BE"/>
        </w:rPr>
      </w:pPr>
      <w:r w:rsidRPr="00FD085C">
        <w:rPr>
          <w:rFonts w:ascii="Calibri" w:eastAsia="Calibri" w:hAnsi="Calibri" w:cs="Times New Roman"/>
          <w:szCs w:val="26"/>
          <w:lang w:val="en-GB" w:eastAsia="fr-BE"/>
        </w:rPr>
        <w:t>The employees' and employers' organisations have until 4 January 2016 to submit their views on the possible directions of EU action.</w:t>
      </w:r>
      <w:r>
        <w:rPr>
          <w:rFonts w:ascii="Calibri" w:eastAsia="Calibri" w:hAnsi="Calibri" w:cs="Times New Roman"/>
          <w:szCs w:val="26"/>
          <w:lang w:val="en-GB" w:eastAsia="fr-BE"/>
        </w:rPr>
        <w:t xml:space="preserve"> In addition, </w:t>
      </w:r>
      <w:r w:rsidRPr="00FD085C">
        <w:rPr>
          <w:rFonts w:ascii="Calibri" w:eastAsia="Calibri" w:hAnsi="Calibri" w:cs="Times New Roman"/>
          <w:szCs w:val="26"/>
          <w:lang w:val="en-GB" w:eastAsia="fr-BE"/>
        </w:rPr>
        <w:t xml:space="preserve">a broad public consultation on work-life balance is also set to be launched </w:t>
      </w:r>
      <w:r w:rsidR="00111605">
        <w:rPr>
          <w:rFonts w:ascii="Calibri" w:eastAsia="Calibri" w:hAnsi="Calibri" w:cs="Times New Roman"/>
          <w:szCs w:val="26"/>
          <w:lang w:val="en-GB" w:eastAsia="fr-BE"/>
        </w:rPr>
        <w:t>at the end of November</w:t>
      </w:r>
      <w:r w:rsidRPr="00FD085C">
        <w:rPr>
          <w:rFonts w:ascii="Calibri" w:eastAsia="Calibri" w:hAnsi="Calibri" w:cs="Times New Roman"/>
          <w:szCs w:val="26"/>
          <w:lang w:val="en-GB" w:eastAsia="fr-BE"/>
        </w:rPr>
        <w:t>.</w:t>
      </w:r>
    </w:p>
    <w:p w14:paraId="34D4C8BB" w14:textId="0A3E5FB4" w:rsidR="00FD085C" w:rsidRPr="00FD085C" w:rsidRDefault="00FD085C" w:rsidP="00FD085C">
      <w:pPr>
        <w:shd w:val="clear" w:color="auto" w:fill="D9D9D9" w:themeFill="background1" w:themeFillShade="D9"/>
        <w:spacing w:line="276" w:lineRule="auto"/>
        <w:jc w:val="center"/>
        <w:rPr>
          <w:rFonts w:ascii="Calibri" w:eastAsia="Calibri" w:hAnsi="Calibri" w:cs="Times New Roman"/>
          <w:b/>
          <w:sz w:val="24"/>
          <w:szCs w:val="26"/>
          <w:lang w:val="en-GB" w:eastAsia="fr-BE"/>
        </w:rPr>
      </w:pPr>
      <w:r w:rsidRPr="00FD085C">
        <w:rPr>
          <w:rFonts w:ascii="Calibri" w:eastAsia="Calibri" w:hAnsi="Calibri" w:cs="Times New Roman"/>
          <w:b/>
          <w:sz w:val="24"/>
          <w:szCs w:val="26"/>
          <w:lang w:val="en-GB" w:eastAsia="fr-BE"/>
        </w:rPr>
        <w:t xml:space="preserve">More information is available </w:t>
      </w:r>
      <w:hyperlink r:id="rId19" w:history="1">
        <w:r w:rsidRPr="00FD085C">
          <w:rPr>
            <w:rStyle w:val="Hyperlink"/>
            <w:rFonts w:ascii="Calibri" w:eastAsia="Calibri" w:hAnsi="Calibri" w:cs="Times New Roman"/>
            <w:b/>
            <w:sz w:val="24"/>
            <w:szCs w:val="26"/>
            <w:lang w:val="en-GB" w:eastAsia="fr-BE"/>
          </w:rPr>
          <w:t>here</w:t>
        </w:r>
      </w:hyperlink>
    </w:p>
    <w:p w14:paraId="1B979D83" w14:textId="77777777" w:rsidR="00FD085C" w:rsidRDefault="00FD085C" w:rsidP="003757B2">
      <w:pPr>
        <w:jc w:val="both"/>
        <w:rPr>
          <w:rFonts w:ascii="Calibri" w:eastAsia="Calibri" w:hAnsi="Calibri" w:cs="Times New Roman"/>
          <w:b/>
          <w:sz w:val="26"/>
          <w:szCs w:val="26"/>
          <w:lang w:val="en-GB" w:eastAsia="fr-BE"/>
        </w:rPr>
      </w:pPr>
    </w:p>
    <w:p w14:paraId="01F0110A" w14:textId="5FBD81C8" w:rsidR="002633AF" w:rsidRDefault="002633AF" w:rsidP="003757B2">
      <w:pPr>
        <w:jc w:val="both"/>
        <w:rPr>
          <w:rFonts w:ascii="Calibri" w:eastAsia="Calibri" w:hAnsi="Calibri" w:cs="Times New Roman"/>
          <w:b/>
          <w:sz w:val="26"/>
          <w:szCs w:val="26"/>
          <w:lang w:val="en-GB" w:eastAsia="fr-BE"/>
        </w:rPr>
      </w:pPr>
      <w:r>
        <w:rPr>
          <w:rFonts w:ascii="Calibri" w:eastAsia="Calibri" w:hAnsi="Calibri" w:cs="Times New Roman"/>
          <w:b/>
          <w:sz w:val="26"/>
          <w:szCs w:val="26"/>
          <w:lang w:val="en-GB" w:eastAsia="fr-BE"/>
        </w:rPr>
        <w:t>The DG Justice of the European Commission publish</w:t>
      </w:r>
      <w:r w:rsidR="008C369D">
        <w:rPr>
          <w:rFonts w:ascii="Calibri" w:eastAsia="Calibri" w:hAnsi="Calibri" w:cs="Times New Roman"/>
          <w:b/>
          <w:sz w:val="26"/>
          <w:szCs w:val="26"/>
          <w:lang w:val="en-GB" w:eastAsia="fr-BE"/>
        </w:rPr>
        <w:t>es</w:t>
      </w:r>
      <w:r>
        <w:rPr>
          <w:rFonts w:ascii="Calibri" w:eastAsia="Calibri" w:hAnsi="Calibri" w:cs="Times New Roman"/>
          <w:b/>
          <w:sz w:val="26"/>
          <w:szCs w:val="26"/>
          <w:lang w:val="en-GB" w:eastAsia="fr-BE"/>
        </w:rPr>
        <w:t xml:space="preserve"> the results of the public consultation on equality between men and women in the EU </w:t>
      </w:r>
    </w:p>
    <w:p w14:paraId="46759F5B" w14:textId="5D802FE6" w:rsidR="008C369D" w:rsidRDefault="008C369D" w:rsidP="008C369D">
      <w:pPr>
        <w:pStyle w:val="NormalWeb"/>
        <w:shd w:val="clear" w:color="auto" w:fill="FFFFFF"/>
        <w:spacing w:before="0" w:beforeAutospacing="0" w:after="0" w:afterAutospacing="0" w:line="315" w:lineRule="atLeast"/>
        <w:jc w:val="both"/>
        <w:rPr>
          <w:rFonts w:asciiTheme="minorHAnsi" w:eastAsiaTheme="minorHAnsi" w:hAnsiTheme="minorHAnsi" w:cstheme="minorBidi"/>
          <w:sz w:val="22"/>
          <w:szCs w:val="22"/>
          <w:lang w:val="en-GB" w:eastAsia="en-US"/>
        </w:rPr>
      </w:pPr>
      <w:r w:rsidRPr="008C369D">
        <w:rPr>
          <w:rFonts w:asciiTheme="minorHAnsi" w:eastAsiaTheme="minorHAnsi" w:hAnsiTheme="minorHAnsi" w:cstheme="minorBidi"/>
          <w:sz w:val="22"/>
          <w:szCs w:val="22"/>
          <w:lang w:val="en-GB" w:eastAsia="en-US"/>
        </w:rPr>
        <w:t>On 30 October 2015, the European</w:t>
      </w:r>
      <w:r w:rsidR="003757B2">
        <w:rPr>
          <w:rFonts w:asciiTheme="minorHAnsi" w:eastAsiaTheme="minorHAnsi" w:hAnsiTheme="minorHAnsi" w:cstheme="minorBidi"/>
          <w:sz w:val="22"/>
          <w:szCs w:val="22"/>
          <w:lang w:val="en-GB" w:eastAsia="en-US"/>
        </w:rPr>
        <w:t xml:space="preserve"> Commission </w:t>
      </w:r>
      <w:r w:rsidRPr="008C369D">
        <w:rPr>
          <w:rFonts w:asciiTheme="minorHAnsi" w:eastAsiaTheme="minorHAnsi" w:hAnsiTheme="minorHAnsi" w:cstheme="minorBidi"/>
          <w:sz w:val="22"/>
          <w:szCs w:val="22"/>
          <w:lang w:val="en-GB" w:eastAsia="en-US"/>
        </w:rPr>
        <w:t>published the analysis report of the public consultation “</w:t>
      </w:r>
      <w:r w:rsidRPr="008C369D">
        <w:rPr>
          <w:rFonts w:asciiTheme="minorHAnsi" w:eastAsiaTheme="minorHAnsi" w:hAnsiTheme="minorHAnsi" w:cstheme="minorBidi"/>
          <w:b/>
          <w:sz w:val="22"/>
          <w:szCs w:val="22"/>
          <w:lang w:val="en-GB" w:eastAsia="en-US"/>
        </w:rPr>
        <w:t>Equality between women and men in the EU</w:t>
      </w:r>
      <w:r w:rsidRPr="008C369D">
        <w:rPr>
          <w:rFonts w:asciiTheme="minorHAnsi" w:eastAsiaTheme="minorHAnsi" w:hAnsiTheme="minorHAnsi" w:cstheme="minorBidi"/>
          <w:sz w:val="22"/>
          <w:szCs w:val="22"/>
          <w:lang w:val="en-GB" w:eastAsia="en-US"/>
        </w:rPr>
        <w:t xml:space="preserve">”, which ran between April and July this year. Almost 5 000 </w:t>
      </w:r>
      <w:r w:rsidRPr="008C369D">
        <w:rPr>
          <w:rFonts w:asciiTheme="minorHAnsi" w:eastAsiaTheme="minorHAnsi" w:hAnsiTheme="minorHAnsi" w:cstheme="minorBidi"/>
          <w:sz w:val="22"/>
          <w:szCs w:val="22"/>
          <w:lang w:val="en-GB" w:eastAsia="en-US"/>
        </w:rPr>
        <w:lastRenderedPageBreak/>
        <w:t xml:space="preserve">responses were received from across the EU, from individuals and from organisations, ranging from </w:t>
      </w:r>
      <w:r w:rsidR="003757B2">
        <w:rPr>
          <w:rFonts w:asciiTheme="minorHAnsi" w:eastAsiaTheme="minorHAnsi" w:hAnsiTheme="minorHAnsi" w:cstheme="minorBidi"/>
          <w:sz w:val="22"/>
          <w:szCs w:val="22"/>
          <w:lang w:val="en-GB" w:eastAsia="en-US"/>
        </w:rPr>
        <w:t xml:space="preserve">equality bodies to NGOs </w:t>
      </w:r>
      <w:r w:rsidRPr="008C369D">
        <w:rPr>
          <w:rFonts w:asciiTheme="minorHAnsi" w:eastAsiaTheme="minorHAnsi" w:hAnsiTheme="minorHAnsi" w:cstheme="minorBidi"/>
          <w:sz w:val="22"/>
          <w:szCs w:val="22"/>
          <w:lang w:val="en-GB" w:eastAsia="en-US"/>
        </w:rPr>
        <w:t>to Member State authorities.</w:t>
      </w:r>
    </w:p>
    <w:p w14:paraId="130B9039" w14:textId="77777777" w:rsidR="003757B2" w:rsidRDefault="003757B2" w:rsidP="008C369D">
      <w:pPr>
        <w:pStyle w:val="NormalWeb"/>
        <w:shd w:val="clear" w:color="auto" w:fill="FFFFFF"/>
        <w:spacing w:before="0" w:beforeAutospacing="0" w:after="0" w:afterAutospacing="0" w:line="315" w:lineRule="atLeast"/>
        <w:jc w:val="both"/>
        <w:rPr>
          <w:rFonts w:asciiTheme="minorHAnsi" w:eastAsiaTheme="minorHAnsi" w:hAnsiTheme="minorHAnsi" w:cstheme="minorBidi"/>
          <w:sz w:val="22"/>
          <w:szCs w:val="22"/>
          <w:lang w:val="en-GB" w:eastAsia="en-US"/>
        </w:rPr>
      </w:pPr>
    </w:p>
    <w:p w14:paraId="393F0798" w14:textId="77777777" w:rsidR="008C369D" w:rsidRPr="008C369D" w:rsidRDefault="008C369D" w:rsidP="008C369D">
      <w:pPr>
        <w:pStyle w:val="NormalWeb"/>
        <w:shd w:val="clear" w:color="auto" w:fill="FFFFFF"/>
        <w:spacing w:before="0" w:beforeAutospacing="0" w:after="0" w:afterAutospacing="0" w:line="315" w:lineRule="atLeast"/>
        <w:jc w:val="both"/>
        <w:rPr>
          <w:rFonts w:asciiTheme="minorHAnsi" w:eastAsiaTheme="minorHAnsi" w:hAnsiTheme="minorHAnsi" w:cstheme="minorBidi"/>
          <w:sz w:val="22"/>
          <w:szCs w:val="22"/>
          <w:lang w:val="en-GB" w:eastAsia="en-US"/>
        </w:rPr>
      </w:pPr>
      <w:r w:rsidRPr="008C369D">
        <w:rPr>
          <w:rFonts w:asciiTheme="minorHAnsi" w:eastAsiaTheme="minorHAnsi" w:hAnsiTheme="minorHAnsi" w:cstheme="minorBidi"/>
          <w:sz w:val="22"/>
          <w:szCs w:val="22"/>
          <w:lang w:val="en-GB" w:eastAsia="en-US"/>
        </w:rPr>
        <w:t>The results of the consultation furthermore prioritised themes to be tackled by the European Commission as follows:</w:t>
      </w:r>
    </w:p>
    <w:p w14:paraId="4213344D" w14:textId="77777777" w:rsidR="008C369D" w:rsidRPr="008C369D" w:rsidRDefault="008C369D" w:rsidP="008C369D">
      <w:pPr>
        <w:pStyle w:val="NormalWeb"/>
        <w:shd w:val="clear" w:color="auto" w:fill="FFFFFF"/>
        <w:spacing w:before="0" w:beforeAutospacing="0" w:after="0" w:afterAutospacing="0" w:line="315" w:lineRule="atLeast"/>
        <w:jc w:val="both"/>
        <w:rPr>
          <w:rFonts w:asciiTheme="minorHAnsi" w:eastAsiaTheme="minorHAnsi" w:hAnsiTheme="minorHAnsi" w:cstheme="minorBidi"/>
          <w:sz w:val="22"/>
          <w:szCs w:val="22"/>
          <w:lang w:val="en-GB" w:eastAsia="en-US"/>
        </w:rPr>
      </w:pPr>
      <w:r w:rsidRPr="008C369D">
        <w:rPr>
          <w:rFonts w:asciiTheme="minorHAnsi" w:eastAsiaTheme="minorHAnsi" w:hAnsiTheme="minorHAnsi" w:cstheme="minorBidi"/>
          <w:sz w:val="22"/>
          <w:szCs w:val="22"/>
          <w:lang w:val="en-GB" w:eastAsia="en-US"/>
        </w:rPr>
        <w:t>1. Women being paid less than men for the same work or work of equal value;</w:t>
      </w:r>
    </w:p>
    <w:p w14:paraId="75CA3EE4" w14:textId="77777777" w:rsidR="008C369D" w:rsidRPr="008C369D" w:rsidRDefault="008C369D" w:rsidP="008C369D">
      <w:pPr>
        <w:pStyle w:val="NormalWeb"/>
        <w:shd w:val="clear" w:color="auto" w:fill="FFFFFF"/>
        <w:spacing w:before="0" w:beforeAutospacing="0" w:after="0" w:afterAutospacing="0" w:line="315" w:lineRule="atLeast"/>
        <w:jc w:val="both"/>
        <w:rPr>
          <w:rFonts w:asciiTheme="minorHAnsi" w:eastAsiaTheme="minorHAnsi" w:hAnsiTheme="minorHAnsi" w:cstheme="minorBidi"/>
          <w:sz w:val="22"/>
          <w:szCs w:val="22"/>
          <w:lang w:val="en-GB" w:eastAsia="en-US"/>
        </w:rPr>
      </w:pPr>
      <w:r w:rsidRPr="008C369D">
        <w:rPr>
          <w:rFonts w:asciiTheme="minorHAnsi" w:eastAsiaTheme="minorHAnsi" w:hAnsiTheme="minorHAnsi" w:cstheme="minorBidi"/>
          <w:sz w:val="22"/>
          <w:szCs w:val="22"/>
          <w:lang w:val="en-GB" w:eastAsia="en-US"/>
        </w:rPr>
        <w:t>2. The small number of women in positions of power in politics and businesses;</w:t>
      </w:r>
    </w:p>
    <w:p w14:paraId="6ADBB79F" w14:textId="77777777" w:rsidR="008C369D" w:rsidRPr="008C369D" w:rsidRDefault="008C369D" w:rsidP="008C369D">
      <w:pPr>
        <w:pStyle w:val="NormalWeb"/>
        <w:shd w:val="clear" w:color="auto" w:fill="FFFFFF"/>
        <w:spacing w:before="0" w:beforeAutospacing="0" w:after="0" w:afterAutospacing="0" w:line="315" w:lineRule="atLeast"/>
        <w:jc w:val="both"/>
        <w:rPr>
          <w:rFonts w:asciiTheme="minorHAnsi" w:eastAsiaTheme="minorHAnsi" w:hAnsiTheme="minorHAnsi" w:cstheme="minorBidi"/>
          <w:sz w:val="22"/>
          <w:szCs w:val="22"/>
          <w:lang w:val="en-GB" w:eastAsia="en-US"/>
        </w:rPr>
      </w:pPr>
      <w:r w:rsidRPr="008C369D">
        <w:rPr>
          <w:rFonts w:asciiTheme="minorHAnsi" w:eastAsiaTheme="minorHAnsi" w:hAnsiTheme="minorHAnsi" w:cstheme="minorBidi"/>
          <w:sz w:val="22"/>
          <w:szCs w:val="22"/>
          <w:lang w:val="en-GB" w:eastAsia="en-US"/>
        </w:rPr>
        <w:t>3. Facing prejudice because of preconceived ideas about the image and role of women and men;</w:t>
      </w:r>
    </w:p>
    <w:p w14:paraId="0A204647" w14:textId="77777777" w:rsidR="008C369D" w:rsidRPr="008C369D" w:rsidRDefault="008C369D" w:rsidP="008C369D">
      <w:pPr>
        <w:pStyle w:val="NormalWeb"/>
        <w:shd w:val="clear" w:color="auto" w:fill="FFFFFF"/>
        <w:spacing w:before="0" w:beforeAutospacing="0" w:after="0" w:afterAutospacing="0" w:line="315" w:lineRule="atLeast"/>
        <w:jc w:val="both"/>
        <w:rPr>
          <w:rFonts w:asciiTheme="minorHAnsi" w:eastAsiaTheme="minorHAnsi" w:hAnsiTheme="minorHAnsi" w:cstheme="minorBidi"/>
          <w:sz w:val="22"/>
          <w:szCs w:val="22"/>
          <w:lang w:val="en-GB" w:eastAsia="en-US"/>
        </w:rPr>
      </w:pPr>
      <w:r w:rsidRPr="008C369D">
        <w:rPr>
          <w:rFonts w:asciiTheme="minorHAnsi" w:eastAsiaTheme="minorHAnsi" w:hAnsiTheme="minorHAnsi" w:cstheme="minorBidi"/>
          <w:sz w:val="22"/>
          <w:szCs w:val="22"/>
          <w:lang w:val="en-GB" w:eastAsia="en-US"/>
        </w:rPr>
        <w:t>4. Gender-based violence;</w:t>
      </w:r>
    </w:p>
    <w:p w14:paraId="1334BA7B" w14:textId="77777777" w:rsidR="008C369D" w:rsidRPr="008C369D" w:rsidRDefault="008C369D" w:rsidP="008C369D">
      <w:pPr>
        <w:pStyle w:val="NormalWeb"/>
        <w:shd w:val="clear" w:color="auto" w:fill="FFFFFF"/>
        <w:spacing w:before="0" w:beforeAutospacing="0" w:after="0" w:afterAutospacing="0" w:line="315" w:lineRule="atLeast"/>
        <w:jc w:val="both"/>
        <w:rPr>
          <w:rFonts w:asciiTheme="minorHAnsi" w:eastAsiaTheme="minorHAnsi" w:hAnsiTheme="minorHAnsi" w:cstheme="minorBidi"/>
          <w:sz w:val="22"/>
          <w:szCs w:val="22"/>
          <w:lang w:val="en-GB" w:eastAsia="en-US"/>
        </w:rPr>
      </w:pPr>
      <w:r w:rsidRPr="008C369D">
        <w:rPr>
          <w:rFonts w:asciiTheme="minorHAnsi" w:eastAsiaTheme="minorHAnsi" w:hAnsiTheme="minorHAnsi" w:cstheme="minorBidi"/>
          <w:sz w:val="22"/>
          <w:szCs w:val="22"/>
          <w:lang w:val="en-GB" w:eastAsia="en-US"/>
        </w:rPr>
        <w:t>5. Widespread violation of women's rights worldwide;</w:t>
      </w:r>
    </w:p>
    <w:p w14:paraId="68E2CC5C" w14:textId="77777777" w:rsidR="008C369D" w:rsidRPr="008C369D" w:rsidRDefault="008C369D" w:rsidP="008C369D">
      <w:pPr>
        <w:pStyle w:val="NormalWeb"/>
        <w:shd w:val="clear" w:color="auto" w:fill="FFFFFF"/>
        <w:spacing w:before="0" w:beforeAutospacing="0" w:after="0" w:afterAutospacing="0" w:line="315" w:lineRule="atLeast"/>
        <w:jc w:val="both"/>
        <w:rPr>
          <w:rFonts w:asciiTheme="minorHAnsi" w:eastAsiaTheme="minorHAnsi" w:hAnsiTheme="minorHAnsi" w:cstheme="minorBidi"/>
          <w:sz w:val="22"/>
          <w:szCs w:val="22"/>
          <w:lang w:val="en-GB" w:eastAsia="en-US"/>
        </w:rPr>
      </w:pPr>
      <w:r w:rsidRPr="008C369D">
        <w:rPr>
          <w:rFonts w:asciiTheme="minorHAnsi" w:eastAsiaTheme="minorHAnsi" w:hAnsiTheme="minorHAnsi" w:cstheme="minorBidi"/>
          <w:sz w:val="22"/>
          <w:szCs w:val="22"/>
          <w:lang w:val="en-GB" w:eastAsia="en-US"/>
        </w:rPr>
        <w:t>6. The unequal sharing of caring and household tasks between men and women.</w:t>
      </w:r>
    </w:p>
    <w:p w14:paraId="0428BF75" w14:textId="49FC8451" w:rsidR="008C369D" w:rsidRPr="008C369D" w:rsidRDefault="008C369D" w:rsidP="00E465AF">
      <w:pPr>
        <w:rPr>
          <w:lang w:val="en-US"/>
        </w:rPr>
      </w:pPr>
    </w:p>
    <w:p w14:paraId="2A45B144" w14:textId="6A656306" w:rsidR="008C369D" w:rsidRDefault="008C369D" w:rsidP="008C369D">
      <w:pPr>
        <w:shd w:val="clear" w:color="auto" w:fill="D0CECE" w:themeFill="background2" w:themeFillShade="E6"/>
        <w:jc w:val="center"/>
        <w:rPr>
          <w:rFonts w:ascii="Calibri" w:eastAsia="Calibri" w:hAnsi="Calibri" w:cs="Times New Roman"/>
          <w:b/>
          <w:sz w:val="24"/>
          <w:lang w:val="en-GB" w:eastAsia="fr-BE"/>
        </w:rPr>
      </w:pPr>
      <w:r>
        <w:rPr>
          <w:rFonts w:ascii="Calibri" w:eastAsia="Calibri" w:hAnsi="Calibri" w:cs="Times New Roman"/>
          <w:b/>
          <w:sz w:val="24"/>
          <w:lang w:val="en-GB" w:eastAsia="fr-BE"/>
        </w:rPr>
        <w:t xml:space="preserve">For more information, click </w:t>
      </w:r>
      <w:hyperlink r:id="rId20" w:history="1">
        <w:r w:rsidRPr="008C369D">
          <w:rPr>
            <w:rStyle w:val="Hyperlink"/>
            <w:rFonts w:ascii="Calibri" w:eastAsia="Calibri" w:hAnsi="Calibri" w:cs="Times New Roman"/>
            <w:b/>
            <w:sz w:val="24"/>
            <w:lang w:val="en-GB" w:eastAsia="fr-BE"/>
          </w:rPr>
          <w:t>here</w:t>
        </w:r>
      </w:hyperlink>
      <w:r>
        <w:rPr>
          <w:rFonts w:ascii="Calibri" w:eastAsia="Calibri" w:hAnsi="Calibri" w:cs="Times New Roman"/>
          <w:b/>
          <w:sz w:val="24"/>
          <w:lang w:val="en-GB" w:eastAsia="fr-BE"/>
        </w:rPr>
        <w:t xml:space="preserve"> and to download the report, click </w:t>
      </w:r>
      <w:hyperlink r:id="rId21" w:history="1">
        <w:r w:rsidRPr="008C369D">
          <w:rPr>
            <w:rStyle w:val="Hyperlink"/>
            <w:rFonts w:ascii="Calibri" w:eastAsia="Calibri" w:hAnsi="Calibri" w:cs="Times New Roman"/>
            <w:b/>
            <w:sz w:val="24"/>
            <w:lang w:val="en-GB" w:eastAsia="fr-BE"/>
          </w:rPr>
          <w:t>here</w:t>
        </w:r>
      </w:hyperlink>
    </w:p>
    <w:p w14:paraId="00C7C4E7" w14:textId="77777777" w:rsidR="00C51A77" w:rsidRDefault="00C51A77" w:rsidP="00E465AF">
      <w:pPr>
        <w:rPr>
          <w:rFonts w:ascii="Calibri" w:eastAsia="Calibri" w:hAnsi="Calibri" w:cs="Times New Roman"/>
          <w:b/>
          <w:sz w:val="26"/>
          <w:szCs w:val="26"/>
          <w:lang w:val="en-GB" w:eastAsia="fr-BE"/>
        </w:rPr>
      </w:pPr>
    </w:p>
    <w:p w14:paraId="02FEC415" w14:textId="1471BAFB" w:rsidR="006D35C1" w:rsidRDefault="006D35C1" w:rsidP="00E465AF">
      <w:pPr>
        <w:rPr>
          <w:lang w:val="en-GB"/>
        </w:rPr>
      </w:pPr>
      <w:r>
        <w:rPr>
          <w:rFonts w:ascii="Calibri" w:eastAsia="Calibri" w:hAnsi="Calibri" w:cs="Times New Roman"/>
          <w:b/>
          <w:sz w:val="26"/>
          <w:szCs w:val="26"/>
          <w:lang w:val="en-GB" w:eastAsia="fr-BE"/>
        </w:rPr>
        <w:t>The European Parliament holds a mini hearing on Women on Boards</w:t>
      </w:r>
    </w:p>
    <w:p w14:paraId="6FFA1E81" w14:textId="6971349F" w:rsidR="00BF09CA" w:rsidRPr="008B163B" w:rsidRDefault="008C369D" w:rsidP="00DE39AF">
      <w:pPr>
        <w:spacing w:line="276" w:lineRule="auto"/>
        <w:jc w:val="both"/>
        <w:rPr>
          <w:lang w:val="en-GB"/>
        </w:rPr>
      </w:pPr>
      <w:r>
        <w:rPr>
          <w:lang w:val="en-GB"/>
        </w:rPr>
        <w:t>On 12 November</w:t>
      </w:r>
      <w:r w:rsidR="006D35C1">
        <w:rPr>
          <w:lang w:val="en-GB"/>
        </w:rPr>
        <w:t xml:space="preserve"> 2015</w:t>
      </w:r>
      <w:r>
        <w:rPr>
          <w:lang w:val="en-GB"/>
        </w:rPr>
        <w:t xml:space="preserve">, the European Parliament Committees on Legal Affairs and on Women’s Rights and Gender Equality </w:t>
      </w:r>
      <w:r w:rsidR="006D35C1">
        <w:rPr>
          <w:lang w:val="en-GB"/>
        </w:rPr>
        <w:t>held</w:t>
      </w:r>
      <w:r w:rsidR="008B163B">
        <w:rPr>
          <w:lang w:val="en-GB"/>
        </w:rPr>
        <w:t xml:space="preserve"> a hearing of experts on women on boards. </w:t>
      </w:r>
      <w:r w:rsidR="006D35C1">
        <w:rPr>
          <w:lang w:val="en-GB"/>
        </w:rPr>
        <w:t xml:space="preserve">The current state of </w:t>
      </w:r>
      <w:r w:rsidR="00BF09CA">
        <w:rPr>
          <w:lang w:val="en-GB"/>
        </w:rPr>
        <w:t>the</w:t>
      </w:r>
      <w:r w:rsidR="006D35C1" w:rsidRPr="006D35C1">
        <w:rPr>
          <w:lang w:val="en-GB"/>
        </w:rPr>
        <w:t xml:space="preserve"> “proposal for a Directive of the European Parliament and of the Council on improving the gender balance among non-executive directors of companies listed on stock exchanges and related measures</w:t>
      </w:r>
      <w:r w:rsidR="00BF09CA">
        <w:rPr>
          <w:lang w:val="en-GB"/>
        </w:rPr>
        <w:t xml:space="preserve">” (so-called “Women on Boards” directive) was also discussed. </w:t>
      </w:r>
    </w:p>
    <w:p w14:paraId="6BE71E65" w14:textId="76C4ED91" w:rsidR="00BF09CA" w:rsidRPr="00BF09CA" w:rsidRDefault="008B163B" w:rsidP="00BF09CA">
      <w:pPr>
        <w:shd w:val="clear" w:color="auto" w:fill="D0CECE" w:themeFill="background2" w:themeFillShade="E6"/>
        <w:jc w:val="center"/>
        <w:rPr>
          <w:rFonts w:ascii="Calibri" w:eastAsia="Calibri" w:hAnsi="Calibri" w:cs="Times New Roman"/>
          <w:b/>
          <w:sz w:val="24"/>
          <w:lang w:val="en-GB" w:eastAsia="fr-BE"/>
        </w:rPr>
      </w:pPr>
      <w:r>
        <w:rPr>
          <w:rFonts w:ascii="Calibri" w:eastAsia="Calibri" w:hAnsi="Calibri" w:cs="Times New Roman"/>
          <w:b/>
          <w:sz w:val="24"/>
          <w:lang w:val="en-GB" w:eastAsia="fr-BE"/>
        </w:rPr>
        <w:t xml:space="preserve">For more information, click </w:t>
      </w:r>
      <w:hyperlink r:id="rId22" w:history="1">
        <w:r w:rsidRPr="008B163B">
          <w:rPr>
            <w:rStyle w:val="Hyperlink"/>
            <w:rFonts w:ascii="Calibri" w:eastAsia="Calibri" w:hAnsi="Calibri" w:cs="Times New Roman"/>
            <w:b/>
            <w:sz w:val="24"/>
            <w:lang w:val="en-GB" w:eastAsia="fr-BE"/>
          </w:rPr>
          <w:t>here</w:t>
        </w:r>
      </w:hyperlink>
      <w:r w:rsidR="00BF09CA">
        <w:rPr>
          <w:rFonts w:ascii="Calibri" w:eastAsia="Calibri" w:hAnsi="Calibri" w:cs="Times New Roman"/>
          <w:b/>
          <w:sz w:val="24"/>
          <w:lang w:val="en-GB" w:eastAsia="fr-BE"/>
        </w:rPr>
        <w:br/>
        <w:t xml:space="preserve">Watch the recording of the hearing </w:t>
      </w:r>
      <w:hyperlink r:id="rId23" w:history="1">
        <w:r w:rsidR="00BF09CA" w:rsidRPr="00BF09CA">
          <w:rPr>
            <w:rStyle w:val="Hyperlink"/>
            <w:rFonts w:ascii="Calibri" w:eastAsia="Calibri" w:hAnsi="Calibri" w:cs="Times New Roman"/>
            <w:b/>
            <w:sz w:val="24"/>
            <w:lang w:val="en-GB" w:eastAsia="fr-BE"/>
          </w:rPr>
          <w:t>here</w:t>
        </w:r>
      </w:hyperlink>
    </w:p>
    <w:bookmarkEnd w:id="12"/>
    <w:bookmarkEnd w:id="13"/>
    <w:p w14:paraId="6B732470" w14:textId="77777777" w:rsidR="006D35C1" w:rsidRPr="006075A4" w:rsidRDefault="006D35C1" w:rsidP="00DE39AF">
      <w:pPr>
        <w:spacing w:line="240" w:lineRule="auto"/>
        <w:jc w:val="both"/>
        <w:rPr>
          <w:lang w:val="en-GB"/>
        </w:rPr>
      </w:pPr>
    </w:p>
    <w:p w14:paraId="3C4AE841" w14:textId="137BDA4E" w:rsidR="008B163B" w:rsidRDefault="004A7771" w:rsidP="00DE39AF">
      <w:pPr>
        <w:pStyle w:val="Heading2"/>
        <w:pBdr>
          <w:top w:val="dotted" w:sz="4" w:space="1" w:color="auto"/>
          <w:bottom w:val="dotted" w:sz="4" w:space="1" w:color="auto"/>
        </w:pBdr>
        <w:spacing w:line="240" w:lineRule="auto"/>
        <w:jc w:val="center"/>
        <w:rPr>
          <w:lang w:val="en-GB"/>
        </w:rPr>
      </w:pPr>
      <w:bookmarkStart w:id="15" w:name="_Toc418770750"/>
      <w:bookmarkStart w:id="16" w:name="_Ref418784334"/>
      <w:bookmarkStart w:id="17" w:name="_Ref421267538"/>
      <w:bookmarkStart w:id="18" w:name="_Ref435194266"/>
      <w:r w:rsidRPr="006075A4">
        <w:rPr>
          <w:lang w:val="en-GB"/>
        </w:rPr>
        <w:t>Disability</w:t>
      </w:r>
      <w:bookmarkEnd w:id="15"/>
      <w:bookmarkEnd w:id="16"/>
      <w:bookmarkEnd w:id="17"/>
      <w:bookmarkEnd w:id="18"/>
    </w:p>
    <w:p w14:paraId="6BE6D07C" w14:textId="77777777" w:rsidR="00DE39AF" w:rsidRDefault="00DE39AF" w:rsidP="00DE39AF">
      <w:pPr>
        <w:rPr>
          <w:lang w:val="en-GB" w:eastAsia="fr-BE"/>
        </w:rPr>
      </w:pPr>
    </w:p>
    <w:p w14:paraId="7CA618F4" w14:textId="04A870AE" w:rsidR="008B163B" w:rsidRPr="00F702FF" w:rsidRDefault="00F702FF" w:rsidP="00F702FF">
      <w:pPr>
        <w:jc w:val="both"/>
        <w:rPr>
          <w:b/>
          <w:sz w:val="26"/>
          <w:szCs w:val="26"/>
          <w:lang w:val="en-GB" w:eastAsia="fr-BE"/>
        </w:rPr>
      </w:pPr>
      <w:r w:rsidRPr="00F702FF">
        <w:rPr>
          <w:b/>
          <w:sz w:val="26"/>
          <w:szCs w:val="26"/>
          <w:lang w:val="en-GB" w:eastAsia="fr-BE"/>
        </w:rPr>
        <w:t>The European Parliament publishes a r</w:t>
      </w:r>
      <w:r w:rsidR="008B163B" w:rsidRPr="00F702FF">
        <w:rPr>
          <w:b/>
          <w:sz w:val="26"/>
          <w:szCs w:val="26"/>
          <w:lang w:val="en-GB" w:eastAsia="fr-BE"/>
        </w:rPr>
        <w:t>eport procedure on the implementation of the UN CRPD</w:t>
      </w:r>
    </w:p>
    <w:p w14:paraId="0D9984C6" w14:textId="4A64CB0F" w:rsidR="00811633" w:rsidRPr="00F702FF" w:rsidRDefault="008B163B" w:rsidP="00F702FF">
      <w:pPr>
        <w:jc w:val="both"/>
        <w:rPr>
          <w:b/>
          <w:lang w:val="en-GB"/>
        </w:rPr>
      </w:pPr>
      <w:r w:rsidRPr="00811633">
        <w:rPr>
          <w:lang w:val="en-GB"/>
        </w:rPr>
        <w:t xml:space="preserve">The Employment and Social Affair Committee of the European Parliament launched a </w:t>
      </w:r>
      <w:r w:rsidRPr="00F702FF">
        <w:rPr>
          <w:b/>
          <w:lang w:val="en-GB"/>
        </w:rPr>
        <w:t xml:space="preserve">report procedure on the implementation </w:t>
      </w:r>
      <w:r w:rsidR="00811633" w:rsidRPr="00F702FF">
        <w:rPr>
          <w:b/>
          <w:lang w:val="en-GB"/>
        </w:rPr>
        <w:t xml:space="preserve">by the EU of the UN Convention </w:t>
      </w:r>
      <w:r w:rsidRPr="00F702FF">
        <w:rPr>
          <w:b/>
          <w:lang w:val="en-GB"/>
        </w:rPr>
        <w:t>on Rights of Persons with Disabilities</w:t>
      </w:r>
      <w:r w:rsidRPr="00811633">
        <w:rPr>
          <w:lang w:val="en-GB"/>
        </w:rPr>
        <w:t xml:space="preserve">, with special regards to the concluding observations of the UN CRPD.  The EU was under review by the UN CRPD in September, </w:t>
      </w:r>
      <w:r w:rsidR="00811633" w:rsidRPr="00811633">
        <w:rPr>
          <w:lang w:val="en-GB"/>
        </w:rPr>
        <w:t xml:space="preserve">and the Treaty Body issued some key recommendations, including the adoption by the </w:t>
      </w:r>
      <w:r w:rsidR="00F702FF">
        <w:rPr>
          <w:lang w:val="en-GB"/>
        </w:rPr>
        <w:t xml:space="preserve">EU of the Horizontal Directive </w:t>
      </w:r>
      <w:r w:rsidR="00F702FF" w:rsidRPr="00F702FF">
        <w:rPr>
          <w:i/>
          <w:lang w:val="en-GB"/>
        </w:rPr>
        <w:t>(see Members’ Bulletin on EU Developments – August 2015)</w:t>
      </w:r>
      <w:r w:rsidR="00F702FF">
        <w:rPr>
          <w:lang w:val="en-GB"/>
        </w:rPr>
        <w:t xml:space="preserve">. </w:t>
      </w:r>
    </w:p>
    <w:p w14:paraId="558759A0" w14:textId="7D276E9A" w:rsidR="00811633" w:rsidRPr="00811633" w:rsidRDefault="00811633" w:rsidP="00811633">
      <w:pPr>
        <w:shd w:val="clear" w:color="auto" w:fill="D0CECE" w:themeFill="background2" w:themeFillShade="E6"/>
        <w:jc w:val="center"/>
        <w:rPr>
          <w:rFonts w:ascii="Calibri" w:eastAsia="Calibri" w:hAnsi="Calibri" w:cs="Times New Roman"/>
          <w:b/>
          <w:sz w:val="24"/>
          <w:lang w:val="en-GB" w:eastAsia="fr-BE"/>
        </w:rPr>
      </w:pPr>
      <w:r w:rsidRPr="00811633">
        <w:rPr>
          <w:rFonts w:ascii="Calibri" w:eastAsia="Calibri" w:hAnsi="Calibri" w:cs="Times New Roman"/>
          <w:b/>
          <w:sz w:val="24"/>
          <w:lang w:val="en-GB" w:eastAsia="fr-BE"/>
        </w:rPr>
        <w:t>For more information</w:t>
      </w:r>
      <w:r w:rsidR="00F702FF">
        <w:rPr>
          <w:rFonts w:ascii="Calibri" w:eastAsia="Calibri" w:hAnsi="Calibri" w:cs="Times New Roman"/>
          <w:b/>
          <w:sz w:val="24"/>
          <w:lang w:val="en-GB" w:eastAsia="fr-BE"/>
        </w:rPr>
        <w:t xml:space="preserve"> about the report</w:t>
      </w:r>
      <w:r w:rsidRPr="00811633">
        <w:rPr>
          <w:rFonts w:ascii="Calibri" w:eastAsia="Calibri" w:hAnsi="Calibri" w:cs="Times New Roman"/>
          <w:b/>
          <w:sz w:val="24"/>
          <w:lang w:val="en-GB" w:eastAsia="fr-BE"/>
        </w:rPr>
        <w:t xml:space="preserve">, click </w:t>
      </w:r>
      <w:hyperlink r:id="rId24" w:history="1">
        <w:r w:rsidRPr="00811633">
          <w:rPr>
            <w:rStyle w:val="Hyperlink"/>
            <w:rFonts w:ascii="Calibri" w:eastAsia="Calibri" w:hAnsi="Calibri" w:cs="Times New Roman"/>
            <w:b/>
            <w:sz w:val="24"/>
            <w:lang w:val="en-GB" w:eastAsia="fr-BE"/>
          </w:rPr>
          <w:t>here</w:t>
        </w:r>
      </w:hyperlink>
      <w:r w:rsidR="00F702FF">
        <w:rPr>
          <w:rFonts w:ascii="Calibri" w:eastAsia="Calibri" w:hAnsi="Calibri" w:cs="Times New Roman"/>
          <w:b/>
          <w:sz w:val="24"/>
          <w:lang w:val="en-GB" w:eastAsia="fr-BE"/>
        </w:rPr>
        <w:t xml:space="preserve"> </w:t>
      </w:r>
      <w:r w:rsidR="00F702FF">
        <w:rPr>
          <w:rFonts w:ascii="Calibri" w:eastAsia="Calibri" w:hAnsi="Calibri" w:cs="Times New Roman"/>
          <w:b/>
          <w:sz w:val="24"/>
          <w:lang w:val="en-GB" w:eastAsia="fr-BE"/>
        </w:rPr>
        <w:br/>
        <w:t>R</w:t>
      </w:r>
      <w:r>
        <w:rPr>
          <w:rFonts w:ascii="Calibri" w:eastAsia="Calibri" w:hAnsi="Calibri" w:cs="Times New Roman"/>
          <w:b/>
          <w:sz w:val="24"/>
          <w:lang w:val="en-GB" w:eastAsia="fr-BE"/>
        </w:rPr>
        <w:t xml:space="preserve">ead </w:t>
      </w:r>
      <w:r w:rsidRPr="00811633">
        <w:rPr>
          <w:rFonts w:ascii="Calibri" w:eastAsia="Calibri" w:hAnsi="Calibri" w:cs="Times New Roman"/>
          <w:b/>
          <w:sz w:val="24"/>
          <w:lang w:val="en-GB" w:eastAsia="fr-BE"/>
        </w:rPr>
        <w:t>the UN CRP</w:t>
      </w:r>
      <w:r w:rsidR="00F702FF">
        <w:rPr>
          <w:rFonts w:ascii="Calibri" w:eastAsia="Calibri" w:hAnsi="Calibri" w:cs="Times New Roman"/>
          <w:b/>
          <w:sz w:val="24"/>
          <w:lang w:val="en-GB" w:eastAsia="fr-BE"/>
        </w:rPr>
        <w:t>D concluding observations</w:t>
      </w:r>
      <w:r w:rsidRPr="00811633">
        <w:rPr>
          <w:rFonts w:ascii="Calibri" w:eastAsia="Calibri" w:hAnsi="Calibri" w:cs="Times New Roman"/>
          <w:b/>
          <w:sz w:val="24"/>
          <w:lang w:val="en-GB" w:eastAsia="fr-BE"/>
        </w:rPr>
        <w:t xml:space="preserve"> </w:t>
      </w:r>
      <w:hyperlink r:id="rId25" w:history="1">
        <w:r w:rsidRPr="00811633">
          <w:rPr>
            <w:rStyle w:val="Hyperlink"/>
            <w:rFonts w:ascii="Calibri" w:eastAsia="Calibri" w:hAnsi="Calibri" w:cs="Times New Roman"/>
            <w:b/>
            <w:sz w:val="24"/>
            <w:lang w:val="en-GB" w:eastAsia="fr-BE"/>
          </w:rPr>
          <w:t>here</w:t>
        </w:r>
      </w:hyperlink>
    </w:p>
    <w:p w14:paraId="6DD347D9" w14:textId="77777777" w:rsidR="00FD085C" w:rsidRDefault="00FD085C" w:rsidP="000263B4">
      <w:pPr>
        <w:pBdr>
          <w:bottom w:val="dotted" w:sz="36" w:space="1" w:color="auto"/>
        </w:pBdr>
        <w:spacing w:line="240" w:lineRule="auto"/>
        <w:rPr>
          <w:lang w:val="en-GB"/>
        </w:rPr>
      </w:pPr>
    </w:p>
    <w:p w14:paraId="05BA1BB2" w14:textId="77777777" w:rsidR="00E322D0" w:rsidRPr="006075A4" w:rsidRDefault="00E322D0" w:rsidP="000263B4">
      <w:pPr>
        <w:pBdr>
          <w:bottom w:val="dotted" w:sz="36" w:space="1" w:color="auto"/>
        </w:pBdr>
        <w:spacing w:line="240" w:lineRule="auto"/>
        <w:rPr>
          <w:lang w:val="en-GB"/>
        </w:rPr>
      </w:pPr>
    </w:p>
    <w:p w14:paraId="563CD954" w14:textId="77777777" w:rsidR="00DE39AF" w:rsidRDefault="00DE39AF">
      <w:pPr>
        <w:rPr>
          <w:rFonts w:ascii="Tahoma" w:eastAsiaTheme="majorEastAsia" w:hAnsi="Tahoma" w:cstheme="majorBidi"/>
          <w:b/>
          <w:sz w:val="32"/>
          <w:szCs w:val="32"/>
          <w:lang w:val="en-GB"/>
        </w:rPr>
      </w:pPr>
      <w:bookmarkStart w:id="19" w:name="_Toc418770751"/>
      <w:bookmarkStart w:id="20" w:name="_Ref418784342"/>
      <w:bookmarkStart w:id="21" w:name="_Ref421267554"/>
      <w:r>
        <w:rPr>
          <w:lang w:val="en-GB"/>
        </w:rPr>
        <w:br w:type="page"/>
      </w:r>
    </w:p>
    <w:p w14:paraId="0D439E6D" w14:textId="5D2E3863" w:rsidR="004A7771" w:rsidRPr="006075A4" w:rsidRDefault="00A823A2" w:rsidP="00963500">
      <w:pPr>
        <w:pStyle w:val="Heading1"/>
        <w:shd w:val="clear" w:color="auto" w:fill="A8D08D" w:themeFill="accent6" w:themeFillTint="99"/>
        <w:spacing w:line="240" w:lineRule="auto"/>
        <w:rPr>
          <w:lang w:val="en-GB"/>
        </w:rPr>
      </w:pPr>
      <w:bookmarkStart w:id="22" w:name="_Ref435194267"/>
      <w:bookmarkEnd w:id="19"/>
      <w:bookmarkEnd w:id="20"/>
      <w:bookmarkEnd w:id="21"/>
      <w:r>
        <w:rPr>
          <w:lang w:val="en-GB"/>
        </w:rPr>
        <w:t>Publications, funding opportunities and events</w:t>
      </w:r>
      <w:bookmarkEnd w:id="22"/>
    </w:p>
    <w:p w14:paraId="76217D62" w14:textId="77777777" w:rsidR="00AB116C" w:rsidRPr="006075A4" w:rsidRDefault="00AB116C" w:rsidP="00A823A2">
      <w:pPr>
        <w:rPr>
          <w:lang w:val="en-GB"/>
        </w:rPr>
      </w:pPr>
    </w:p>
    <w:p w14:paraId="4C5E00A2" w14:textId="77777777" w:rsidR="00E968C6" w:rsidRDefault="00F93FE2" w:rsidP="00A823A2">
      <w:pPr>
        <w:pStyle w:val="Heading2"/>
        <w:pBdr>
          <w:top w:val="dotted" w:sz="4" w:space="1" w:color="auto"/>
          <w:bottom w:val="dotted" w:sz="4" w:space="1" w:color="auto"/>
        </w:pBdr>
        <w:spacing w:line="240" w:lineRule="auto"/>
        <w:jc w:val="center"/>
        <w:rPr>
          <w:lang w:val="en-GB"/>
        </w:rPr>
      </w:pPr>
      <w:bookmarkStart w:id="23" w:name="_Ref435194268"/>
      <w:r w:rsidRPr="006075A4">
        <w:rPr>
          <w:lang w:val="en-GB"/>
        </w:rPr>
        <w:t>General information</w:t>
      </w:r>
      <w:bookmarkEnd w:id="23"/>
    </w:p>
    <w:p w14:paraId="6DD3C629" w14:textId="30D8B43C" w:rsidR="00CC2C99" w:rsidRPr="00A823A2" w:rsidRDefault="00F93FE2" w:rsidP="00A823A2">
      <w:pPr>
        <w:jc w:val="both"/>
        <w:rPr>
          <w:rFonts w:ascii="Arial" w:hAnsi="Arial" w:cs="Arial"/>
          <w:b/>
          <w:color w:val="074A8B"/>
          <w:sz w:val="29"/>
          <w:szCs w:val="29"/>
          <w:lang w:val="en-US"/>
        </w:rPr>
      </w:pPr>
      <w:r w:rsidRPr="00CC2C99">
        <w:rPr>
          <w:lang w:val="en-GB" w:eastAsia="fr-BE"/>
        </w:rPr>
        <w:br/>
      </w:r>
      <w:r w:rsidR="00CC2C99" w:rsidRPr="00A823A2">
        <w:rPr>
          <w:b/>
          <w:color w:val="FFFFFF" w:themeColor="background1"/>
          <w:shd w:val="clear" w:color="auto" w:fill="7030A0"/>
          <w:lang w:val="en-GB" w:eastAsia="fr-BE"/>
        </w:rPr>
        <w:t>PUBLICATION</w:t>
      </w:r>
      <w:r w:rsidR="00A823A2" w:rsidRPr="00A823A2">
        <w:rPr>
          <w:b/>
          <w:lang w:val="en-GB" w:eastAsia="fr-BE"/>
        </w:rPr>
        <w:t xml:space="preserve"> European Commission – </w:t>
      </w:r>
      <w:r w:rsidR="00E968C6" w:rsidRPr="00A823A2">
        <w:rPr>
          <w:b/>
          <w:lang w:val="en-GB" w:eastAsia="fr-BE"/>
        </w:rPr>
        <w:t xml:space="preserve">Analytical Web Note </w:t>
      </w:r>
      <w:r w:rsidR="00A823A2" w:rsidRPr="00A823A2">
        <w:rPr>
          <w:b/>
          <w:lang w:val="en-GB" w:eastAsia="fr-BE"/>
        </w:rPr>
        <w:t>–</w:t>
      </w:r>
      <w:r w:rsidR="00CC2C99" w:rsidRPr="00A823A2">
        <w:rPr>
          <w:b/>
          <w:lang w:val="en-GB" w:eastAsia="fr-BE"/>
        </w:rPr>
        <w:t xml:space="preserve"> </w:t>
      </w:r>
      <w:hyperlink r:id="rId26" w:history="1">
        <w:r w:rsidR="00A823A2" w:rsidRPr="00D767B3">
          <w:rPr>
            <w:rStyle w:val="Hyperlink"/>
            <w:lang w:val="en-GB" w:eastAsia="fr-BE"/>
          </w:rPr>
          <w:t>“</w:t>
        </w:r>
        <w:r w:rsidR="00E968C6" w:rsidRPr="00D767B3">
          <w:rPr>
            <w:rStyle w:val="Hyperlink"/>
            <w:lang w:val="en-GB" w:eastAsia="fr-BE"/>
          </w:rPr>
          <w:t>High and rising inequalities; w</w:t>
        </w:r>
        <w:r w:rsidR="00CC2C99" w:rsidRPr="00D767B3">
          <w:rPr>
            <w:rStyle w:val="Hyperlink"/>
            <w:lang w:val="en-GB" w:eastAsia="fr-BE"/>
          </w:rPr>
          <w:t xml:space="preserve">hat can be done about it (at EU </w:t>
        </w:r>
        <w:r w:rsidR="00E968C6" w:rsidRPr="00D767B3">
          <w:rPr>
            <w:rStyle w:val="Hyperlink"/>
            <w:lang w:val="en-GB" w:eastAsia="fr-BE"/>
          </w:rPr>
          <w:t>level)?</w:t>
        </w:r>
        <w:r w:rsidR="00A823A2" w:rsidRPr="00D767B3">
          <w:rPr>
            <w:rStyle w:val="Hyperlink"/>
            <w:lang w:val="en-GB" w:eastAsia="fr-BE"/>
          </w:rPr>
          <w:t>”</w:t>
        </w:r>
      </w:hyperlink>
      <w:r w:rsidR="00E968C6" w:rsidRPr="00A823A2">
        <w:rPr>
          <w:rFonts w:ascii="Arial" w:hAnsi="Arial" w:cs="Arial"/>
          <w:b/>
          <w:color w:val="074A8B"/>
          <w:sz w:val="29"/>
          <w:szCs w:val="29"/>
          <w:lang w:val="en-US"/>
        </w:rPr>
        <w:t xml:space="preserve">  </w:t>
      </w:r>
    </w:p>
    <w:p w14:paraId="20E384D4" w14:textId="7A3E33AC" w:rsidR="00A823A2" w:rsidRDefault="00A823A2" w:rsidP="00A823A2">
      <w:pPr>
        <w:jc w:val="both"/>
        <w:rPr>
          <w:lang w:val="en-US"/>
        </w:rPr>
      </w:pPr>
      <w:r w:rsidRPr="00A823A2">
        <w:rPr>
          <w:lang w:val="en-US"/>
        </w:rPr>
        <w:t>This note reviews the main drivers of inequality in the European Union and reflects on what can be done about it at EU level. It explains the distinction between inequalities of opportunities and inequalities of outcomes and discusses how inequality affects growth and the labour market.</w:t>
      </w:r>
    </w:p>
    <w:p w14:paraId="66B7C019" w14:textId="39F4A709" w:rsidR="00F93FE2" w:rsidRDefault="004D6F94" w:rsidP="004D6F94">
      <w:pPr>
        <w:jc w:val="both"/>
        <w:rPr>
          <w:b/>
          <w:lang w:val="en-US"/>
        </w:rPr>
      </w:pPr>
      <w:r w:rsidRPr="004D6F94">
        <w:rPr>
          <w:b/>
          <w:shd w:val="clear" w:color="auto" w:fill="A8D08D" w:themeFill="accent6" w:themeFillTint="99"/>
          <w:lang w:val="en-US"/>
        </w:rPr>
        <w:t>CALL FOR PROPOSALS</w:t>
      </w:r>
      <w:r>
        <w:rPr>
          <w:lang w:val="en-US"/>
        </w:rPr>
        <w:t xml:space="preserve"> </w:t>
      </w:r>
      <w:hyperlink r:id="rId27" w:history="1">
        <w:r w:rsidRPr="004D6F94">
          <w:rPr>
            <w:rStyle w:val="Hyperlink"/>
            <w:lang w:val="en-US"/>
          </w:rPr>
          <w:t>Action grants to support national or transnational projects to support judicial cooperation in civil matters</w:t>
        </w:r>
      </w:hyperlink>
      <w:r>
        <w:rPr>
          <w:lang w:val="en-US"/>
        </w:rPr>
        <w:t xml:space="preserve"> </w:t>
      </w:r>
      <w:r w:rsidRPr="00D767B3">
        <w:rPr>
          <w:i/>
          <w:lang w:val="en-US"/>
        </w:rPr>
        <w:t>(Deadline: 19 January 2016)</w:t>
      </w:r>
    </w:p>
    <w:p w14:paraId="32515ACC" w14:textId="78110236" w:rsidR="00F93FE2" w:rsidRDefault="004D6F94" w:rsidP="00D767B3">
      <w:pPr>
        <w:jc w:val="both"/>
        <w:rPr>
          <w:i/>
          <w:lang w:val="en-US"/>
        </w:rPr>
      </w:pPr>
      <w:r w:rsidRPr="004D6F94">
        <w:rPr>
          <w:b/>
          <w:shd w:val="clear" w:color="auto" w:fill="A8D08D" w:themeFill="accent6" w:themeFillTint="99"/>
          <w:lang w:val="en-US"/>
        </w:rPr>
        <w:t>CALL FOR PROPOSALS</w:t>
      </w:r>
      <w:r>
        <w:rPr>
          <w:b/>
          <w:lang w:val="en-US"/>
        </w:rPr>
        <w:t xml:space="preserve"> </w:t>
      </w:r>
      <w:hyperlink r:id="rId28" w:history="1">
        <w:r w:rsidRPr="004D6F94">
          <w:rPr>
            <w:rStyle w:val="Hyperlink"/>
            <w:lang w:val="en-US"/>
          </w:rPr>
          <w:t>Daphne call - Restricted call - Action grants for running 116 000 hotlines for missing children</w:t>
        </w:r>
      </w:hyperlink>
      <w:r>
        <w:rPr>
          <w:b/>
          <w:lang w:val="en-US"/>
        </w:rPr>
        <w:t xml:space="preserve"> </w:t>
      </w:r>
      <w:r w:rsidRPr="00D767B3">
        <w:rPr>
          <w:i/>
          <w:lang w:val="en-US"/>
        </w:rPr>
        <w:t>(Deadline: 12 January 2016)</w:t>
      </w:r>
    </w:p>
    <w:p w14:paraId="7659912C" w14:textId="77777777" w:rsidR="00CB253F" w:rsidRPr="00D767B3" w:rsidRDefault="00CB253F" w:rsidP="00D767B3">
      <w:pPr>
        <w:jc w:val="both"/>
        <w:rPr>
          <w:b/>
          <w:lang w:val="en-US"/>
        </w:rPr>
      </w:pPr>
    </w:p>
    <w:p w14:paraId="7615042C" w14:textId="3A97EA3B" w:rsidR="00F93FE2" w:rsidRDefault="00D767B3" w:rsidP="00D767B3">
      <w:pPr>
        <w:pStyle w:val="Heading2"/>
        <w:pBdr>
          <w:top w:val="dotted" w:sz="4" w:space="1" w:color="auto"/>
          <w:bottom w:val="dotted" w:sz="4" w:space="1" w:color="auto"/>
        </w:pBdr>
        <w:spacing w:line="240" w:lineRule="auto"/>
        <w:jc w:val="center"/>
        <w:rPr>
          <w:lang w:val="en-GB"/>
        </w:rPr>
      </w:pPr>
      <w:bookmarkStart w:id="24" w:name="_Ref435194269"/>
      <w:r>
        <w:rPr>
          <w:lang w:val="en-GB"/>
        </w:rPr>
        <w:t>Gender Equality</w:t>
      </w:r>
      <w:bookmarkEnd w:id="24"/>
    </w:p>
    <w:p w14:paraId="5089BEC8" w14:textId="65233EF7" w:rsidR="00D767B3" w:rsidRDefault="00F93FE2" w:rsidP="00572C63">
      <w:pPr>
        <w:jc w:val="both"/>
        <w:rPr>
          <w:b/>
          <w:lang w:val="en-GB"/>
        </w:rPr>
      </w:pPr>
      <w:r w:rsidRPr="006075A4">
        <w:rPr>
          <w:lang w:val="en-GB"/>
        </w:rPr>
        <w:br/>
      </w:r>
      <w:r w:rsidR="00D767B3" w:rsidRPr="00D767B3">
        <w:rPr>
          <w:b/>
          <w:shd w:val="clear" w:color="auto" w:fill="FFD966" w:themeFill="accent4" w:themeFillTint="99"/>
          <w:lang w:val="en-GB"/>
        </w:rPr>
        <w:t>EVENT</w:t>
      </w:r>
      <w:r w:rsidR="00D767B3">
        <w:rPr>
          <w:lang w:val="en-GB"/>
        </w:rPr>
        <w:t xml:space="preserve"> </w:t>
      </w:r>
      <w:r w:rsidR="00D767B3" w:rsidRPr="00D767B3">
        <w:rPr>
          <w:b/>
          <w:lang w:val="en-GB"/>
        </w:rPr>
        <w:t xml:space="preserve">European Commission – </w:t>
      </w:r>
      <w:r w:rsidR="00D767B3" w:rsidRPr="00572C63">
        <w:rPr>
          <w:lang w:val="en-GB"/>
        </w:rPr>
        <w:t>Peer Review Seminar 2015 - Gender Segregation in the Labour Market and Education</w:t>
      </w:r>
      <w:r w:rsidR="00D767B3">
        <w:rPr>
          <w:b/>
          <w:lang w:val="en-GB"/>
        </w:rPr>
        <w:t xml:space="preserve"> – </w:t>
      </w:r>
      <w:hyperlink r:id="rId29" w:history="1">
        <w:r w:rsidR="00D767B3" w:rsidRPr="00D767B3">
          <w:rPr>
            <w:rStyle w:val="Hyperlink"/>
            <w:lang w:val="en-GB"/>
          </w:rPr>
          <w:t>Papers published</w:t>
        </w:r>
      </w:hyperlink>
      <w:r w:rsidR="00D767B3">
        <w:rPr>
          <w:b/>
          <w:lang w:val="en-GB"/>
        </w:rPr>
        <w:t xml:space="preserve"> </w:t>
      </w:r>
    </w:p>
    <w:p w14:paraId="009BAA8A" w14:textId="0EF3EE42" w:rsidR="00572C63" w:rsidRDefault="00572C63" w:rsidP="00D767B3">
      <w:pPr>
        <w:rPr>
          <w:b/>
          <w:lang w:val="en-GB"/>
        </w:rPr>
      </w:pPr>
      <w:r w:rsidRPr="00572C63">
        <w:rPr>
          <w:b/>
          <w:shd w:val="clear" w:color="auto" w:fill="FFD966" w:themeFill="accent4" w:themeFillTint="99"/>
          <w:lang w:val="en-GB"/>
        </w:rPr>
        <w:t>EVENT</w:t>
      </w:r>
      <w:r>
        <w:rPr>
          <w:b/>
          <w:lang w:val="en-GB"/>
        </w:rPr>
        <w:t xml:space="preserve"> Council of Europe - </w:t>
      </w:r>
      <w:r w:rsidRPr="00572C63">
        <w:rPr>
          <w:lang w:val="en-GB"/>
        </w:rPr>
        <w:t xml:space="preserve">“Towards Guaranteeing Equal Access of Women to Justice” (15-16 October 2015) – </w:t>
      </w:r>
      <w:hyperlink r:id="rId30" w:history="1">
        <w:r w:rsidRPr="00572C63">
          <w:rPr>
            <w:rStyle w:val="Hyperlink"/>
            <w:lang w:val="en-GB"/>
          </w:rPr>
          <w:t>presentations available</w:t>
        </w:r>
      </w:hyperlink>
    </w:p>
    <w:p w14:paraId="48A838C0" w14:textId="77777777" w:rsidR="00FD085C" w:rsidRDefault="00FD085C" w:rsidP="00D767B3">
      <w:pPr>
        <w:rPr>
          <w:b/>
          <w:lang w:val="en-GB"/>
        </w:rPr>
      </w:pPr>
    </w:p>
    <w:p w14:paraId="7896029A" w14:textId="3A763B6F" w:rsidR="00FD085C" w:rsidRDefault="00FD085C" w:rsidP="00FD085C">
      <w:pPr>
        <w:pStyle w:val="Heading2"/>
        <w:pBdr>
          <w:top w:val="dotted" w:sz="4" w:space="1" w:color="auto"/>
          <w:bottom w:val="dotted" w:sz="4" w:space="1" w:color="auto"/>
        </w:pBdr>
        <w:jc w:val="center"/>
        <w:rPr>
          <w:lang w:val="en-GB"/>
        </w:rPr>
      </w:pPr>
      <w:bookmarkStart w:id="25" w:name="_Ref435194270"/>
      <w:r>
        <w:rPr>
          <w:lang w:val="en-GB"/>
        </w:rPr>
        <w:t>Disability</w:t>
      </w:r>
      <w:bookmarkEnd w:id="25"/>
    </w:p>
    <w:p w14:paraId="4BED3B7B" w14:textId="77777777" w:rsidR="00FD085C" w:rsidRPr="00FD085C" w:rsidRDefault="00FD085C" w:rsidP="00FD085C">
      <w:pPr>
        <w:rPr>
          <w:lang w:val="en-GB"/>
        </w:rPr>
      </w:pPr>
    </w:p>
    <w:p w14:paraId="705CF836" w14:textId="4354B14D" w:rsidR="00FD085C" w:rsidRDefault="00FD085C" w:rsidP="00572C63">
      <w:pPr>
        <w:jc w:val="both"/>
        <w:rPr>
          <w:b/>
          <w:lang w:val="en-US"/>
        </w:rPr>
      </w:pPr>
      <w:r w:rsidRPr="00FD085C">
        <w:rPr>
          <w:b/>
          <w:shd w:val="clear" w:color="auto" w:fill="FFD966" w:themeFill="accent4" w:themeFillTint="99"/>
          <w:lang w:val="en-US"/>
        </w:rPr>
        <w:t>EVENT</w:t>
      </w:r>
      <w:r w:rsidRPr="00FD085C">
        <w:rPr>
          <w:b/>
          <w:lang w:val="en-US"/>
        </w:rPr>
        <w:t xml:space="preserve"> European Commission </w:t>
      </w:r>
      <w:r>
        <w:rPr>
          <w:b/>
          <w:lang w:val="en-US"/>
        </w:rPr>
        <w:t>–</w:t>
      </w:r>
      <w:r w:rsidRPr="00FD085C">
        <w:rPr>
          <w:b/>
          <w:lang w:val="en-US"/>
        </w:rPr>
        <w:t xml:space="preserve"> </w:t>
      </w:r>
      <w:hyperlink r:id="rId31" w:history="1">
        <w:r w:rsidRPr="00FD085C">
          <w:rPr>
            <w:rStyle w:val="Hyperlink"/>
            <w:b/>
            <w:lang w:val="en-US"/>
          </w:rPr>
          <w:t>Conference "Growing together in a barrier-free Europe"</w:t>
        </w:r>
      </w:hyperlink>
      <w:r w:rsidRPr="00FD085C">
        <w:rPr>
          <w:b/>
          <w:lang w:val="en-US"/>
        </w:rPr>
        <w:t xml:space="preserve"> </w:t>
      </w:r>
      <w:r w:rsidRPr="00572C63">
        <w:rPr>
          <w:lang w:val="en-US"/>
        </w:rPr>
        <w:t xml:space="preserve">- Celebrating the Day of Persons with Disabilities </w:t>
      </w:r>
      <w:r>
        <w:rPr>
          <w:b/>
          <w:lang w:val="en-US"/>
        </w:rPr>
        <w:t xml:space="preserve">– </w:t>
      </w:r>
      <w:r w:rsidRPr="00FD085C">
        <w:rPr>
          <w:lang w:val="en-US"/>
        </w:rPr>
        <w:t>7-8 December 2015, Brussels</w:t>
      </w:r>
    </w:p>
    <w:p w14:paraId="7AD04741" w14:textId="77777777" w:rsidR="00CB253F" w:rsidRDefault="00CB253F" w:rsidP="00D767B3">
      <w:pPr>
        <w:rPr>
          <w:lang w:val="en-GB"/>
        </w:rPr>
      </w:pPr>
    </w:p>
    <w:p w14:paraId="128A7EA1" w14:textId="12BD14B6" w:rsidR="00BC2D0E" w:rsidRPr="00BC2D0E" w:rsidRDefault="00CB253F" w:rsidP="00CB253F">
      <w:pPr>
        <w:pStyle w:val="Heading2"/>
        <w:pBdr>
          <w:top w:val="dotted" w:sz="4" w:space="1" w:color="auto"/>
          <w:bottom w:val="dotted" w:sz="4" w:space="1" w:color="auto"/>
        </w:pBdr>
        <w:jc w:val="center"/>
        <w:rPr>
          <w:lang w:val="en-US"/>
        </w:rPr>
      </w:pPr>
      <w:bookmarkStart w:id="26" w:name="_Ref435194271"/>
      <w:r>
        <w:rPr>
          <w:lang w:val="en-US"/>
        </w:rPr>
        <w:t>Age</w:t>
      </w:r>
      <w:bookmarkEnd w:id="26"/>
    </w:p>
    <w:p w14:paraId="2625C7AE" w14:textId="2AC1FBE4" w:rsidR="00F93FE2" w:rsidRPr="00093A91" w:rsidRDefault="00F93FE2" w:rsidP="00CB253F">
      <w:pPr>
        <w:rPr>
          <w:lang w:val="en-US"/>
        </w:rPr>
      </w:pPr>
    </w:p>
    <w:p w14:paraId="0FF23C87" w14:textId="320DD952" w:rsidR="00F93FE2" w:rsidRPr="00E968C6" w:rsidRDefault="00CB253F" w:rsidP="00CB253F">
      <w:pPr>
        <w:spacing w:line="240" w:lineRule="auto"/>
        <w:jc w:val="both"/>
        <w:rPr>
          <w:lang w:val="en-GB"/>
        </w:rPr>
      </w:pPr>
      <w:r w:rsidRPr="00CB253F">
        <w:rPr>
          <w:b/>
          <w:shd w:val="clear" w:color="auto" w:fill="FFD966" w:themeFill="accent4" w:themeFillTint="99"/>
          <w:lang w:val="en-GB"/>
        </w:rPr>
        <w:t>EVENT</w:t>
      </w:r>
      <w:r w:rsidRPr="00CB253F">
        <w:rPr>
          <w:b/>
          <w:lang w:val="en-GB"/>
        </w:rPr>
        <w:t xml:space="preserve"> European Parliament – European Youth Event (20-21 May 2016)</w:t>
      </w:r>
      <w:r>
        <w:rPr>
          <w:lang w:val="en-GB"/>
        </w:rPr>
        <w:t xml:space="preserve"> – more information and registration </w:t>
      </w:r>
      <w:hyperlink r:id="rId32" w:history="1">
        <w:r w:rsidRPr="00CB253F">
          <w:rPr>
            <w:rStyle w:val="Hyperlink"/>
            <w:lang w:val="en-GB"/>
          </w:rPr>
          <w:t>here</w:t>
        </w:r>
      </w:hyperlink>
      <w:r>
        <w:rPr>
          <w:lang w:val="en-GB"/>
        </w:rPr>
        <w:tab/>
      </w:r>
    </w:p>
    <w:p w14:paraId="6C53EA1D" w14:textId="77777777" w:rsidR="00B07813" w:rsidRDefault="00B07813" w:rsidP="000263B4">
      <w:pPr>
        <w:pBdr>
          <w:bottom w:val="dotted" w:sz="36" w:space="1" w:color="auto"/>
        </w:pBdr>
        <w:spacing w:line="240" w:lineRule="auto"/>
        <w:rPr>
          <w:lang w:val="en-GB"/>
        </w:rPr>
      </w:pPr>
    </w:p>
    <w:p w14:paraId="4FC531FD" w14:textId="77777777" w:rsidR="00E322D0" w:rsidRPr="006075A4" w:rsidRDefault="00E322D0" w:rsidP="000263B4">
      <w:pPr>
        <w:pBdr>
          <w:bottom w:val="dotted" w:sz="36" w:space="1" w:color="auto"/>
        </w:pBdr>
        <w:spacing w:line="240" w:lineRule="auto"/>
        <w:rPr>
          <w:lang w:val="en-GB"/>
        </w:rPr>
      </w:pPr>
    </w:p>
    <w:p w14:paraId="73AA280A" w14:textId="77777777" w:rsidR="00CB253F" w:rsidRDefault="00CB253F">
      <w:pPr>
        <w:rPr>
          <w:rFonts w:ascii="Tahoma" w:eastAsiaTheme="majorEastAsia" w:hAnsi="Tahoma" w:cstheme="majorBidi"/>
          <w:b/>
          <w:sz w:val="32"/>
          <w:szCs w:val="32"/>
          <w:lang w:val="en-GB"/>
        </w:rPr>
      </w:pPr>
      <w:bookmarkStart w:id="27" w:name="_Toc418770756"/>
      <w:bookmarkStart w:id="28" w:name="_Ref418784375"/>
      <w:bookmarkStart w:id="29" w:name="_Ref421267634"/>
      <w:r>
        <w:rPr>
          <w:lang w:val="en-GB"/>
        </w:rPr>
        <w:br w:type="page"/>
      </w:r>
    </w:p>
    <w:p w14:paraId="6A49563D" w14:textId="16BD3515" w:rsidR="00B07813" w:rsidRPr="006075A4" w:rsidRDefault="00B07813" w:rsidP="00CB253F">
      <w:pPr>
        <w:pStyle w:val="Heading1"/>
        <w:shd w:val="clear" w:color="auto" w:fill="C5E0B3" w:themeFill="accent6" w:themeFillTint="66"/>
        <w:spacing w:line="240" w:lineRule="auto"/>
        <w:rPr>
          <w:lang w:val="en-GB"/>
        </w:rPr>
      </w:pPr>
      <w:bookmarkStart w:id="30" w:name="_Ref435194273"/>
      <w:r w:rsidRPr="006075A4">
        <w:rPr>
          <w:lang w:val="en-GB"/>
        </w:rPr>
        <w:t>Recent case-law</w:t>
      </w:r>
      <w:bookmarkEnd w:id="27"/>
      <w:bookmarkEnd w:id="28"/>
      <w:bookmarkEnd w:id="29"/>
      <w:bookmarkEnd w:id="30"/>
    </w:p>
    <w:p w14:paraId="6789F518" w14:textId="77777777" w:rsidR="0034362B" w:rsidRPr="006075A4" w:rsidRDefault="0034362B" w:rsidP="000263B4">
      <w:pPr>
        <w:spacing w:line="240" w:lineRule="auto"/>
        <w:rPr>
          <w:lang w:val="en-GB"/>
        </w:rPr>
      </w:pPr>
    </w:p>
    <w:p w14:paraId="7B10DD56" w14:textId="6BC8AC49" w:rsidR="009913B6" w:rsidRPr="006075A4" w:rsidRDefault="00AB116C" w:rsidP="00CB253F">
      <w:pPr>
        <w:pStyle w:val="Heading2"/>
        <w:pBdr>
          <w:top w:val="dotted" w:sz="4" w:space="1" w:color="auto"/>
          <w:bottom w:val="dotted" w:sz="4" w:space="1" w:color="auto"/>
        </w:pBdr>
        <w:spacing w:line="240" w:lineRule="auto"/>
        <w:jc w:val="center"/>
        <w:rPr>
          <w:lang w:val="en-GB"/>
        </w:rPr>
      </w:pPr>
      <w:bookmarkStart w:id="31" w:name="_Ref421267644"/>
      <w:r w:rsidRPr="006075A4">
        <w:rPr>
          <w:lang w:val="en-GB"/>
        </w:rPr>
        <w:t>European Court of Human Rights (ECHR)</w:t>
      </w:r>
      <w:bookmarkEnd w:id="31"/>
    </w:p>
    <w:p w14:paraId="0C864C0E" w14:textId="77777777" w:rsidR="00CB253F" w:rsidRDefault="00845CD1" w:rsidP="000263B4">
      <w:pPr>
        <w:spacing w:line="240" w:lineRule="auto"/>
        <w:jc w:val="both"/>
        <w:rPr>
          <w:lang w:val="en-GB"/>
        </w:rPr>
      </w:pPr>
      <w:r w:rsidRPr="006075A4">
        <w:rPr>
          <w:lang w:val="en-GB"/>
        </w:rPr>
        <w:t xml:space="preserve"> </w:t>
      </w:r>
    </w:p>
    <w:p w14:paraId="396CB575" w14:textId="77777777" w:rsidR="00880B8B" w:rsidRPr="00880B8B" w:rsidRDefault="0025583F" w:rsidP="00880B8B">
      <w:pPr>
        <w:pStyle w:val="ListParagraph"/>
        <w:numPr>
          <w:ilvl w:val="0"/>
          <w:numId w:val="35"/>
        </w:numPr>
        <w:spacing w:line="240" w:lineRule="auto"/>
        <w:jc w:val="both"/>
        <w:rPr>
          <w:lang w:val="en-US"/>
        </w:rPr>
      </w:pPr>
      <w:r w:rsidRPr="0025583F">
        <w:rPr>
          <w:b/>
          <w:lang w:val="en-US"/>
        </w:rPr>
        <w:t>Vrountou v. Cyprus (no. 33631/06) – 13 October 2015</w:t>
      </w:r>
    </w:p>
    <w:p w14:paraId="4F330B45" w14:textId="1A7A1FE6" w:rsidR="0025583F" w:rsidRDefault="00880B8B" w:rsidP="00880B8B">
      <w:pPr>
        <w:pStyle w:val="ListParagraph"/>
        <w:spacing w:line="240" w:lineRule="auto"/>
        <w:ind w:left="360"/>
        <w:jc w:val="both"/>
        <w:rPr>
          <w:lang w:val="en-US"/>
        </w:rPr>
      </w:pPr>
      <w:r>
        <w:rPr>
          <w:lang w:val="en-US"/>
        </w:rPr>
        <w:t>T</w:t>
      </w:r>
      <w:r w:rsidRPr="00880B8B">
        <w:rPr>
          <w:lang w:val="en-US"/>
        </w:rPr>
        <w:t>he provision of refugee cards to children of displaced men but not to</w:t>
      </w:r>
      <w:r>
        <w:rPr>
          <w:lang w:val="en-US"/>
        </w:rPr>
        <w:t xml:space="preserve"> </w:t>
      </w:r>
      <w:r w:rsidRPr="00880B8B">
        <w:rPr>
          <w:lang w:val="en-US"/>
        </w:rPr>
        <w:t xml:space="preserve">children of displaced women </w:t>
      </w:r>
      <w:r>
        <w:rPr>
          <w:lang w:val="en-US"/>
        </w:rPr>
        <w:t>i</w:t>
      </w:r>
      <w:r w:rsidRPr="00880B8B">
        <w:rPr>
          <w:lang w:val="en-US"/>
        </w:rPr>
        <w:t>s discriminatory</w:t>
      </w:r>
      <w:r>
        <w:rPr>
          <w:lang w:val="en-US"/>
        </w:rPr>
        <w:t>.</w:t>
      </w:r>
      <w:r>
        <w:rPr>
          <w:lang w:val="en-US"/>
        </w:rPr>
        <w:br/>
      </w:r>
      <w:r w:rsidR="0025583F" w:rsidRPr="00880B8B">
        <w:rPr>
          <w:lang w:val="en-US"/>
        </w:rPr>
        <w:t xml:space="preserve">Read the case </w:t>
      </w:r>
      <w:hyperlink r:id="rId33" w:history="1">
        <w:r w:rsidR="0025583F" w:rsidRPr="00880B8B">
          <w:rPr>
            <w:rStyle w:val="Hyperlink"/>
            <w:lang w:val="en-US"/>
          </w:rPr>
          <w:t>here</w:t>
        </w:r>
      </w:hyperlink>
      <w:r w:rsidR="0025583F" w:rsidRPr="00880B8B">
        <w:rPr>
          <w:lang w:val="en-US"/>
        </w:rPr>
        <w:t xml:space="preserve">. </w:t>
      </w:r>
    </w:p>
    <w:p w14:paraId="695890DB" w14:textId="77777777" w:rsidR="00E322D0" w:rsidRDefault="00E322D0" w:rsidP="00880B8B">
      <w:pPr>
        <w:pStyle w:val="ListParagraph"/>
        <w:spacing w:line="240" w:lineRule="auto"/>
        <w:ind w:left="360"/>
        <w:jc w:val="both"/>
        <w:rPr>
          <w:lang w:val="en-US"/>
        </w:rPr>
      </w:pPr>
    </w:p>
    <w:p w14:paraId="6B7CE071" w14:textId="06DCFCB9" w:rsidR="00E322D0" w:rsidRPr="002C1F2D" w:rsidRDefault="002C1F2D" w:rsidP="002C1F2D">
      <w:pPr>
        <w:pStyle w:val="ListParagraph"/>
        <w:numPr>
          <w:ilvl w:val="0"/>
          <w:numId w:val="35"/>
        </w:numPr>
        <w:spacing w:line="240" w:lineRule="auto"/>
        <w:jc w:val="both"/>
        <w:rPr>
          <w:b/>
          <w:lang w:val="en-US"/>
        </w:rPr>
      </w:pPr>
      <w:r w:rsidRPr="002C1F2D">
        <w:rPr>
          <w:b/>
          <w:lang w:val="en-US"/>
        </w:rPr>
        <w:t>Balázs v. Hungary</w:t>
      </w:r>
      <w:r>
        <w:rPr>
          <w:b/>
          <w:lang w:val="en-US"/>
        </w:rPr>
        <w:t xml:space="preserve"> (n°15529/12) – 20 October 2015</w:t>
      </w:r>
      <w:r>
        <w:rPr>
          <w:b/>
          <w:lang w:val="en-US"/>
        </w:rPr>
        <w:tab/>
      </w:r>
      <w:r>
        <w:rPr>
          <w:b/>
          <w:lang w:val="en-US"/>
        </w:rPr>
        <w:br/>
      </w:r>
      <w:r w:rsidRPr="002C1F2D">
        <w:rPr>
          <w:lang w:val="en-US"/>
        </w:rPr>
        <w:t>Hungary condemned by the European Court of Human Rights for failing to investigate</w:t>
      </w:r>
      <w:r w:rsidR="00111605">
        <w:rPr>
          <w:lang w:val="en-US"/>
        </w:rPr>
        <w:t xml:space="preserve"> a</w:t>
      </w:r>
      <w:bookmarkStart w:id="32" w:name="_GoBack"/>
      <w:bookmarkEnd w:id="32"/>
      <w:r w:rsidRPr="002C1F2D">
        <w:rPr>
          <w:lang w:val="en-US"/>
        </w:rPr>
        <w:t xml:space="preserve"> racist attack against a Roma man.</w:t>
      </w:r>
      <w:r>
        <w:rPr>
          <w:b/>
          <w:lang w:val="en-US"/>
        </w:rPr>
        <w:tab/>
        <w:t xml:space="preserve"> </w:t>
      </w:r>
      <w:r>
        <w:rPr>
          <w:b/>
          <w:lang w:val="en-US"/>
        </w:rPr>
        <w:br/>
      </w:r>
      <w:r w:rsidRPr="002C1F2D">
        <w:rPr>
          <w:lang w:val="en-US"/>
        </w:rPr>
        <w:t xml:space="preserve">Read the case </w:t>
      </w:r>
      <w:hyperlink r:id="rId34" w:anchor="{&quot;itemid&quot;:[&quot;001-158033&quot;]}" w:history="1">
        <w:r w:rsidRPr="002C1F2D">
          <w:rPr>
            <w:rStyle w:val="Hyperlink"/>
            <w:lang w:val="en-US"/>
          </w:rPr>
          <w:t>here</w:t>
        </w:r>
      </w:hyperlink>
      <w:r w:rsidRPr="002C1F2D">
        <w:rPr>
          <w:lang w:val="en-US"/>
        </w:rPr>
        <w:t>.</w:t>
      </w:r>
      <w:r>
        <w:rPr>
          <w:b/>
          <w:lang w:val="en-US"/>
        </w:rPr>
        <w:t xml:space="preserve"> </w:t>
      </w:r>
    </w:p>
    <w:p w14:paraId="79EE266B" w14:textId="77777777" w:rsidR="0025583F" w:rsidRPr="0025583F" w:rsidRDefault="0025583F" w:rsidP="0025583F">
      <w:pPr>
        <w:pStyle w:val="ListParagraph"/>
        <w:spacing w:line="240" w:lineRule="auto"/>
        <w:ind w:left="360"/>
        <w:jc w:val="both"/>
        <w:rPr>
          <w:lang w:val="en-GB"/>
        </w:rPr>
      </w:pPr>
    </w:p>
    <w:p w14:paraId="61FF4C2C" w14:textId="777225A7" w:rsidR="005C3F61" w:rsidRPr="0025583F" w:rsidRDefault="0025583F" w:rsidP="000263B4">
      <w:pPr>
        <w:pStyle w:val="ListParagraph"/>
        <w:numPr>
          <w:ilvl w:val="0"/>
          <w:numId w:val="35"/>
        </w:numPr>
        <w:spacing w:line="240" w:lineRule="auto"/>
        <w:jc w:val="both"/>
        <w:rPr>
          <w:lang w:val="en-GB"/>
        </w:rPr>
      </w:pPr>
      <w:r>
        <w:rPr>
          <w:b/>
          <w:lang w:val="en-GB"/>
        </w:rPr>
        <w:t>M’Bala M’Bala v. France (</w:t>
      </w:r>
      <w:r w:rsidR="00CB253F" w:rsidRPr="00CB253F">
        <w:rPr>
          <w:b/>
          <w:lang w:val="en-GB"/>
        </w:rPr>
        <w:t>no. 25239/13) – 10 November 2015</w:t>
      </w:r>
      <w:r w:rsidR="00CB253F" w:rsidRPr="00CB253F">
        <w:rPr>
          <w:b/>
          <w:lang w:val="en-GB"/>
        </w:rPr>
        <w:tab/>
      </w:r>
      <w:r w:rsidR="00CB253F">
        <w:rPr>
          <w:lang w:val="en-GB"/>
        </w:rPr>
        <w:br/>
        <w:t xml:space="preserve">The </w:t>
      </w:r>
      <w:r w:rsidR="00CB253F" w:rsidRPr="00CB253F">
        <w:rPr>
          <w:lang w:val="en-GB"/>
        </w:rPr>
        <w:t>European Convention on Human Rights does not protect</w:t>
      </w:r>
      <w:r w:rsidR="00CB253F">
        <w:rPr>
          <w:lang w:val="en-GB"/>
        </w:rPr>
        <w:t xml:space="preserve"> </w:t>
      </w:r>
      <w:r w:rsidR="00CB253F" w:rsidRPr="00CB253F">
        <w:rPr>
          <w:lang w:val="en-GB"/>
        </w:rPr>
        <w:t>negationist and anti-Semitic performances</w:t>
      </w:r>
      <w:r w:rsidR="00CB253F">
        <w:rPr>
          <w:lang w:val="en-GB"/>
        </w:rPr>
        <w:br/>
        <w:t xml:space="preserve">Read the press release and the case </w:t>
      </w:r>
      <w:hyperlink r:id="rId35" w:anchor="{&quot;itemid&quot;:[&quot;003-5219432-6470458&quot;]}" w:history="1">
        <w:r w:rsidR="00CB253F" w:rsidRPr="00CB253F">
          <w:rPr>
            <w:rStyle w:val="Hyperlink"/>
            <w:lang w:val="en-GB"/>
          </w:rPr>
          <w:t>here</w:t>
        </w:r>
      </w:hyperlink>
      <w:r w:rsidR="00CB253F">
        <w:rPr>
          <w:lang w:val="en-GB"/>
        </w:rPr>
        <w:t xml:space="preserve">. </w:t>
      </w:r>
      <w:r w:rsidR="005C3F61" w:rsidRPr="0025583F">
        <w:rPr>
          <w:lang w:val="en-GB"/>
        </w:rPr>
        <w:t xml:space="preserve"> </w:t>
      </w:r>
    </w:p>
    <w:sectPr w:rsidR="005C3F61" w:rsidRPr="0025583F" w:rsidSect="006415D5">
      <w:footerReference w:type="default" r:id="rId3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80A91" w14:textId="77777777" w:rsidR="00B07813" w:rsidRDefault="00B07813" w:rsidP="001140DC">
      <w:pPr>
        <w:spacing w:after="0" w:line="240" w:lineRule="auto"/>
      </w:pPr>
      <w:r>
        <w:separator/>
      </w:r>
    </w:p>
  </w:endnote>
  <w:endnote w:type="continuationSeparator" w:id="0">
    <w:p w14:paraId="66C38360" w14:textId="77777777" w:rsidR="00B07813" w:rsidRDefault="00B07813"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8080"/>
      <w:docPartObj>
        <w:docPartGallery w:val="Page Numbers (Bottom of Page)"/>
        <w:docPartUnique/>
      </w:docPartObj>
    </w:sdtPr>
    <w:sdtEndPr>
      <w:rPr>
        <w:noProof/>
      </w:rPr>
    </w:sdtEndPr>
    <w:sdtContent>
      <w:p w14:paraId="4691FE19" w14:textId="77777777" w:rsidR="00B07813" w:rsidRDefault="00B07813">
        <w:pPr>
          <w:pStyle w:val="Footer"/>
          <w:jc w:val="center"/>
        </w:pPr>
        <w:r>
          <w:fldChar w:fldCharType="begin"/>
        </w:r>
        <w:r>
          <w:instrText xml:space="preserve"> PAGE   \* MERGEFORMAT </w:instrText>
        </w:r>
        <w:r>
          <w:fldChar w:fldCharType="separate"/>
        </w:r>
        <w:r w:rsidR="00111605">
          <w:rPr>
            <w:noProof/>
          </w:rPr>
          <w:t>5</w:t>
        </w:r>
        <w:r>
          <w:rPr>
            <w:noProof/>
          </w:rPr>
          <w:fldChar w:fldCharType="end"/>
        </w:r>
      </w:p>
    </w:sdtContent>
  </w:sdt>
  <w:p w14:paraId="69CDCD89" w14:textId="77777777" w:rsidR="00B07813" w:rsidRDefault="00B0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7F39C" w14:textId="77777777" w:rsidR="00B07813" w:rsidRDefault="00B07813" w:rsidP="001140DC">
      <w:pPr>
        <w:spacing w:after="0" w:line="240" w:lineRule="auto"/>
      </w:pPr>
      <w:r>
        <w:separator/>
      </w:r>
    </w:p>
  </w:footnote>
  <w:footnote w:type="continuationSeparator" w:id="0">
    <w:p w14:paraId="2DAA5EEB" w14:textId="77777777" w:rsidR="00B07813" w:rsidRDefault="00B07813" w:rsidP="0011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E2214"/>
    <w:multiLevelType w:val="hybridMultilevel"/>
    <w:tmpl w:val="85EC24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E1683B"/>
    <w:multiLevelType w:val="hybridMultilevel"/>
    <w:tmpl w:val="CA7A21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D0E1381"/>
    <w:multiLevelType w:val="hybridMultilevel"/>
    <w:tmpl w:val="D512D0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E6B5BDD"/>
    <w:multiLevelType w:val="hybridMultilevel"/>
    <w:tmpl w:val="07A006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110492C"/>
    <w:multiLevelType w:val="hybridMultilevel"/>
    <w:tmpl w:val="33F00EFE"/>
    <w:lvl w:ilvl="0" w:tplc="9CE6B810">
      <w:start w:val="1"/>
      <w:numFmt w:val="bullet"/>
      <w:lvlText w:val=""/>
      <w:lvlJc w:val="left"/>
      <w:pPr>
        <w:ind w:left="720" w:hanging="360"/>
      </w:pPr>
      <w:rPr>
        <w:rFonts w:ascii="Symbol" w:hAnsi="Symbol" w:hint="default"/>
        <w:color w:val="auto"/>
        <w:sz w:val="22"/>
        <w:szCs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2C676E5"/>
    <w:multiLevelType w:val="hybridMultilevel"/>
    <w:tmpl w:val="FF2E40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40F3AA6"/>
    <w:multiLevelType w:val="hybridMultilevel"/>
    <w:tmpl w:val="5EC8AF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5394E98"/>
    <w:multiLevelType w:val="hybridMultilevel"/>
    <w:tmpl w:val="7C9E571C"/>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1A333EC1"/>
    <w:multiLevelType w:val="multilevel"/>
    <w:tmpl w:val="52D2D1F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0532EB"/>
    <w:multiLevelType w:val="hybridMultilevel"/>
    <w:tmpl w:val="3F028B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F3C6907"/>
    <w:multiLevelType w:val="hybridMultilevel"/>
    <w:tmpl w:val="02082F38"/>
    <w:lvl w:ilvl="0" w:tplc="D844553E">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31D5604"/>
    <w:multiLevelType w:val="hybridMultilevel"/>
    <w:tmpl w:val="92589C1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23CD1781"/>
    <w:multiLevelType w:val="hybridMultilevel"/>
    <w:tmpl w:val="C89C9D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A327DD3"/>
    <w:multiLevelType w:val="hybridMultilevel"/>
    <w:tmpl w:val="A1DE41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CE86CC4"/>
    <w:multiLevelType w:val="hybridMultilevel"/>
    <w:tmpl w:val="B80C5A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0586FCD"/>
    <w:multiLevelType w:val="hybridMultilevel"/>
    <w:tmpl w:val="D9DC66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3405622"/>
    <w:multiLevelType w:val="hybridMultilevel"/>
    <w:tmpl w:val="D4EC1BA8"/>
    <w:lvl w:ilvl="0" w:tplc="4E1CEF54">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5692E43"/>
    <w:multiLevelType w:val="hybridMultilevel"/>
    <w:tmpl w:val="96A606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90E1F84"/>
    <w:multiLevelType w:val="multilevel"/>
    <w:tmpl w:val="8106600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9" w15:restartNumberingAfterBreak="0">
    <w:nsid w:val="3CEF4E28"/>
    <w:multiLevelType w:val="hybridMultilevel"/>
    <w:tmpl w:val="3E5007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EAA337E"/>
    <w:multiLevelType w:val="hybridMultilevel"/>
    <w:tmpl w:val="399C92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1FD48EC"/>
    <w:multiLevelType w:val="hybridMultilevel"/>
    <w:tmpl w:val="ABDEFB1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45AE6005"/>
    <w:multiLevelType w:val="hybridMultilevel"/>
    <w:tmpl w:val="C59697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5DE0D0E"/>
    <w:multiLevelType w:val="hybridMultilevel"/>
    <w:tmpl w:val="1734AC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6AF6547"/>
    <w:multiLevelType w:val="hybridMultilevel"/>
    <w:tmpl w:val="400C60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0FB7F07"/>
    <w:multiLevelType w:val="hybridMultilevel"/>
    <w:tmpl w:val="EA485B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2E864B6"/>
    <w:multiLevelType w:val="hybridMultilevel"/>
    <w:tmpl w:val="ABB251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4201901"/>
    <w:multiLevelType w:val="hybridMultilevel"/>
    <w:tmpl w:val="08144D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5781939"/>
    <w:multiLevelType w:val="hybridMultilevel"/>
    <w:tmpl w:val="95546638"/>
    <w:lvl w:ilvl="0" w:tplc="69EAA37E">
      <w:numFmt w:val="bullet"/>
      <w:lvlText w:val="-"/>
      <w:lvlJc w:val="left"/>
      <w:pPr>
        <w:ind w:left="405" w:hanging="360"/>
      </w:pPr>
      <w:rPr>
        <w:rFonts w:ascii="Calibri" w:eastAsiaTheme="minorHAnsi" w:hAnsi="Calibri" w:cstheme="minorBidi"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29" w15:restartNumberingAfterBreak="0">
    <w:nsid w:val="5B0055A2"/>
    <w:multiLevelType w:val="hybridMultilevel"/>
    <w:tmpl w:val="FB6AB3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BB85DA2"/>
    <w:multiLevelType w:val="hybridMultilevel"/>
    <w:tmpl w:val="B81ED6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5C3F1FB5"/>
    <w:multiLevelType w:val="hybridMultilevel"/>
    <w:tmpl w:val="5AA25B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9704737"/>
    <w:multiLevelType w:val="hybridMultilevel"/>
    <w:tmpl w:val="921CD2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E8F3A8A"/>
    <w:multiLevelType w:val="hybridMultilevel"/>
    <w:tmpl w:val="020609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2DD5D56"/>
    <w:multiLevelType w:val="hybridMultilevel"/>
    <w:tmpl w:val="F184E5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7972EA8"/>
    <w:multiLevelType w:val="hybridMultilevel"/>
    <w:tmpl w:val="4C18A7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B885D91"/>
    <w:multiLevelType w:val="hybridMultilevel"/>
    <w:tmpl w:val="BF860D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C576F0F"/>
    <w:multiLevelType w:val="hybridMultilevel"/>
    <w:tmpl w:val="BF26C4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1"/>
  </w:num>
  <w:num w:numId="2">
    <w:abstractNumId w:val="1"/>
  </w:num>
  <w:num w:numId="3">
    <w:abstractNumId w:val="23"/>
  </w:num>
  <w:num w:numId="4">
    <w:abstractNumId w:val="30"/>
  </w:num>
  <w:num w:numId="5">
    <w:abstractNumId w:val="32"/>
  </w:num>
  <w:num w:numId="6">
    <w:abstractNumId w:val="22"/>
  </w:num>
  <w:num w:numId="7">
    <w:abstractNumId w:val="12"/>
  </w:num>
  <w:num w:numId="8">
    <w:abstractNumId w:val="15"/>
  </w:num>
  <w:num w:numId="9">
    <w:abstractNumId w:val="0"/>
  </w:num>
  <w:num w:numId="10">
    <w:abstractNumId w:val="17"/>
  </w:num>
  <w:num w:numId="11">
    <w:abstractNumId w:val="34"/>
  </w:num>
  <w:num w:numId="12">
    <w:abstractNumId w:val="29"/>
  </w:num>
  <w:num w:numId="13">
    <w:abstractNumId w:val="6"/>
  </w:num>
  <w:num w:numId="14">
    <w:abstractNumId w:val="26"/>
  </w:num>
  <w:num w:numId="15">
    <w:abstractNumId w:val="24"/>
  </w:num>
  <w:num w:numId="16">
    <w:abstractNumId w:val="2"/>
  </w:num>
  <w:num w:numId="17">
    <w:abstractNumId w:val="25"/>
  </w:num>
  <w:num w:numId="18">
    <w:abstractNumId w:val="9"/>
  </w:num>
  <w:num w:numId="19">
    <w:abstractNumId w:val="3"/>
  </w:num>
  <w:num w:numId="20">
    <w:abstractNumId w:val="14"/>
  </w:num>
  <w:num w:numId="21">
    <w:abstractNumId w:val="27"/>
  </w:num>
  <w:num w:numId="22">
    <w:abstractNumId w:val="35"/>
  </w:num>
  <w:num w:numId="23">
    <w:abstractNumId w:val="5"/>
  </w:num>
  <w:num w:numId="24">
    <w:abstractNumId w:val="20"/>
  </w:num>
  <w:num w:numId="25">
    <w:abstractNumId w:val="37"/>
  </w:num>
  <w:num w:numId="26">
    <w:abstractNumId w:val="28"/>
  </w:num>
  <w:num w:numId="27">
    <w:abstractNumId w:val="7"/>
  </w:num>
  <w:num w:numId="28">
    <w:abstractNumId w:val="13"/>
  </w:num>
  <w:num w:numId="29">
    <w:abstractNumId w:val="19"/>
  </w:num>
  <w:num w:numId="30">
    <w:abstractNumId w:val="33"/>
  </w:num>
  <w:num w:numId="31">
    <w:abstractNumId w:val="36"/>
  </w:num>
  <w:num w:numId="32">
    <w:abstractNumId w:val="18"/>
  </w:num>
  <w:num w:numId="33">
    <w:abstractNumId w:val="8"/>
  </w:num>
  <w:num w:numId="34">
    <w:abstractNumId w:val="21"/>
  </w:num>
  <w:num w:numId="35">
    <w:abstractNumId w:val="11"/>
  </w:num>
  <w:num w:numId="36">
    <w:abstractNumId w:val="10"/>
  </w:num>
  <w:num w:numId="37">
    <w:abstractNumId w:val="16"/>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F6"/>
    <w:rsid w:val="000263B4"/>
    <w:rsid w:val="000348AB"/>
    <w:rsid w:val="00036CEA"/>
    <w:rsid w:val="000515A0"/>
    <w:rsid w:val="00093A91"/>
    <w:rsid w:val="000B22AC"/>
    <w:rsid w:val="000B784B"/>
    <w:rsid w:val="000D5978"/>
    <w:rsid w:val="000F46D8"/>
    <w:rsid w:val="000F79AC"/>
    <w:rsid w:val="00111605"/>
    <w:rsid w:val="001140DC"/>
    <w:rsid w:val="0014109E"/>
    <w:rsid w:val="0016113D"/>
    <w:rsid w:val="00175EA1"/>
    <w:rsid w:val="00177C56"/>
    <w:rsid w:val="0018390B"/>
    <w:rsid w:val="0018402A"/>
    <w:rsid w:val="001B305F"/>
    <w:rsid w:val="001C172F"/>
    <w:rsid w:val="001E3467"/>
    <w:rsid w:val="00207FD0"/>
    <w:rsid w:val="00217BAD"/>
    <w:rsid w:val="0025583F"/>
    <w:rsid w:val="00255FDB"/>
    <w:rsid w:val="002633AF"/>
    <w:rsid w:val="00282AC7"/>
    <w:rsid w:val="00291191"/>
    <w:rsid w:val="002B08F4"/>
    <w:rsid w:val="002C1F2D"/>
    <w:rsid w:val="002C3BF0"/>
    <w:rsid w:val="0034362B"/>
    <w:rsid w:val="00350245"/>
    <w:rsid w:val="003757B2"/>
    <w:rsid w:val="0038736A"/>
    <w:rsid w:val="00392C90"/>
    <w:rsid w:val="003C34AB"/>
    <w:rsid w:val="003D3E6F"/>
    <w:rsid w:val="003F08B5"/>
    <w:rsid w:val="004275EC"/>
    <w:rsid w:val="00441B08"/>
    <w:rsid w:val="0044701A"/>
    <w:rsid w:val="0048576D"/>
    <w:rsid w:val="004A7771"/>
    <w:rsid w:val="004D6F94"/>
    <w:rsid w:val="005047E4"/>
    <w:rsid w:val="0051290D"/>
    <w:rsid w:val="005165D2"/>
    <w:rsid w:val="00522381"/>
    <w:rsid w:val="00542158"/>
    <w:rsid w:val="00566380"/>
    <w:rsid w:val="00572C63"/>
    <w:rsid w:val="00587183"/>
    <w:rsid w:val="005978FA"/>
    <w:rsid w:val="005A767B"/>
    <w:rsid w:val="005B04DF"/>
    <w:rsid w:val="005C3F61"/>
    <w:rsid w:val="005D3458"/>
    <w:rsid w:val="0060251B"/>
    <w:rsid w:val="006075A4"/>
    <w:rsid w:val="00624AFF"/>
    <w:rsid w:val="006415D5"/>
    <w:rsid w:val="00651804"/>
    <w:rsid w:val="0067153F"/>
    <w:rsid w:val="006C3CD5"/>
    <w:rsid w:val="006D35C1"/>
    <w:rsid w:val="006F2D5F"/>
    <w:rsid w:val="00702D8C"/>
    <w:rsid w:val="00733D7F"/>
    <w:rsid w:val="00757D6D"/>
    <w:rsid w:val="00792C11"/>
    <w:rsid w:val="007C6B02"/>
    <w:rsid w:val="00811633"/>
    <w:rsid w:val="00837FF6"/>
    <w:rsid w:val="00845CD1"/>
    <w:rsid w:val="00871587"/>
    <w:rsid w:val="008719D8"/>
    <w:rsid w:val="00880B8B"/>
    <w:rsid w:val="008A2241"/>
    <w:rsid w:val="008B163B"/>
    <w:rsid w:val="008C369D"/>
    <w:rsid w:val="00922F1E"/>
    <w:rsid w:val="00963500"/>
    <w:rsid w:val="00975348"/>
    <w:rsid w:val="0098311A"/>
    <w:rsid w:val="009913B6"/>
    <w:rsid w:val="009B4DBA"/>
    <w:rsid w:val="009C2CBE"/>
    <w:rsid w:val="00A34EB9"/>
    <w:rsid w:val="00A73FA9"/>
    <w:rsid w:val="00A74E27"/>
    <w:rsid w:val="00A823A2"/>
    <w:rsid w:val="00A83053"/>
    <w:rsid w:val="00A86A2F"/>
    <w:rsid w:val="00A91933"/>
    <w:rsid w:val="00A924CE"/>
    <w:rsid w:val="00A965AC"/>
    <w:rsid w:val="00A975CF"/>
    <w:rsid w:val="00AB116C"/>
    <w:rsid w:val="00B07813"/>
    <w:rsid w:val="00B33A99"/>
    <w:rsid w:val="00B40C5A"/>
    <w:rsid w:val="00B41103"/>
    <w:rsid w:val="00B81B74"/>
    <w:rsid w:val="00BC2D0E"/>
    <w:rsid w:val="00BC522B"/>
    <w:rsid w:val="00BD7FB3"/>
    <w:rsid w:val="00BE1F3C"/>
    <w:rsid w:val="00BE506C"/>
    <w:rsid w:val="00BF09CA"/>
    <w:rsid w:val="00C51A77"/>
    <w:rsid w:val="00C842B1"/>
    <w:rsid w:val="00C91705"/>
    <w:rsid w:val="00C92B6C"/>
    <w:rsid w:val="00CB253F"/>
    <w:rsid w:val="00CB2E4E"/>
    <w:rsid w:val="00CC2C99"/>
    <w:rsid w:val="00CF7284"/>
    <w:rsid w:val="00D05673"/>
    <w:rsid w:val="00D1064D"/>
    <w:rsid w:val="00D54367"/>
    <w:rsid w:val="00D767B3"/>
    <w:rsid w:val="00D80D0E"/>
    <w:rsid w:val="00D87445"/>
    <w:rsid w:val="00DA1BD6"/>
    <w:rsid w:val="00DE39AF"/>
    <w:rsid w:val="00E014FB"/>
    <w:rsid w:val="00E300D5"/>
    <w:rsid w:val="00E322D0"/>
    <w:rsid w:val="00E465AF"/>
    <w:rsid w:val="00E64486"/>
    <w:rsid w:val="00E91D96"/>
    <w:rsid w:val="00E968C6"/>
    <w:rsid w:val="00EA1275"/>
    <w:rsid w:val="00F23218"/>
    <w:rsid w:val="00F31126"/>
    <w:rsid w:val="00F66D27"/>
    <w:rsid w:val="00F702FF"/>
    <w:rsid w:val="00F92C30"/>
    <w:rsid w:val="00F93FE2"/>
    <w:rsid w:val="00FA6B5D"/>
    <w:rsid w:val="00FD085C"/>
    <w:rsid w:val="00FE6920"/>
    <w:rsid w:val="00FE7DB2"/>
    <w:rsid w:val="00FF10B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42898E6A"/>
  <w15:docId w15:val="{6DD8CF10-54D8-4052-A384-97532923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7445"/>
    <w:pPr>
      <w:keepNext/>
      <w:keepLines/>
      <w:spacing w:before="240" w:after="0"/>
      <w:jc w:val="center"/>
      <w:outlineLvl w:val="0"/>
    </w:pPr>
    <w:rPr>
      <w:rFonts w:ascii="Tahoma" w:eastAsiaTheme="majorEastAsia" w:hAnsi="Tahoma" w:cstheme="majorBidi"/>
      <w:b/>
      <w:sz w:val="32"/>
      <w:szCs w:val="32"/>
    </w:rPr>
  </w:style>
  <w:style w:type="paragraph" w:styleId="Heading2">
    <w:name w:val="heading 2"/>
    <w:basedOn w:val="Normal"/>
    <w:next w:val="Normal"/>
    <w:link w:val="Heading2Char"/>
    <w:uiPriority w:val="9"/>
    <w:unhideWhenUsed/>
    <w:qFormat/>
    <w:rsid w:val="00D87445"/>
    <w:pPr>
      <w:keepNext/>
      <w:keepLines/>
      <w:spacing w:before="40" w:after="0"/>
      <w:outlineLvl w:val="1"/>
    </w:pPr>
    <w:rPr>
      <w:rFonts w:asciiTheme="majorHAnsi" w:eastAsiaTheme="majorEastAsia" w:hAnsiTheme="majorHAnsi" w:cstheme="majorBidi"/>
      <w:b/>
      <w:color w:val="FFC000"/>
      <w:sz w:val="26"/>
      <w:szCs w:val="26"/>
    </w:rPr>
  </w:style>
  <w:style w:type="paragraph" w:styleId="Heading3">
    <w:name w:val="heading 3"/>
    <w:basedOn w:val="Normal"/>
    <w:next w:val="Normal"/>
    <w:link w:val="Heading3Char"/>
    <w:uiPriority w:val="9"/>
    <w:semiHidden/>
    <w:unhideWhenUsed/>
    <w:qFormat/>
    <w:rsid w:val="00E968C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445"/>
    <w:rPr>
      <w:rFonts w:ascii="Tahoma" w:eastAsiaTheme="majorEastAsia" w:hAnsi="Tahoma" w:cstheme="majorBidi"/>
      <w:b/>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D87445"/>
    <w:rPr>
      <w:rFonts w:asciiTheme="majorHAnsi" w:eastAsiaTheme="majorEastAsia" w:hAnsiTheme="majorHAnsi" w:cstheme="majorBidi"/>
      <w:b/>
      <w:color w:val="FFC000"/>
      <w:sz w:val="26"/>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 w:type="character" w:styleId="CommentReference">
    <w:name w:val="annotation reference"/>
    <w:basedOn w:val="DefaultParagraphFont"/>
    <w:uiPriority w:val="99"/>
    <w:semiHidden/>
    <w:unhideWhenUsed/>
    <w:rsid w:val="00EA1275"/>
    <w:rPr>
      <w:sz w:val="16"/>
      <w:szCs w:val="16"/>
    </w:rPr>
  </w:style>
  <w:style w:type="paragraph" w:styleId="CommentText">
    <w:name w:val="annotation text"/>
    <w:basedOn w:val="Normal"/>
    <w:link w:val="CommentTextChar"/>
    <w:uiPriority w:val="99"/>
    <w:semiHidden/>
    <w:unhideWhenUsed/>
    <w:rsid w:val="00EA1275"/>
    <w:pPr>
      <w:spacing w:line="240" w:lineRule="auto"/>
    </w:pPr>
    <w:rPr>
      <w:sz w:val="20"/>
      <w:szCs w:val="20"/>
    </w:rPr>
  </w:style>
  <w:style w:type="character" w:customStyle="1" w:styleId="CommentTextChar">
    <w:name w:val="Comment Text Char"/>
    <w:basedOn w:val="DefaultParagraphFont"/>
    <w:link w:val="CommentText"/>
    <w:uiPriority w:val="99"/>
    <w:semiHidden/>
    <w:rsid w:val="00EA1275"/>
    <w:rPr>
      <w:sz w:val="20"/>
      <w:szCs w:val="20"/>
    </w:rPr>
  </w:style>
  <w:style w:type="paragraph" w:styleId="CommentSubject">
    <w:name w:val="annotation subject"/>
    <w:basedOn w:val="CommentText"/>
    <w:next w:val="CommentText"/>
    <w:link w:val="CommentSubjectChar"/>
    <w:uiPriority w:val="99"/>
    <w:semiHidden/>
    <w:unhideWhenUsed/>
    <w:rsid w:val="00EA1275"/>
    <w:rPr>
      <w:b/>
      <w:bCs/>
    </w:rPr>
  </w:style>
  <w:style w:type="character" w:customStyle="1" w:styleId="CommentSubjectChar">
    <w:name w:val="Comment Subject Char"/>
    <w:basedOn w:val="CommentTextChar"/>
    <w:link w:val="CommentSubject"/>
    <w:uiPriority w:val="99"/>
    <w:semiHidden/>
    <w:rsid w:val="00EA1275"/>
    <w:rPr>
      <w:b/>
      <w:bCs/>
      <w:sz w:val="20"/>
      <w:szCs w:val="20"/>
    </w:rPr>
  </w:style>
  <w:style w:type="paragraph" w:styleId="BalloonText">
    <w:name w:val="Balloon Text"/>
    <w:basedOn w:val="Normal"/>
    <w:link w:val="BalloonTextChar"/>
    <w:uiPriority w:val="99"/>
    <w:semiHidden/>
    <w:unhideWhenUsed/>
    <w:rsid w:val="00EA1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275"/>
    <w:rPr>
      <w:rFonts w:ascii="Segoe UI" w:hAnsi="Segoe UI" w:cs="Segoe UI"/>
      <w:sz w:val="18"/>
      <w:szCs w:val="18"/>
    </w:rPr>
  </w:style>
  <w:style w:type="character" w:customStyle="1" w:styleId="Heading3Char">
    <w:name w:val="Heading 3 Char"/>
    <w:basedOn w:val="DefaultParagraphFont"/>
    <w:link w:val="Heading3"/>
    <w:uiPriority w:val="9"/>
    <w:semiHidden/>
    <w:rsid w:val="00E968C6"/>
    <w:rPr>
      <w:rFonts w:asciiTheme="majorHAnsi" w:eastAsiaTheme="majorEastAsia" w:hAnsiTheme="majorHAnsi" w:cstheme="majorBidi"/>
      <w:b/>
      <w:bCs/>
      <w:color w:val="5B9BD5" w:themeColor="accent1"/>
    </w:rPr>
  </w:style>
  <w:style w:type="paragraph" w:styleId="NormalWeb">
    <w:name w:val="Normal (Web)"/>
    <w:basedOn w:val="Normal"/>
    <w:uiPriority w:val="99"/>
    <w:semiHidden/>
    <w:unhideWhenUsed/>
    <w:rsid w:val="006F2D5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DefaultParagraphFont"/>
    <w:rsid w:val="00392C90"/>
  </w:style>
  <w:style w:type="character" w:styleId="Strong">
    <w:name w:val="Strong"/>
    <w:basedOn w:val="DefaultParagraphFont"/>
    <w:uiPriority w:val="22"/>
    <w:qFormat/>
    <w:rsid w:val="00392C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567348">
      <w:bodyDiv w:val="1"/>
      <w:marLeft w:val="0"/>
      <w:marRight w:val="0"/>
      <w:marTop w:val="0"/>
      <w:marBottom w:val="0"/>
      <w:divBdr>
        <w:top w:val="none" w:sz="0" w:space="0" w:color="auto"/>
        <w:left w:val="none" w:sz="0" w:space="0" w:color="auto"/>
        <w:bottom w:val="none" w:sz="0" w:space="0" w:color="auto"/>
        <w:right w:val="none" w:sz="0" w:space="0" w:color="auto"/>
      </w:divBdr>
    </w:div>
    <w:div w:id="536822673">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671294701">
      <w:bodyDiv w:val="1"/>
      <w:marLeft w:val="0"/>
      <w:marRight w:val="0"/>
      <w:marTop w:val="0"/>
      <w:marBottom w:val="0"/>
      <w:divBdr>
        <w:top w:val="none" w:sz="0" w:space="0" w:color="auto"/>
        <w:left w:val="none" w:sz="0" w:space="0" w:color="auto"/>
        <w:bottom w:val="none" w:sz="0" w:space="0" w:color="auto"/>
        <w:right w:val="none" w:sz="0" w:space="0" w:color="auto"/>
      </w:divBdr>
    </w:div>
    <w:div w:id="805393295">
      <w:bodyDiv w:val="1"/>
      <w:marLeft w:val="0"/>
      <w:marRight w:val="0"/>
      <w:marTop w:val="0"/>
      <w:marBottom w:val="0"/>
      <w:divBdr>
        <w:top w:val="none" w:sz="0" w:space="0" w:color="auto"/>
        <w:left w:val="none" w:sz="0" w:space="0" w:color="auto"/>
        <w:bottom w:val="none" w:sz="0" w:space="0" w:color="auto"/>
        <w:right w:val="none" w:sz="0" w:space="0" w:color="auto"/>
      </w:divBdr>
    </w:div>
    <w:div w:id="1141537519">
      <w:bodyDiv w:val="1"/>
      <w:marLeft w:val="0"/>
      <w:marRight w:val="0"/>
      <w:marTop w:val="0"/>
      <w:marBottom w:val="0"/>
      <w:divBdr>
        <w:top w:val="none" w:sz="0" w:space="0" w:color="auto"/>
        <w:left w:val="none" w:sz="0" w:space="0" w:color="auto"/>
        <w:bottom w:val="none" w:sz="0" w:space="0" w:color="auto"/>
        <w:right w:val="none" w:sz="0" w:space="0" w:color="auto"/>
      </w:divBdr>
    </w:div>
    <w:div w:id="1192648959">
      <w:bodyDiv w:val="1"/>
      <w:marLeft w:val="0"/>
      <w:marRight w:val="0"/>
      <w:marTop w:val="0"/>
      <w:marBottom w:val="0"/>
      <w:divBdr>
        <w:top w:val="none" w:sz="0" w:space="0" w:color="auto"/>
        <w:left w:val="none" w:sz="0" w:space="0" w:color="auto"/>
        <w:bottom w:val="none" w:sz="0" w:space="0" w:color="auto"/>
        <w:right w:val="none" w:sz="0" w:space="0" w:color="auto"/>
      </w:divBdr>
    </w:div>
    <w:div w:id="1265453514">
      <w:bodyDiv w:val="1"/>
      <w:marLeft w:val="0"/>
      <w:marRight w:val="0"/>
      <w:marTop w:val="0"/>
      <w:marBottom w:val="0"/>
      <w:divBdr>
        <w:top w:val="none" w:sz="0" w:space="0" w:color="auto"/>
        <w:left w:val="none" w:sz="0" w:space="0" w:color="auto"/>
        <w:bottom w:val="none" w:sz="0" w:space="0" w:color="auto"/>
        <w:right w:val="none" w:sz="0" w:space="0" w:color="auto"/>
      </w:divBdr>
    </w:div>
    <w:div w:id="1489788705">
      <w:bodyDiv w:val="1"/>
      <w:marLeft w:val="0"/>
      <w:marRight w:val="0"/>
      <w:marTop w:val="0"/>
      <w:marBottom w:val="0"/>
      <w:divBdr>
        <w:top w:val="none" w:sz="0" w:space="0" w:color="auto"/>
        <w:left w:val="none" w:sz="0" w:space="0" w:color="auto"/>
        <w:bottom w:val="none" w:sz="0" w:space="0" w:color="auto"/>
        <w:right w:val="none" w:sz="0" w:space="0" w:color="auto"/>
      </w:divBdr>
    </w:div>
    <w:div w:id="1574660399">
      <w:bodyDiv w:val="1"/>
      <w:marLeft w:val="0"/>
      <w:marRight w:val="0"/>
      <w:marTop w:val="0"/>
      <w:marBottom w:val="0"/>
      <w:divBdr>
        <w:top w:val="none" w:sz="0" w:space="0" w:color="auto"/>
        <w:left w:val="none" w:sz="0" w:space="0" w:color="auto"/>
        <w:bottom w:val="none" w:sz="0" w:space="0" w:color="auto"/>
        <w:right w:val="none" w:sz="0" w:space="0" w:color="auto"/>
      </w:divBdr>
    </w:div>
    <w:div w:id="1688630473">
      <w:bodyDiv w:val="1"/>
      <w:marLeft w:val="0"/>
      <w:marRight w:val="0"/>
      <w:marTop w:val="0"/>
      <w:marBottom w:val="0"/>
      <w:divBdr>
        <w:top w:val="none" w:sz="0" w:space="0" w:color="auto"/>
        <w:left w:val="none" w:sz="0" w:space="0" w:color="auto"/>
        <w:bottom w:val="none" w:sz="0" w:space="0" w:color="auto"/>
        <w:right w:val="none" w:sz="0" w:space="0" w:color="auto"/>
      </w:divBdr>
    </w:div>
    <w:div w:id="1758289845">
      <w:bodyDiv w:val="1"/>
      <w:marLeft w:val="0"/>
      <w:marRight w:val="0"/>
      <w:marTop w:val="0"/>
      <w:marBottom w:val="0"/>
      <w:divBdr>
        <w:top w:val="none" w:sz="0" w:space="0" w:color="auto"/>
        <w:left w:val="none" w:sz="0" w:space="0" w:color="auto"/>
        <w:bottom w:val="none" w:sz="0" w:space="0" w:color="auto"/>
        <w:right w:val="none" w:sz="0" w:space="0" w:color="auto"/>
      </w:divBdr>
    </w:div>
    <w:div w:id="1914655890">
      <w:bodyDiv w:val="1"/>
      <w:marLeft w:val="0"/>
      <w:marRight w:val="0"/>
      <w:marTop w:val="0"/>
      <w:marBottom w:val="0"/>
      <w:divBdr>
        <w:top w:val="none" w:sz="0" w:space="0" w:color="auto"/>
        <w:left w:val="none" w:sz="0" w:space="0" w:color="auto"/>
        <w:bottom w:val="none" w:sz="0" w:space="0" w:color="auto"/>
        <w:right w:val="none" w:sz="0" w:space="0" w:color="auto"/>
      </w:divBdr>
    </w:div>
    <w:div w:id="1956668043">
      <w:bodyDiv w:val="1"/>
      <w:marLeft w:val="0"/>
      <w:marRight w:val="0"/>
      <w:marTop w:val="0"/>
      <w:marBottom w:val="0"/>
      <w:divBdr>
        <w:top w:val="none" w:sz="0" w:space="0" w:color="auto"/>
        <w:left w:val="none" w:sz="0" w:space="0" w:color="auto"/>
        <w:bottom w:val="none" w:sz="0" w:space="0" w:color="auto"/>
        <w:right w:val="none" w:sz="0" w:space="0" w:color="auto"/>
      </w:divBdr>
    </w:div>
    <w:div w:id="211906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c.europa.eu/justice/gender-equality/document/index_en.htm" TargetMode="External"/><Relationship Id="rId18" Type="http://schemas.openxmlformats.org/officeDocument/2006/relationships/hyperlink" Target="http://europa.eu/rapid/press-release_IP-15-5923_en.htm" TargetMode="External"/><Relationship Id="rId26" Type="http://schemas.openxmlformats.org/officeDocument/2006/relationships/hyperlink" Target="http://ec.europa.eu/social/main.jsp?catId=738&amp;langId=en&amp;pubId=7830&amp;type=2&amp;furtherPubs=yes" TargetMode="External"/><Relationship Id="rId3" Type="http://schemas.openxmlformats.org/officeDocument/2006/relationships/styles" Target="styles.xml"/><Relationship Id="rId21" Type="http://schemas.openxmlformats.org/officeDocument/2006/relationships/hyperlink" Target="http://ec.europa.eu/justice/newsroom/gender-equality/files/public-consultation-gender-web_en.pdf" TargetMode="External"/><Relationship Id="rId34" Type="http://schemas.openxmlformats.org/officeDocument/2006/relationships/hyperlink" Target="http://hudoc.echr.coe.int/eng?i=001-158033" TargetMode="External"/><Relationship Id="rId7" Type="http://schemas.openxmlformats.org/officeDocument/2006/relationships/endnotes" Target="endnotes.xml"/><Relationship Id="rId12" Type="http://schemas.openxmlformats.org/officeDocument/2006/relationships/hyperlink" Target="http://europa.eu/rapid/press-release_STATEMENT-15-5953_en.htm" TargetMode="External"/><Relationship Id="rId17" Type="http://schemas.openxmlformats.org/officeDocument/2006/relationships/hyperlink" Target="http://ec.europa.eu/atwork/pdf/cwp_2016_en.pdf" TargetMode="External"/><Relationship Id="rId25" Type="http://schemas.openxmlformats.org/officeDocument/2006/relationships/hyperlink" Target="http://eurochild.org/fileadmin/public/05_Library/Thematic_priorities/01_Childrens_Rights/Other/CRPD_C_EU_CO_1_21617_E.pdf" TargetMode="External"/><Relationship Id="rId33" Type="http://schemas.openxmlformats.org/officeDocument/2006/relationships/hyperlink" Target="http://www.refworld.org/pdfid/561e0fef4.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quineteurope.org/Equal-Pay-the-experience-of" TargetMode="External"/><Relationship Id="rId20" Type="http://schemas.openxmlformats.org/officeDocument/2006/relationships/hyperlink" Target="http://ec.europa.eu/justice/newsroom/gender-equality/news/151030-2_en.htm" TargetMode="External"/><Relationship Id="rId29" Type="http://schemas.openxmlformats.org/officeDocument/2006/relationships/hyperlink" Target="http://ec.europa.eu/justice/gender-equality/other-institutions/good-practices/review-seminars/seminars_2015/gender_segregation_e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justice/newsroom/gender-equality/infographs/equal-pay-day-2015/equal-pay-day/index_en.html" TargetMode="External"/><Relationship Id="rId24" Type="http://schemas.openxmlformats.org/officeDocument/2006/relationships/hyperlink" Target="http://www.europarl.europa.eu/oeil/popups/ficheprocedure.do?lang=&amp;reference=2015/2258(INI)" TargetMode="External"/><Relationship Id="rId32" Type="http://schemas.openxmlformats.org/officeDocument/2006/relationships/hyperlink" Target="http://ec.europa.eu/social/main.jsp?langId=en&amp;catId=88&amp;eventsId=1075&amp;furtherEvents=ye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c.europa.eu/justice/gender-equality/gender-pay-gap/index_en.htm" TargetMode="External"/><Relationship Id="rId23" Type="http://schemas.openxmlformats.org/officeDocument/2006/relationships/hyperlink" Target="http://www.europarl.europa.eu/ep-live/en/committees/video?event=20151112-1500-COMMITTEE-JURI-FEMM" TargetMode="External"/><Relationship Id="rId28" Type="http://schemas.openxmlformats.org/officeDocument/2006/relationships/hyperlink" Target="http://ec.europa.eu/justice/grants1/calls/2015_action_grants/just_2015_rdap_ag_0116_en.htm" TargetMode="External"/><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ec.europa.eu/social/main.jsp?langId=en&amp;catId=89&amp;newsId=2380&amp;furtherNews=yes" TargetMode="External"/><Relationship Id="rId31" Type="http://schemas.openxmlformats.org/officeDocument/2006/relationships/hyperlink" Target="http://ec.europa.eu/social/main.jsp?langId=en&amp;catId=88&amp;eventsId=1069&amp;furtherevents=yes" TargetMode="Externa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4" Type="http://schemas.openxmlformats.org/officeDocument/2006/relationships/hyperlink" Target="http://ec.europa.eu/justice/gender-equality/files/gender_pay_gap/gpg_eu_factsheet_2015_en.pdf" TargetMode="External"/><Relationship Id="rId22" Type="http://schemas.openxmlformats.org/officeDocument/2006/relationships/hyperlink" Target="http://www.europarl.europa.eu/committees/en/femm/events.html?id=20151112CHE00181" TargetMode="External"/><Relationship Id="rId27" Type="http://schemas.openxmlformats.org/officeDocument/2006/relationships/hyperlink" Target="http://ec.europa.eu/justice/grants1/calls/2015_action_grants/just_2015_jcoo_ag_en.htm" TargetMode="External"/><Relationship Id="rId30" Type="http://schemas.openxmlformats.org/officeDocument/2006/relationships/hyperlink" Target="http://www.coe.int/t/dghl/standardsetting/equality/05conferences/2015_BerneConfAccessJustice/List_speeches_en.asp" TargetMode="External"/><Relationship Id="rId35" Type="http://schemas.openxmlformats.org/officeDocument/2006/relationships/hyperlink" Target="http://hudoc.echr.coe.int/eng-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DB24-947B-46DB-B56A-2DA65BCB8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6</Pages>
  <Words>1783</Words>
  <Characters>9812</Characters>
  <Application>Microsoft Office Word</Application>
  <DocSecurity>0</DocSecurity>
  <Lines>81</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24</cp:revision>
  <cp:lastPrinted>2015-06-05T09:25:00Z</cp:lastPrinted>
  <dcterms:created xsi:type="dcterms:W3CDTF">2015-06-12T12:43:00Z</dcterms:created>
  <dcterms:modified xsi:type="dcterms:W3CDTF">2015-11-16T11:17:00Z</dcterms:modified>
</cp:coreProperties>
</file>