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1C1B5" w14:textId="77777777" w:rsidR="00A91933" w:rsidRPr="006075A4" w:rsidRDefault="00A91933" w:rsidP="000263B4">
      <w:pPr>
        <w:spacing w:line="240" w:lineRule="auto"/>
        <w:jc w:val="both"/>
        <w:rPr>
          <w:b/>
          <w:noProof/>
          <w:lang w:val="en-GB" w:eastAsia="fr-BE"/>
        </w:rPr>
      </w:pPr>
      <w:r w:rsidRPr="006075A4">
        <w:rPr>
          <w:b/>
          <w:noProof/>
          <w:lang w:eastAsia="fr-BE"/>
        </w:rPr>
        <w:drawing>
          <wp:anchor distT="0" distB="0" distL="114300" distR="114300" simplePos="0" relativeHeight="251658240" behindDoc="0" locked="0" layoutInCell="1" allowOverlap="1" wp14:anchorId="0F1E9C6C" wp14:editId="24638E43">
            <wp:simplePos x="0" y="0"/>
            <wp:positionH relativeFrom="page">
              <wp:align>right</wp:align>
            </wp:positionH>
            <wp:positionV relativeFrom="margin">
              <wp:posOffset>-904875</wp:posOffset>
            </wp:positionV>
            <wp:extent cx="7566660" cy="2095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10D27" w14:textId="77777777" w:rsidR="00F66D27" w:rsidRPr="006075A4" w:rsidRDefault="00F31126" w:rsidP="000263B4">
      <w:pPr>
        <w:spacing w:line="240" w:lineRule="auto"/>
        <w:jc w:val="both"/>
        <w:rPr>
          <w:lang w:val="en-GB"/>
        </w:rPr>
      </w:pPr>
      <w:r w:rsidRPr="006075A4">
        <w:rPr>
          <w:b/>
          <w:lang w:val="en-GB"/>
        </w:rPr>
        <w:t xml:space="preserve">Dear Equinet Members, </w:t>
      </w:r>
      <w:r w:rsidRPr="006075A4">
        <w:rPr>
          <w:b/>
          <w:lang w:val="en-GB"/>
        </w:rPr>
        <w:tab/>
      </w:r>
      <w:r w:rsidRPr="006075A4">
        <w:rPr>
          <w:b/>
          <w:lang w:val="en-GB"/>
        </w:rPr>
        <w:br/>
      </w:r>
      <w:r w:rsidRPr="006075A4">
        <w:rPr>
          <w:lang w:val="en-GB"/>
        </w:rPr>
        <w:t xml:space="preserve">This Members’ Bulletin gathers </w:t>
      </w:r>
      <w:r w:rsidRPr="006075A4">
        <w:rPr>
          <w:b/>
          <w:lang w:val="en-GB"/>
        </w:rPr>
        <w:t>the latest European Union (EU) and international developments</w:t>
      </w:r>
      <w:r w:rsidRPr="006075A4">
        <w:rPr>
          <w:lang w:val="en-GB"/>
        </w:rPr>
        <w:t xml:space="preserve">. It aims to give you an </w:t>
      </w:r>
      <w:r w:rsidRPr="006075A4">
        <w:rPr>
          <w:b/>
          <w:lang w:val="en-GB"/>
        </w:rPr>
        <w:t>overview of relevant policy and legal developments</w:t>
      </w:r>
      <w:r w:rsidRPr="006075A4">
        <w:rPr>
          <w:lang w:val="en-GB"/>
        </w:rPr>
        <w:t xml:space="preserve">, as well as latest calls for interest, funding opportunities and upcoming events. We very much hope this members’ bulletin will be useful in your day-to-day work and we would be grateful if you could </w:t>
      </w:r>
      <w:r w:rsidRPr="006075A4">
        <w:rPr>
          <w:b/>
          <w:lang w:val="en-GB"/>
        </w:rPr>
        <w:t>disseminate it among your colleagues</w:t>
      </w:r>
      <w:r w:rsidRPr="006075A4">
        <w:rPr>
          <w:lang w:val="en-GB"/>
        </w:rPr>
        <w:t xml:space="preserve">. Your feedback is also greatly appreciated. Should you have any comments or further questions, </w:t>
      </w:r>
      <w:r w:rsidRPr="006075A4">
        <w:rPr>
          <w:b/>
          <w:lang w:val="en-GB"/>
        </w:rPr>
        <w:t>please do not hesitate to contact Jessica Machacova, Equinet Project Officer</w:t>
      </w:r>
      <w:r w:rsidRPr="006075A4">
        <w:rPr>
          <w:lang w:val="en-GB"/>
        </w:rPr>
        <w:t xml:space="preserve"> (</w:t>
      </w:r>
      <w:hyperlink r:id="rId9" w:history="1">
        <w:r w:rsidRPr="006075A4">
          <w:rPr>
            <w:rStyle w:val="Hyperlink"/>
            <w:lang w:val="en-GB"/>
          </w:rPr>
          <w:t>Jessica.machacova@equineteurope.org</w:t>
        </w:r>
      </w:hyperlink>
      <w:r w:rsidRPr="006075A4">
        <w:rPr>
          <w:lang w:val="en-GB"/>
        </w:rPr>
        <w:t xml:space="preserve"> / 0032 2 212 31 80). </w:t>
      </w:r>
    </w:p>
    <w:p w14:paraId="04626731" w14:textId="77777777" w:rsidR="00CF7284" w:rsidRPr="006075A4" w:rsidRDefault="00CF7284" w:rsidP="000263B4">
      <w:pPr>
        <w:spacing w:line="240" w:lineRule="auto"/>
        <w:jc w:val="both"/>
        <w:rPr>
          <w:lang w:val="en-GB"/>
        </w:rPr>
      </w:pPr>
    </w:p>
    <w:p w14:paraId="4E1D63FE" w14:textId="77777777" w:rsidR="002C3BF0" w:rsidRPr="006075A4" w:rsidRDefault="002C3BF0" w:rsidP="000263B4">
      <w:pPr>
        <w:shd w:val="clear" w:color="auto" w:fill="2F5496" w:themeFill="accent5" w:themeFillShade="BF"/>
        <w:spacing w:line="240" w:lineRule="auto"/>
        <w:jc w:val="center"/>
        <w:rPr>
          <w:b/>
          <w:color w:val="FFFFFF" w:themeColor="background1"/>
          <w:sz w:val="28"/>
          <w:lang w:val="en-GB"/>
        </w:rPr>
      </w:pPr>
      <w:r w:rsidRPr="006075A4">
        <w:rPr>
          <w:b/>
          <w:color w:val="FFFFFF" w:themeColor="background1"/>
          <w:sz w:val="28"/>
          <w:lang w:val="en-GB"/>
        </w:rPr>
        <w:t>Equinet Members’ Bulletin on latest EU and internal developments – Table of contents</w:t>
      </w:r>
    </w:p>
    <w:p w14:paraId="5891F305" w14:textId="77777777" w:rsidR="002C3BF0" w:rsidRPr="006075A4" w:rsidRDefault="002C3BF0" w:rsidP="000263B4">
      <w:pPr>
        <w:spacing w:line="240" w:lineRule="auto"/>
        <w:jc w:val="both"/>
        <w:rPr>
          <w:b/>
          <w:i/>
          <w:color w:val="FF0000"/>
          <w:lang w:val="en-GB"/>
        </w:rPr>
      </w:pPr>
      <w:r w:rsidRPr="006075A4">
        <w:rPr>
          <w:b/>
          <w:i/>
          <w:color w:val="FF0000"/>
          <w:lang w:val="en-GB"/>
        </w:rPr>
        <w:t>(Ctrl + Click to follow the link)</w:t>
      </w:r>
    </w:p>
    <w:p w14:paraId="0D900AB9" w14:textId="2F91D4B5" w:rsidR="000263B4" w:rsidRPr="006075A4" w:rsidRDefault="000263B4" w:rsidP="000263B4">
      <w:pPr>
        <w:spacing w:line="240" w:lineRule="auto"/>
        <w:jc w:val="both"/>
        <w:rPr>
          <w:b/>
          <w:sz w:val="28"/>
          <w:lang w:val="en-GB"/>
        </w:rPr>
      </w:pPr>
      <w:r w:rsidRPr="006075A4">
        <w:rPr>
          <w:b/>
          <w:sz w:val="28"/>
          <w:lang w:val="en-GB"/>
        </w:rPr>
        <w:fldChar w:fldCharType="begin"/>
      </w:r>
      <w:r w:rsidRPr="006075A4">
        <w:rPr>
          <w:b/>
          <w:sz w:val="28"/>
          <w:lang w:val="en-GB"/>
        </w:rPr>
        <w:instrText xml:space="preserve"> REF _Ref421267367 \h  \* MERGEFORMAT </w:instrText>
      </w:r>
      <w:r w:rsidRPr="006075A4">
        <w:rPr>
          <w:b/>
          <w:sz w:val="28"/>
          <w:lang w:val="en-GB"/>
        </w:rPr>
      </w:r>
      <w:r w:rsidRPr="006075A4">
        <w:rPr>
          <w:b/>
          <w:sz w:val="28"/>
          <w:lang w:val="en-GB"/>
        </w:rPr>
        <w:fldChar w:fldCharType="separate"/>
      </w:r>
      <w:r w:rsidRPr="006075A4">
        <w:rPr>
          <w:b/>
          <w:color w:val="2E74B5" w:themeColor="accent1" w:themeShade="BF"/>
          <w:sz w:val="28"/>
          <w:u w:val="single"/>
          <w:lang w:val="en-GB"/>
        </w:rPr>
        <w:t>Highlight</w:t>
      </w:r>
      <w:r w:rsidR="000348AB">
        <w:rPr>
          <w:b/>
          <w:color w:val="2E74B5" w:themeColor="accent1" w:themeShade="BF"/>
          <w:sz w:val="28"/>
          <w:u w:val="single"/>
          <w:lang w:val="en-GB"/>
        </w:rPr>
        <w:t xml:space="preserve"> 1</w:t>
      </w:r>
      <w:r w:rsidRPr="006075A4">
        <w:rPr>
          <w:b/>
          <w:sz w:val="28"/>
          <w:lang w:val="en-GB"/>
        </w:rPr>
        <w:t>: The Gender Goods and Services Directive</w:t>
      </w:r>
      <w:r w:rsidRPr="006075A4">
        <w:rPr>
          <w:b/>
          <w:sz w:val="28"/>
          <w:lang w:val="en-GB"/>
        </w:rPr>
        <w:fldChar w:fldCharType="end"/>
      </w:r>
    </w:p>
    <w:p w14:paraId="47B566E5" w14:textId="681E8841" w:rsidR="000263B4" w:rsidRPr="006075A4" w:rsidRDefault="000263B4" w:rsidP="000263B4">
      <w:pPr>
        <w:pStyle w:val="ListParagraph"/>
        <w:numPr>
          <w:ilvl w:val="0"/>
          <w:numId w:val="27"/>
        </w:numPr>
        <w:spacing w:line="240" w:lineRule="auto"/>
        <w:jc w:val="both"/>
        <w:rPr>
          <w:lang w:val="en-GB"/>
        </w:rPr>
      </w:pPr>
      <w:r w:rsidRPr="006075A4">
        <w:rPr>
          <w:lang w:val="en-GB"/>
        </w:rPr>
        <w:fldChar w:fldCharType="begin"/>
      </w:r>
      <w:r w:rsidRPr="006075A4">
        <w:rPr>
          <w:lang w:val="en-GB"/>
        </w:rPr>
        <w:instrText xml:space="preserve"> REF _Ref421267385 \h </w:instrText>
      </w:r>
      <w:r w:rsidRPr="006075A4">
        <w:rPr>
          <w:lang w:val="en-GB"/>
        </w:rPr>
      </w:r>
      <w:r w:rsidRPr="006075A4">
        <w:rPr>
          <w:lang w:val="en-GB"/>
        </w:rPr>
        <w:fldChar w:fldCharType="separate"/>
      </w:r>
      <w:r w:rsidRPr="006075A4">
        <w:rPr>
          <w:color w:val="2E74B5" w:themeColor="accent1" w:themeShade="BF"/>
          <w:u w:val="single"/>
          <w:lang w:val="en-GB"/>
        </w:rPr>
        <w:t>European Commission:</w:t>
      </w:r>
      <w:r w:rsidRPr="006075A4">
        <w:rPr>
          <w:lang w:val="en-GB"/>
        </w:rPr>
        <w:t xml:space="preserve"> Report on the implementation of the ‘Gender Goods and Services Directive’</w:t>
      </w:r>
      <w:r w:rsidRPr="006075A4">
        <w:rPr>
          <w:lang w:val="en-GB"/>
        </w:rPr>
        <w:fldChar w:fldCharType="end"/>
      </w:r>
    </w:p>
    <w:p w14:paraId="7CF951EC" w14:textId="4E8D869C" w:rsidR="000263B4" w:rsidRDefault="000263B4" w:rsidP="000263B4">
      <w:pPr>
        <w:pStyle w:val="ListParagraph"/>
        <w:numPr>
          <w:ilvl w:val="0"/>
          <w:numId w:val="27"/>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_Ref421267389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Equinet and the Gender Goods and Services Directive</w:t>
      </w:r>
      <w:r w:rsidRPr="006075A4">
        <w:rPr>
          <w:u w:val="single"/>
          <w:lang w:val="en-GB"/>
        </w:rPr>
        <w:fldChar w:fldCharType="end"/>
      </w:r>
    </w:p>
    <w:p w14:paraId="0899F953" w14:textId="7EEA10C7" w:rsidR="000348AB" w:rsidRPr="000348AB" w:rsidRDefault="000348AB" w:rsidP="000348AB">
      <w:pPr>
        <w:spacing w:line="240" w:lineRule="auto"/>
        <w:jc w:val="both"/>
        <w:rPr>
          <w:b/>
          <w:sz w:val="28"/>
          <w:lang w:val="en-GB"/>
        </w:rPr>
      </w:pPr>
      <w:r w:rsidRPr="000348AB">
        <w:rPr>
          <w:b/>
          <w:color w:val="2E74B5" w:themeColor="accent1" w:themeShade="BF"/>
          <w:sz w:val="28"/>
          <w:u w:val="single"/>
          <w:lang w:val="en-GB"/>
        </w:rPr>
        <w:t>Highlight 2:</w:t>
      </w:r>
      <w:r w:rsidRPr="000348AB">
        <w:rPr>
          <w:b/>
          <w:color w:val="2E74B5" w:themeColor="accent1" w:themeShade="BF"/>
          <w:sz w:val="28"/>
          <w:lang w:val="en-GB"/>
        </w:rPr>
        <w:t xml:space="preserve"> </w:t>
      </w:r>
      <w:r w:rsidRPr="000348AB">
        <w:rPr>
          <w:b/>
          <w:sz w:val="28"/>
          <w:lang w:val="en-GB"/>
        </w:rPr>
        <w:t>Funding</w:t>
      </w:r>
      <w:bookmarkStart w:id="0" w:name="_GoBack"/>
      <w:bookmarkEnd w:id="0"/>
      <w:r w:rsidRPr="000348AB">
        <w:rPr>
          <w:b/>
          <w:sz w:val="28"/>
          <w:lang w:val="en-GB"/>
        </w:rPr>
        <w:t xml:space="preserve"> </w:t>
      </w:r>
      <w:r w:rsidR="0051290D">
        <w:rPr>
          <w:b/>
          <w:sz w:val="28"/>
          <w:lang w:val="en-GB"/>
        </w:rPr>
        <w:t>o</w:t>
      </w:r>
      <w:r w:rsidRPr="000348AB">
        <w:rPr>
          <w:b/>
          <w:sz w:val="28"/>
          <w:lang w:val="en-GB"/>
        </w:rPr>
        <w:t xml:space="preserve">pportunity: </w:t>
      </w:r>
      <w:r w:rsidRPr="000348AB">
        <w:rPr>
          <w:rFonts w:ascii="Calibri" w:eastAsia="Calibri" w:hAnsi="Calibri" w:cs="Times New Roman"/>
          <w:b/>
          <w:sz w:val="28"/>
          <w:lang w:val="en-GB"/>
        </w:rPr>
        <w:t>call for projects to support activities on anti-discrimination and Roma integration</w:t>
      </w:r>
    </w:p>
    <w:p w14:paraId="6881A057" w14:textId="21C07DD6" w:rsidR="000263B4" w:rsidRPr="006075A4" w:rsidRDefault="000263B4" w:rsidP="000263B4">
      <w:pPr>
        <w:spacing w:line="240" w:lineRule="auto"/>
        <w:jc w:val="both"/>
        <w:rPr>
          <w:b/>
          <w:color w:val="2E74B5" w:themeColor="accent1" w:themeShade="BF"/>
          <w:sz w:val="28"/>
          <w:u w:val="single"/>
          <w:lang w:val="en-GB"/>
        </w:rPr>
      </w:pPr>
      <w:r w:rsidRPr="006075A4">
        <w:rPr>
          <w:b/>
          <w:color w:val="2E74B5" w:themeColor="accent1" w:themeShade="BF"/>
          <w:sz w:val="28"/>
          <w:u w:val="single"/>
          <w:lang w:val="en-GB"/>
        </w:rPr>
        <w:fldChar w:fldCharType="begin"/>
      </w:r>
      <w:r w:rsidRPr="006075A4">
        <w:rPr>
          <w:b/>
          <w:color w:val="2E74B5" w:themeColor="accent1" w:themeShade="BF"/>
          <w:sz w:val="28"/>
          <w:u w:val="single"/>
          <w:lang w:val="en-GB"/>
        </w:rPr>
        <w:instrText xml:space="preserve"> REF _Ref421267472 \h  \* MERGEFORMAT </w:instrText>
      </w:r>
      <w:r w:rsidRPr="006075A4">
        <w:rPr>
          <w:b/>
          <w:color w:val="2E74B5" w:themeColor="accent1" w:themeShade="BF"/>
          <w:sz w:val="28"/>
          <w:u w:val="single"/>
          <w:lang w:val="en-GB"/>
        </w:rPr>
      </w:r>
      <w:r w:rsidRPr="006075A4">
        <w:rPr>
          <w:b/>
          <w:color w:val="2E74B5" w:themeColor="accent1" w:themeShade="BF"/>
          <w:sz w:val="28"/>
          <w:u w:val="single"/>
          <w:lang w:val="en-GB"/>
        </w:rPr>
        <w:fldChar w:fldCharType="separate"/>
      </w:r>
      <w:r w:rsidRPr="006075A4">
        <w:rPr>
          <w:b/>
          <w:color w:val="2E74B5" w:themeColor="accent1" w:themeShade="BF"/>
          <w:sz w:val="28"/>
          <w:u w:val="single"/>
          <w:lang w:val="en-GB"/>
        </w:rPr>
        <w:t>Thematic Policy Developments</w:t>
      </w:r>
      <w:r w:rsidRPr="006075A4">
        <w:rPr>
          <w:b/>
          <w:color w:val="2E74B5" w:themeColor="accent1" w:themeShade="BF"/>
          <w:sz w:val="28"/>
          <w:u w:val="single"/>
          <w:lang w:val="en-GB"/>
        </w:rPr>
        <w:fldChar w:fldCharType="end"/>
      </w:r>
    </w:p>
    <w:p w14:paraId="7CF6FC1D" w14:textId="3FF902C2" w:rsidR="000263B4" w:rsidRPr="006075A4" w:rsidRDefault="0067153F" w:rsidP="0067153F">
      <w:pPr>
        <w:pStyle w:val="ListParagraph"/>
        <w:numPr>
          <w:ilvl w:val="0"/>
          <w:numId w:val="29"/>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_Ref421267521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General information</w:t>
      </w:r>
      <w:r w:rsidRPr="006075A4">
        <w:rPr>
          <w:u w:val="single"/>
          <w:lang w:val="en-GB"/>
        </w:rPr>
        <w:fldChar w:fldCharType="end"/>
      </w:r>
    </w:p>
    <w:p w14:paraId="4EEB9E13" w14:textId="2448171E" w:rsidR="0067153F" w:rsidRPr="006075A4" w:rsidRDefault="0067153F" w:rsidP="0067153F">
      <w:pPr>
        <w:pStyle w:val="ListParagraph"/>
        <w:numPr>
          <w:ilvl w:val="0"/>
          <w:numId w:val="29"/>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_Ref421267526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Gender Equality</w:t>
      </w:r>
      <w:r w:rsidRPr="006075A4">
        <w:rPr>
          <w:u w:val="single"/>
          <w:lang w:val="en-GB"/>
        </w:rPr>
        <w:fldChar w:fldCharType="end"/>
      </w:r>
    </w:p>
    <w:p w14:paraId="7CABAD5D" w14:textId="78F222F9" w:rsidR="0067153F" w:rsidRPr="006075A4" w:rsidRDefault="0067153F" w:rsidP="0067153F">
      <w:pPr>
        <w:pStyle w:val="ListParagraph"/>
        <w:numPr>
          <w:ilvl w:val="0"/>
          <w:numId w:val="29"/>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_Ref421267530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Sexual Orientation and Gender Identity</w:t>
      </w:r>
      <w:r w:rsidRPr="006075A4">
        <w:rPr>
          <w:u w:val="single"/>
          <w:lang w:val="en-GB"/>
        </w:rPr>
        <w:fldChar w:fldCharType="end"/>
      </w:r>
    </w:p>
    <w:p w14:paraId="73CDC300" w14:textId="77777777" w:rsidR="0067153F" w:rsidRPr="006075A4" w:rsidRDefault="0067153F" w:rsidP="0067153F">
      <w:pPr>
        <w:pStyle w:val="ListParagraph"/>
        <w:numPr>
          <w:ilvl w:val="0"/>
          <w:numId w:val="29"/>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_Ref421267533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Religion and Belief</w:t>
      </w:r>
      <w:r w:rsidRPr="006075A4">
        <w:rPr>
          <w:u w:val="single"/>
          <w:lang w:val="en-GB"/>
        </w:rPr>
        <w:fldChar w:fldCharType="end"/>
      </w:r>
    </w:p>
    <w:p w14:paraId="7C34B0F3" w14:textId="37BEBFF7" w:rsidR="0067153F" w:rsidRPr="006075A4" w:rsidRDefault="0067153F" w:rsidP="0067153F">
      <w:pPr>
        <w:pStyle w:val="ListParagraph"/>
        <w:numPr>
          <w:ilvl w:val="0"/>
          <w:numId w:val="29"/>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_Ref421267538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Disability</w:t>
      </w:r>
      <w:r w:rsidRPr="006075A4">
        <w:rPr>
          <w:u w:val="single"/>
          <w:lang w:val="en-GB"/>
        </w:rPr>
        <w:fldChar w:fldCharType="end"/>
      </w:r>
    </w:p>
    <w:p w14:paraId="2BD743B8" w14:textId="3A4227B0" w:rsidR="0067153F" w:rsidRPr="006075A4" w:rsidRDefault="0067153F" w:rsidP="0067153F">
      <w:pPr>
        <w:pStyle w:val="ListParagraph"/>
        <w:numPr>
          <w:ilvl w:val="0"/>
          <w:numId w:val="29"/>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_Ref421267547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Age</w:t>
      </w:r>
      <w:r w:rsidRPr="006075A4">
        <w:rPr>
          <w:u w:val="single"/>
          <w:lang w:val="en-GB"/>
        </w:rPr>
        <w:fldChar w:fldCharType="end"/>
      </w:r>
    </w:p>
    <w:p w14:paraId="16F95A97" w14:textId="4FCBAD70" w:rsidR="0067153F" w:rsidRPr="006075A4" w:rsidRDefault="0067153F" w:rsidP="0067153F">
      <w:pPr>
        <w:spacing w:line="240" w:lineRule="auto"/>
        <w:jc w:val="both"/>
        <w:rPr>
          <w:b/>
          <w:color w:val="2E74B5" w:themeColor="accent1" w:themeShade="BF"/>
          <w:sz w:val="28"/>
          <w:u w:val="single"/>
          <w:lang w:val="en-GB"/>
        </w:rPr>
      </w:pPr>
      <w:r w:rsidRPr="006075A4">
        <w:rPr>
          <w:b/>
          <w:color w:val="2E74B5" w:themeColor="accent1" w:themeShade="BF"/>
          <w:sz w:val="28"/>
          <w:u w:val="single"/>
          <w:lang w:val="en-GB"/>
        </w:rPr>
        <w:fldChar w:fldCharType="begin"/>
      </w:r>
      <w:r w:rsidRPr="006075A4">
        <w:rPr>
          <w:b/>
          <w:color w:val="2E74B5" w:themeColor="accent1" w:themeShade="BF"/>
          <w:sz w:val="28"/>
          <w:u w:val="single"/>
          <w:lang w:val="en-GB"/>
        </w:rPr>
        <w:instrText xml:space="preserve"> REF _Ref421267554 \h  \* MERGEFORMAT </w:instrText>
      </w:r>
      <w:r w:rsidRPr="006075A4">
        <w:rPr>
          <w:b/>
          <w:color w:val="2E74B5" w:themeColor="accent1" w:themeShade="BF"/>
          <w:sz w:val="28"/>
          <w:u w:val="single"/>
          <w:lang w:val="en-GB"/>
        </w:rPr>
      </w:r>
      <w:r w:rsidRPr="006075A4">
        <w:rPr>
          <w:b/>
          <w:color w:val="2E74B5" w:themeColor="accent1" w:themeShade="BF"/>
          <w:sz w:val="28"/>
          <w:u w:val="single"/>
          <w:lang w:val="en-GB"/>
        </w:rPr>
        <w:fldChar w:fldCharType="separate"/>
      </w:r>
      <w:r w:rsidRPr="006075A4">
        <w:rPr>
          <w:b/>
          <w:color w:val="2E74B5" w:themeColor="accent1" w:themeShade="BF"/>
          <w:sz w:val="28"/>
          <w:u w:val="single"/>
          <w:lang w:val="en-GB"/>
        </w:rPr>
        <w:t>Latest publications, funding opportunities and calls for proposals</w:t>
      </w:r>
      <w:r w:rsidRPr="006075A4">
        <w:rPr>
          <w:b/>
          <w:color w:val="2E74B5" w:themeColor="accent1" w:themeShade="BF"/>
          <w:sz w:val="28"/>
          <w:u w:val="single"/>
          <w:lang w:val="en-GB"/>
        </w:rPr>
        <w:fldChar w:fldCharType="end"/>
      </w:r>
    </w:p>
    <w:p w14:paraId="346700A5" w14:textId="069F4039" w:rsidR="0067153F" w:rsidRPr="006075A4" w:rsidRDefault="0067153F" w:rsidP="0067153F">
      <w:pPr>
        <w:pStyle w:val="ListParagraph"/>
        <w:numPr>
          <w:ilvl w:val="0"/>
          <w:numId w:val="30"/>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_Ref421267563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General information</w:t>
      </w:r>
      <w:r w:rsidRPr="006075A4">
        <w:rPr>
          <w:u w:val="single"/>
          <w:lang w:val="en-GB"/>
        </w:rPr>
        <w:fldChar w:fldCharType="end"/>
      </w:r>
    </w:p>
    <w:p w14:paraId="3DB8634E" w14:textId="77777777" w:rsidR="0067153F" w:rsidRPr="006075A4" w:rsidRDefault="0067153F" w:rsidP="0067153F">
      <w:pPr>
        <w:pStyle w:val="ListParagraph"/>
        <w:numPr>
          <w:ilvl w:val="0"/>
          <w:numId w:val="30"/>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_Ref421267570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Sexual Orientation and Gender Identity</w:t>
      </w:r>
      <w:r w:rsidRPr="006075A4">
        <w:rPr>
          <w:u w:val="single"/>
          <w:lang w:val="en-GB"/>
        </w:rPr>
        <w:fldChar w:fldCharType="end"/>
      </w:r>
    </w:p>
    <w:p w14:paraId="266F7EEF" w14:textId="65C67D94" w:rsidR="0067153F" w:rsidRPr="006075A4" w:rsidRDefault="0067153F" w:rsidP="0067153F">
      <w:pPr>
        <w:pStyle w:val="ListParagraph"/>
        <w:numPr>
          <w:ilvl w:val="0"/>
          <w:numId w:val="30"/>
        </w:numPr>
        <w:spacing w:line="240" w:lineRule="auto"/>
        <w:jc w:val="both"/>
        <w:rPr>
          <w:lang w:val="en-GB"/>
        </w:rPr>
      </w:pPr>
      <w:r w:rsidRPr="006075A4">
        <w:rPr>
          <w:lang w:val="en-GB"/>
        </w:rPr>
        <w:fldChar w:fldCharType="begin"/>
      </w:r>
      <w:r w:rsidRPr="006075A4">
        <w:rPr>
          <w:lang w:val="en-GB"/>
        </w:rPr>
        <w:instrText xml:space="preserve"> REF _Ref421267576 \h </w:instrText>
      </w:r>
      <w:r w:rsidRPr="006075A4">
        <w:rPr>
          <w:lang w:val="en-GB"/>
        </w:rPr>
      </w:r>
      <w:r w:rsidRPr="006075A4">
        <w:rPr>
          <w:lang w:val="en-GB"/>
        </w:rPr>
        <w:fldChar w:fldCharType="separate"/>
      </w:r>
      <w:r w:rsidRPr="006075A4">
        <w:rPr>
          <w:color w:val="2E74B5" w:themeColor="accent1" w:themeShade="BF"/>
          <w:u w:val="single"/>
          <w:lang w:val="en-GB"/>
        </w:rPr>
        <w:t>Disability</w:t>
      </w:r>
      <w:r w:rsidRPr="006075A4">
        <w:rPr>
          <w:lang w:val="en-GB"/>
        </w:rPr>
        <w:fldChar w:fldCharType="end"/>
      </w:r>
    </w:p>
    <w:p w14:paraId="5D538AA3" w14:textId="68A94ABB" w:rsidR="0067153F" w:rsidRPr="006075A4" w:rsidRDefault="0067153F" w:rsidP="0067153F">
      <w:pPr>
        <w:spacing w:line="240" w:lineRule="auto"/>
        <w:jc w:val="both"/>
        <w:rPr>
          <w:b/>
          <w:color w:val="2E74B5" w:themeColor="accent1" w:themeShade="BF"/>
          <w:sz w:val="28"/>
          <w:u w:val="single"/>
          <w:lang w:val="en-GB"/>
        </w:rPr>
      </w:pPr>
      <w:r w:rsidRPr="006075A4">
        <w:rPr>
          <w:b/>
          <w:color w:val="2E74B5" w:themeColor="accent1" w:themeShade="BF"/>
          <w:sz w:val="28"/>
          <w:u w:val="single"/>
          <w:lang w:val="en-GB"/>
        </w:rPr>
        <w:fldChar w:fldCharType="begin"/>
      </w:r>
      <w:r w:rsidRPr="006075A4">
        <w:rPr>
          <w:b/>
          <w:color w:val="2E74B5" w:themeColor="accent1" w:themeShade="BF"/>
          <w:sz w:val="28"/>
          <w:u w:val="single"/>
          <w:lang w:val="en-GB"/>
        </w:rPr>
        <w:instrText xml:space="preserve"> REF _Ref421267634 \h  \* MERGEFORMAT </w:instrText>
      </w:r>
      <w:r w:rsidRPr="006075A4">
        <w:rPr>
          <w:b/>
          <w:color w:val="2E74B5" w:themeColor="accent1" w:themeShade="BF"/>
          <w:sz w:val="28"/>
          <w:u w:val="single"/>
          <w:lang w:val="en-GB"/>
        </w:rPr>
      </w:r>
      <w:r w:rsidRPr="006075A4">
        <w:rPr>
          <w:b/>
          <w:color w:val="2E74B5" w:themeColor="accent1" w:themeShade="BF"/>
          <w:sz w:val="28"/>
          <w:u w:val="single"/>
          <w:lang w:val="en-GB"/>
        </w:rPr>
        <w:fldChar w:fldCharType="separate"/>
      </w:r>
      <w:r w:rsidRPr="006075A4">
        <w:rPr>
          <w:b/>
          <w:color w:val="2E74B5" w:themeColor="accent1" w:themeShade="BF"/>
          <w:sz w:val="28"/>
          <w:u w:val="single"/>
          <w:lang w:val="en-GB"/>
        </w:rPr>
        <w:t>Recent case-law</w:t>
      </w:r>
      <w:r w:rsidRPr="006075A4">
        <w:rPr>
          <w:b/>
          <w:color w:val="2E74B5" w:themeColor="accent1" w:themeShade="BF"/>
          <w:sz w:val="28"/>
          <w:u w:val="single"/>
          <w:lang w:val="en-GB"/>
        </w:rPr>
        <w:fldChar w:fldCharType="end"/>
      </w:r>
    </w:p>
    <w:p w14:paraId="51D5921B" w14:textId="77777777" w:rsidR="0067153F" w:rsidRPr="006075A4" w:rsidRDefault="0067153F" w:rsidP="0067153F">
      <w:pPr>
        <w:pStyle w:val="ListParagraph"/>
        <w:numPr>
          <w:ilvl w:val="0"/>
          <w:numId w:val="31"/>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_Ref421267642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European Court of Justice</w:t>
      </w:r>
      <w:r w:rsidRPr="006075A4">
        <w:rPr>
          <w:lang w:val="en-GB"/>
        </w:rPr>
        <w:t xml:space="preserve"> (ECJ)</w:t>
      </w:r>
      <w:r w:rsidRPr="006075A4">
        <w:rPr>
          <w:u w:val="single"/>
          <w:lang w:val="en-GB"/>
        </w:rPr>
        <w:fldChar w:fldCharType="end"/>
      </w:r>
    </w:p>
    <w:p w14:paraId="14EDA2C0" w14:textId="0952FD4A" w:rsidR="0067153F" w:rsidRPr="006075A4" w:rsidRDefault="0067153F" w:rsidP="0067153F">
      <w:pPr>
        <w:pStyle w:val="ListParagraph"/>
        <w:numPr>
          <w:ilvl w:val="0"/>
          <w:numId w:val="31"/>
        </w:numPr>
        <w:spacing w:line="240" w:lineRule="auto"/>
        <w:jc w:val="both"/>
        <w:rPr>
          <w:u w:val="single"/>
          <w:lang w:val="en-GB"/>
        </w:rPr>
      </w:pPr>
      <w:r w:rsidRPr="006075A4">
        <w:rPr>
          <w:u w:val="single"/>
          <w:lang w:val="en-GB"/>
        </w:rPr>
        <w:fldChar w:fldCharType="begin"/>
      </w:r>
      <w:r w:rsidRPr="006075A4">
        <w:rPr>
          <w:u w:val="single"/>
          <w:lang w:val="en-GB"/>
        </w:rPr>
        <w:instrText xml:space="preserve"> REF _Ref421267644 \h </w:instrText>
      </w:r>
      <w:r w:rsidRPr="006075A4">
        <w:rPr>
          <w:u w:val="single"/>
          <w:lang w:val="en-GB"/>
        </w:rPr>
      </w:r>
      <w:r w:rsidRPr="006075A4">
        <w:rPr>
          <w:u w:val="single"/>
          <w:lang w:val="en-GB"/>
        </w:rPr>
        <w:fldChar w:fldCharType="separate"/>
      </w:r>
      <w:r w:rsidRPr="006075A4">
        <w:rPr>
          <w:color w:val="2E74B5" w:themeColor="accent1" w:themeShade="BF"/>
          <w:u w:val="single"/>
          <w:lang w:val="en-GB"/>
        </w:rPr>
        <w:t>European Court of Human Rights</w:t>
      </w:r>
      <w:r w:rsidRPr="006075A4">
        <w:rPr>
          <w:lang w:val="en-GB"/>
        </w:rPr>
        <w:t xml:space="preserve"> (ECHR)</w:t>
      </w:r>
      <w:r w:rsidRPr="006075A4">
        <w:rPr>
          <w:u w:val="single"/>
          <w:lang w:val="en-GB"/>
        </w:rPr>
        <w:fldChar w:fldCharType="end"/>
      </w:r>
    </w:p>
    <w:p w14:paraId="7224E84C" w14:textId="77777777" w:rsidR="00CF7284" w:rsidRPr="006075A4" w:rsidRDefault="00CF7284" w:rsidP="000263B4">
      <w:pPr>
        <w:spacing w:line="240" w:lineRule="auto"/>
        <w:rPr>
          <w:rFonts w:ascii="Tahoma" w:eastAsiaTheme="majorEastAsia" w:hAnsi="Tahoma" w:cstheme="majorBidi"/>
          <w:b/>
          <w:color w:val="2E74B5" w:themeColor="accent1" w:themeShade="BF"/>
          <w:sz w:val="32"/>
          <w:szCs w:val="32"/>
          <w:lang w:val="en-GB"/>
        </w:rPr>
      </w:pPr>
      <w:bookmarkStart w:id="1" w:name="_Toc418770742"/>
      <w:bookmarkStart w:id="2" w:name="_Ref418783893"/>
      <w:bookmarkStart w:id="3" w:name="_Ref418783894"/>
      <w:r w:rsidRPr="006075A4">
        <w:rPr>
          <w:lang w:val="en-GB"/>
        </w:rPr>
        <w:br w:type="page"/>
      </w:r>
    </w:p>
    <w:p w14:paraId="0CF09184" w14:textId="40C63380" w:rsidR="00BE506C" w:rsidRPr="006075A4" w:rsidRDefault="00922F1E" w:rsidP="000263B4">
      <w:pPr>
        <w:pStyle w:val="Heading1"/>
        <w:spacing w:line="240" w:lineRule="auto"/>
        <w:rPr>
          <w:lang w:val="en-GB"/>
        </w:rPr>
      </w:pPr>
      <w:bookmarkStart w:id="4" w:name="_Ref421267367"/>
      <w:r w:rsidRPr="006075A4">
        <w:rPr>
          <w:lang w:val="en-GB"/>
        </w:rPr>
        <w:lastRenderedPageBreak/>
        <w:t>Highlight</w:t>
      </w:r>
      <w:r w:rsidR="000348AB">
        <w:rPr>
          <w:lang w:val="en-GB"/>
        </w:rPr>
        <w:t xml:space="preserve"> 1</w:t>
      </w:r>
      <w:r w:rsidRPr="006075A4">
        <w:rPr>
          <w:lang w:val="en-GB"/>
        </w:rPr>
        <w:t xml:space="preserve">: </w:t>
      </w:r>
      <w:bookmarkEnd w:id="1"/>
      <w:bookmarkEnd w:id="2"/>
      <w:bookmarkEnd w:id="3"/>
      <w:r w:rsidR="0014109E" w:rsidRPr="006075A4">
        <w:rPr>
          <w:lang w:val="en-GB"/>
        </w:rPr>
        <w:t>The Gender Goods and Services Directive</w:t>
      </w:r>
      <w:bookmarkEnd w:id="4"/>
    </w:p>
    <w:p w14:paraId="040B29A2" w14:textId="77777777" w:rsidR="001140DC" w:rsidRPr="006075A4" w:rsidRDefault="001140DC" w:rsidP="000263B4">
      <w:pPr>
        <w:spacing w:line="240" w:lineRule="auto"/>
        <w:jc w:val="both"/>
        <w:rPr>
          <w:lang w:val="en-GB"/>
        </w:rPr>
      </w:pPr>
    </w:p>
    <w:p w14:paraId="3B48D390" w14:textId="77777777" w:rsidR="001140DC" w:rsidRPr="006075A4" w:rsidRDefault="00A924CE" w:rsidP="000263B4">
      <w:pPr>
        <w:pStyle w:val="Heading2"/>
        <w:spacing w:line="240" w:lineRule="auto"/>
        <w:jc w:val="both"/>
        <w:rPr>
          <w:lang w:val="en-GB"/>
        </w:rPr>
      </w:pPr>
      <w:bookmarkStart w:id="5" w:name="_Ref421267385"/>
      <w:r w:rsidRPr="006075A4">
        <w:rPr>
          <w:lang w:val="en-GB"/>
        </w:rPr>
        <w:t xml:space="preserve">EUROPEAN COMMISSION: Report on the </w:t>
      </w:r>
      <w:r w:rsidR="0098311A" w:rsidRPr="006075A4">
        <w:rPr>
          <w:lang w:val="en-GB"/>
        </w:rPr>
        <w:t xml:space="preserve">implementation of </w:t>
      </w:r>
      <w:r w:rsidRPr="006075A4">
        <w:rPr>
          <w:lang w:val="en-GB"/>
        </w:rPr>
        <w:t xml:space="preserve">the </w:t>
      </w:r>
      <w:r w:rsidR="0098311A" w:rsidRPr="006075A4">
        <w:rPr>
          <w:lang w:val="en-GB"/>
        </w:rPr>
        <w:t>‘Gender Goods and Services Directive’</w:t>
      </w:r>
      <w:bookmarkEnd w:id="5"/>
    </w:p>
    <w:p w14:paraId="73E91F7D" w14:textId="0CB3A90F" w:rsidR="00A924CE" w:rsidRPr="006075A4" w:rsidRDefault="00175EA1" w:rsidP="000263B4">
      <w:pP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The </w:t>
      </w:r>
      <w:r w:rsidR="00A924CE" w:rsidRPr="006075A4">
        <w:rPr>
          <w:rFonts w:ascii="Calibri" w:eastAsia="Calibri" w:hAnsi="Calibri" w:cs="Times New Roman"/>
          <w:lang w:val="en-GB"/>
        </w:rPr>
        <w:t xml:space="preserve">European </w:t>
      </w:r>
      <w:r w:rsidRPr="006075A4">
        <w:rPr>
          <w:rFonts w:ascii="Calibri" w:eastAsia="Calibri" w:hAnsi="Calibri" w:cs="Times New Roman"/>
          <w:lang w:val="en-GB"/>
        </w:rPr>
        <w:t xml:space="preserve">Commission has issued </w:t>
      </w:r>
      <w:hyperlink r:id="rId10" w:history="1">
        <w:r w:rsidR="0044701A" w:rsidRPr="006075A4">
          <w:rPr>
            <w:rFonts w:ascii="Calibri" w:eastAsia="Calibri" w:hAnsi="Calibri" w:cs="Times New Roman"/>
            <w:color w:val="0563C1"/>
            <w:u w:val="single"/>
            <w:lang w:val="en-GB"/>
          </w:rPr>
          <w:t>a r</w:t>
        </w:r>
        <w:r w:rsidRPr="006075A4">
          <w:rPr>
            <w:rFonts w:ascii="Calibri" w:eastAsia="Calibri" w:hAnsi="Calibri" w:cs="Times New Roman"/>
            <w:color w:val="0563C1"/>
            <w:u w:val="single"/>
            <w:lang w:val="en-GB"/>
          </w:rPr>
          <w:t>eport</w:t>
        </w:r>
      </w:hyperlink>
      <w:r w:rsidRPr="006075A4">
        <w:rPr>
          <w:rFonts w:ascii="Calibri" w:eastAsia="Calibri" w:hAnsi="Calibri" w:cs="Times New Roman"/>
          <w:lang w:val="en-GB"/>
        </w:rPr>
        <w:t xml:space="preserve"> on the implementation of the </w:t>
      </w:r>
      <w:r w:rsidRPr="006075A4">
        <w:rPr>
          <w:rFonts w:ascii="Calibri" w:eastAsia="Calibri" w:hAnsi="Calibri" w:cs="Times New Roman"/>
          <w:b/>
          <w:lang w:val="en-GB"/>
        </w:rPr>
        <w:t>‘Gender Goods and Services Directive’</w:t>
      </w:r>
      <w:r w:rsidRPr="006075A4">
        <w:rPr>
          <w:rFonts w:ascii="Calibri" w:eastAsia="Calibri" w:hAnsi="Calibri" w:cs="Times New Roman"/>
          <w:lang w:val="en-GB"/>
        </w:rPr>
        <w:t xml:space="preserve"> (Directive 2004/113/EC) following</w:t>
      </w:r>
      <w:r w:rsidR="006075A4" w:rsidRPr="006075A4">
        <w:rPr>
          <w:rFonts w:ascii="Calibri" w:eastAsia="Calibri" w:hAnsi="Calibri" w:cs="Times New Roman"/>
          <w:lang w:val="en-GB"/>
        </w:rPr>
        <w:t xml:space="preserve"> a</w:t>
      </w:r>
      <w:r w:rsidRPr="006075A4">
        <w:rPr>
          <w:rFonts w:ascii="Calibri" w:eastAsia="Calibri" w:hAnsi="Calibri" w:cs="Times New Roman"/>
          <w:lang w:val="en-GB"/>
        </w:rPr>
        <w:t xml:space="preserve"> consultation with the </w:t>
      </w:r>
      <w:r w:rsidR="00A924CE" w:rsidRPr="006075A4">
        <w:rPr>
          <w:rFonts w:ascii="Calibri" w:eastAsia="Calibri" w:hAnsi="Calibri" w:cs="Times New Roman"/>
          <w:lang w:val="en-GB"/>
        </w:rPr>
        <w:t xml:space="preserve">EU </w:t>
      </w:r>
      <w:r w:rsidRPr="006075A4">
        <w:rPr>
          <w:rFonts w:ascii="Calibri" w:eastAsia="Calibri" w:hAnsi="Calibri" w:cs="Times New Roman"/>
          <w:lang w:val="en-GB"/>
        </w:rPr>
        <w:t>Member States and other stakeholders, including national equality bo</w:t>
      </w:r>
      <w:r w:rsidR="00A924CE" w:rsidRPr="006075A4">
        <w:rPr>
          <w:rFonts w:ascii="Calibri" w:eastAsia="Calibri" w:hAnsi="Calibri" w:cs="Times New Roman"/>
          <w:lang w:val="en-GB"/>
        </w:rPr>
        <w:t xml:space="preserve">dies and Equinet. </w:t>
      </w:r>
      <w:r w:rsidR="006075A4" w:rsidRPr="006075A4">
        <w:rPr>
          <w:rFonts w:ascii="Calibri" w:eastAsia="Calibri" w:hAnsi="Calibri" w:cs="Times New Roman"/>
          <w:lang w:val="en-GB"/>
        </w:rPr>
        <w:t xml:space="preserve">In this report, </w:t>
      </w:r>
      <w:r w:rsidRPr="006075A4">
        <w:rPr>
          <w:rFonts w:ascii="Calibri" w:eastAsia="Calibri" w:hAnsi="Calibri" w:cs="Times New Roman"/>
          <w:lang w:val="en-GB"/>
        </w:rPr>
        <w:t>the</w:t>
      </w:r>
      <w:r w:rsidR="00A924CE" w:rsidRPr="006075A4">
        <w:rPr>
          <w:rFonts w:ascii="Calibri" w:eastAsia="Calibri" w:hAnsi="Calibri" w:cs="Times New Roman"/>
          <w:lang w:val="en-GB"/>
        </w:rPr>
        <w:t xml:space="preserve"> European</w:t>
      </w:r>
      <w:r w:rsidRPr="006075A4">
        <w:rPr>
          <w:rFonts w:ascii="Calibri" w:eastAsia="Calibri" w:hAnsi="Calibri" w:cs="Times New Roman"/>
          <w:lang w:val="en-GB"/>
        </w:rPr>
        <w:t xml:space="preserve"> Commission makes an important reference to the role of equality bodies in implementing the Directive. </w:t>
      </w:r>
    </w:p>
    <w:p w14:paraId="5169F8FE" w14:textId="21C50EB2" w:rsidR="0014109E" w:rsidRPr="006075A4" w:rsidRDefault="00175EA1" w:rsidP="000263B4">
      <w:pPr>
        <w:pBdr>
          <w:bottom w:val="dotted" w:sz="4" w:space="1" w:color="auto"/>
        </w:pBd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Read </w:t>
      </w:r>
      <w:proofErr w:type="spellStart"/>
      <w:r w:rsidRPr="006075A4">
        <w:rPr>
          <w:rFonts w:ascii="Calibri" w:eastAsia="Calibri" w:hAnsi="Calibri" w:cs="Times New Roman"/>
          <w:lang w:val="en-GB"/>
        </w:rPr>
        <w:t>Equinet’s</w:t>
      </w:r>
      <w:proofErr w:type="spellEnd"/>
      <w:r w:rsidRPr="006075A4">
        <w:rPr>
          <w:rFonts w:ascii="Calibri" w:eastAsia="Calibri" w:hAnsi="Calibri" w:cs="Times New Roman"/>
          <w:lang w:val="en-GB"/>
        </w:rPr>
        <w:t xml:space="preserve"> article</w:t>
      </w:r>
      <w:r w:rsidR="00A924CE" w:rsidRPr="006075A4">
        <w:rPr>
          <w:rFonts w:ascii="Calibri" w:eastAsia="Calibri" w:hAnsi="Calibri" w:cs="Times New Roman"/>
          <w:lang w:val="en-GB"/>
        </w:rPr>
        <w:t xml:space="preserve"> about the report</w:t>
      </w:r>
      <w:r w:rsidRPr="006075A4">
        <w:rPr>
          <w:rFonts w:ascii="Calibri" w:eastAsia="Calibri" w:hAnsi="Calibri" w:cs="Times New Roman"/>
          <w:lang w:val="en-GB"/>
        </w:rPr>
        <w:t xml:space="preserve"> </w:t>
      </w:r>
      <w:hyperlink r:id="rId11" w:history="1">
        <w:r w:rsidRPr="006075A4">
          <w:rPr>
            <w:rFonts w:ascii="Calibri" w:eastAsia="Calibri" w:hAnsi="Calibri" w:cs="Times New Roman"/>
            <w:color w:val="0563C1"/>
            <w:u w:val="single"/>
            <w:lang w:val="en-GB"/>
          </w:rPr>
          <w:t>here</w:t>
        </w:r>
      </w:hyperlink>
      <w:r w:rsidRPr="006075A4">
        <w:rPr>
          <w:rFonts w:ascii="Calibri" w:eastAsia="Calibri" w:hAnsi="Calibri" w:cs="Times New Roman"/>
          <w:lang w:val="en-GB"/>
        </w:rPr>
        <w:t>.</w:t>
      </w:r>
      <w:r w:rsidR="0034362B" w:rsidRPr="006075A4">
        <w:rPr>
          <w:rFonts w:ascii="Calibri" w:eastAsia="Calibri" w:hAnsi="Calibri" w:cs="Times New Roman"/>
          <w:lang w:val="en-GB"/>
        </w:rPr>
        <w:tab/>
      </w:r>
      <w:r w:rsidR="0034362B" w:rsidRPr="006075A4">
        <w:rPr>
          <w:rFonts w:ascii="Calibri" w:eastAsia="Calibri" w:hAnsi="Calibri" w:cs="Times New Roman"/>
          <w:lang w:val="en-GB"/>
        </w:rPr>
        <w:br/>
      </w:r>
    </w:p>
    <w:p w14:paraId="69820867" w14:textId="77777777" w:rsidR="00A924CE" w:rsidRPr="006075A4" w:rsidRDefault="00A924CE" w:rsidP="000263B4">
      <w:pPr>
        <w:pStyle w:val="Heading2"/>
        <w:spacing w:line="240" w:lineRule="auto"/>
        <w:rPr>
          <w:lang w:val="en-GB"/>
        </w:rPr>
      </w:pPr>
      <w:bookmarkStart w:id="6" w:name="_Ref421267389"/>
      <w:r w:rsidRPr="006075A4">
        <w:rPr>
          <w:lang w:val="en-GB"/>
        </w:rPr>
        <w:t>Equinet and the Gender Goods and Services Directive</w:t>
      </w:r>
      <w:bookmarkEnd w:id="6"/>
      <w:r w:rsidRPr="006075A4">
        <w:rPr>
          <w:lang w:val="en-GB"/>
        </w:rPr>
        <w:tab/>
      </w:r>
    </w:p>
    <w:p w14:paraId="3C895958" w14:textId="77777777" w:rsidR="00A924CE" w:rsidRPr="006075A4" w:rsidRDefault="00A924CE" w:rsidP="000263B4">
      <w:pPr>
        <w:pStyle w:val="Heading2"/>
        <w:spacing w:line="240" w:lineRule="auto"/>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294"/>
        <w:gridCol w:w="2631"/>
        <w:gridCol w:w="2295"/>
      </w:tblGrid>
      <w:tr w:rsidR="00A924CE" w:rsidRPr="000348AB" w14:paraId="331CDA0E" w14:textId="77777777" w:rsidTr="000348AB">
        <w:tc>
          <w:tcPr>
            <w:tcW w:w="2526" w:type="dxa"/>
          </w:tcPr>
          <w:p w14:paraId="7C355D75" w14:textId="77777777" w:rsidR="00A924CE" w:rsidRPr="006075A4" w:rsidRDefault="00A924CE" w:rsidP="000263B4">
            <w:pPr>
              <w:pStyle w:val="Heading2"/>
              <w:outlineLvl w:val="1"/>
              <w:rPr>
                <w:lang w:val="en-GB"/>
              </w:rPr>
            </w:pPr>
            <w:r w:rsidRPr="006075A4">
              <w:rPr>
                <w:noProof/>
                <w:lang w:eastAsia="fr-BE"/>
              </w:rPr>
              <w:drawing>
                <wp:inline distT="0" distB="0" distL="0" distR="0" wp14:anchorId="72F9244C" wp14:editId="5AF25DA9">
                  <wp:extent cx="1428750" cy="1980280"/>
                  <wp:effectExtent l="19050" t="19050" r="1905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693" cy="1989904"/>
                          </a:xfrm>
                          <a:prstGeom prst="rect">
                            <a:avLst/>
                          </a:prstGeom>
                          <a:noFill/>
                          <a:ln>
                            <a:solidFill>
                              <a:schemeClr val="tx1"/>
                            </a:solidFill>
                          </a:ln>
                        </pic:spPr>
                      </pic:pic>
                    </a:graphicData>
                  </a:graphic>
                </wp:inline>
              </w:drawing>
            </w:r>
          </w:p>
        </w:tc>
        <w:tc>
          <w:tcPr>
            <w:tcW w:w="2294" w:type="dxa"/>
            <w:vAlign w:val="center"/>
          </w:tcPr>
          <w:p w14:paraId="264F3F33" w14:textId="77777777" w:rsidR="00A924CE" w:rsidRPr="006075A4" w:rsidRDefault="00A924CE" w:rsidP="000263B4">
            <w:pPr>
              <w:rPr>
                <w:lang w:val="en-GB"/>
              </w:rPr>
            </w:pPr>
            <w:r w:rsidRPr="006075A4">
              <w:rPr>
                <w:b/>
                <w:lang w:val="en-GB"/>
              </w:rPr>
              <w:t>Equinet Report:</w:t>
            </w:r>
            <w:r w:rsidRPr="006075A4">
              <w:rPr>
                <w:lang w:val="en-GB"/>
              </w:rPr>
              <w:t xml:space="preserve"> Equality Bodies and the Gender Goods and Services Directive (2014) (available </w:t>
            </w:r>
            <w:hyperlink r:id="rId13" w:history="1">
              <w:r w:rsidRPr="006075A4">
                <w:rPr>
                  <w:rStyle w:val="Hyperlink"/>
                  <w:lang w:val="en-GB"/>
                </w:rPr>
                <w:t>here</w:t>
              </w:r>
            </w:hyperlink>
            <w:r w:rsidRPr="006075A4">
              <w:rPr>
                <w:lang w:val="en-GB"/>
              </w:rPr>
              <w:t>)</w:t>
            </w:r>
          </w:p>
        </w:tc>
        <w:tc>
          <w:tcPr>
            <w:tcW w:w="2631" w:type="dxa"/>
          </w:tcPr>
          <w:p w14:paraId="49385E5E" w14:textId="77777777" w:rsidR="00A924CE" w:rsidRPr="006075A4" w:rsidRDefault="0051290D" w:rsidP="000263B4">
            <w:pPr>
              <w:pStyle w:val="Heading2"/>
              <w:outlineLvl w:val="1"/>
              <w:rPr>
                <w:lang w:val="en-GB"/>
              </w:rPr>
            </w:pPr>
            <w:r>
              <w:rPr>
                <w:noProof/>
                <w:lang w:val="en-GB"/>
              </w:rPr>
              <w:object w:dxaOrig="1440" w:dyaOrig="1440" w14:anchorId="67D55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3.2pt;width:119.6pt;height:154pt;z-index:251660288;mso-position-horizontal-relative:margin;mso-position-vertical-relative:margin" stroked="t" strokecolor="black [3213]">
                  <v:imagedata r:id="rId14" o:title=""/>
                  <w10:wrap type="square" anchorx="margin" anchory="margin"/>
                </v:shape>
                <o:OLEObject Type="Embed" ProgID="PBrush" ShapeID="_x0000_s1026" DrawAspect="Content" ObjectID="_1495012023" r:id="rId15"/>
              </w:object>
            </w:r>
          </w:p>
        </w:tc>
        <w:tc>
          <w:tcPr>
            <w:tcW w:w="2295" w:type="dxa"/>
            <w:vAlign w:val="center"/>
          </w:tcPr>
          <w:p w14:paraId="128929FF" w14:textId="77777777" w:rsidR="00A924CE" w:rsidRPr="006075A4" w:rsidRDefault="00A924CE" w:rsidP="000263B4">
            <w:pPr>
              <w:rPr>
                <w:lang w:val="en-GB"/>
              </w:rPr>
            </w:pPr>
            <w:r w:rsidRPr="006075A4">
              <w:rPr>
                <w:b/>
                <w:lang w:val="en-GB"/>
              </w:rPr>
              <w:t>Summary of Equinet High-Level Seminar on Gender Equality</w:t>
            </w:r>
            <w:r w:rsidRPr="006075A4">
              <w:rPr>
                <w:lang w:val="en-GB"/>
              </w:rPr>
              <w:t xml:space="preserve"> in the Access to Goods and Services (24</w:t>
            </w:r>
            <w:r w:rsidRPr="006075A4">
              <w:rPr>
                <w:vertAlign w:val="superscript"/>
                <w:lang w:val="en-GB"/>
              </w:rPr>
              <w:t>th</w:t>
            </w:r>
            <w:r w:rsidRPr="006075A4">
              <w:rPr>
                <w:lang w:val="en-GB"/>
              </w:rPr>
              <w:t xml:space="preserve"> April 2014, Brussels) (available </w:t>
            </w:r>
            <w:hyperlink r:id="rId16" w:history="1">
              <w:r w:rsidRPr="006075A4">
                <w:rPr>
                  <w:rStyle w:val="Hyperlink"/>
                  <w:lang w:val="en-GB"/>
                </w:rPr>
                <w:t>here</w:t>
              </w:r>
            </w:hyperlink>
            <w:r w:rsidRPr="006075A4">
              <w:rPr>
                <w:lang w:val="en-GB"/>
              </w:rPr>
              <w:t>)</w:t>
            </w:r>
          </w:p>
        </w:tc>
      </w:tr>
    </w:tbl>
    <w:p w14:paraId="32920A20" w14:textId="279B2A65" w:rsidR="000348AB" w:rsidRDefault="000348AB" w:rsidP="000348AB">
      <w:pPr>
        <w:pStyle w:val="Heading1"/>
        <w:rPr>
          <w:rFonts w:eastAsia="Calibri"/>
          <w:lang w:val="en-US"/>
        </w:rPr>
      </w:pPr>
      <w:r>
        <w:rPr>
          <w:rFonts w:eastAsia="Calibri"/>
          <w:lang w:val="en-US"/>
        </w:rPr>
        <w:t>Highlight 2: Funding Opportunity</w:t>
      </w:r>
    </w:p>
    <w:p w14:paraId="1FDB3119" w14:textId="06B62416" w:rsidR="000348AB" w:rsidRPr="000348AB" w:rsidRDefault="000348AB" w:rsidP="000348AB">
      <w:pPr>
        <w:spacing w:line="240" w:lineRule="auto"/>
        <w:jc w:val="both"/>
        <w:rPr>
          <w:rFonts w:ascii="Calibri" w:eastAsia="Calibri" w:hAnsi="Calibri" w:cs="Times New Roman"/>
          <w:b/>
          <w:lang w:val="en-GB"/>
        </w:rPr>
      </w:pPr>
      <w:r>
        <w:rPr>
          <w:rFonts w:ascii="Calibri" w:eastAsia="Calibri" w:hAnsi="Calibri" w:cs="Times New Roman"/>
          <w:b/>
          <w:lang w:val="en-GB"/>
        </w:rPr>
        <w:br/>
      </w:r>
      <w:r w:rsidRPr="000348AB">
        <w:rPr>
          <w:rFonts w:ascii="Calibri" w:eastAsia="Calibri" w:hAnsi="Calibri" w:cs="Times New Roman"/>
          <w:b/>
          <w:lang w:val="en-GB"/>
        </w:rPr>
        <w:t>European Commission: call for projects to support activities on anti-discrimination and Roma integration (Deadline: 07 July 2015)</w:t>
      </w:r>
    </w:p>
    <w:p w14:paraId="36F74ACC" w14:textId="77777777" w:rsidR="000348AB" w:rsidRPr="006075A4" w:rsidRDefault="000348AB" w:rsidP="000348AB">
      <w:pP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The European Commission has launched </w:t>
      </w:r>
      <w:hyperlink r:id="rId17" w:history="1">
        <w:r w:rsidRPr="006075A4">
          <w:rPr>
            <w:rFonts w:ascii="Calibri" w:eastAsia="Calibri" w:hAnsi="Calibri" w:cs="Times New Roman"/>
            <w:color w:val="0563C1"/>
            <w:u w:val="single"/>
            <w:lang w:val="en-GB"/>
          </w:rPr>
          <w:t>a call</w:t>
        </w:r>
      </w:hyperlink>
      <w:r w:rsidRPr="006075A4">
        <w:rPr>
          <w:rFonts w:ascii="Calibri" w:eastAsia="Calibri" w:hAnsi="Calibri" w:cs="Times New Roman"/>
          <w:lang w:val="en-GB"/>
        </w:rPr>
        <w:t xml:space="preserve"> for funding projects to support activities on non-discrimination and Roma integration. The call is open to national authorities, public and private organisations. Deadline for submission of proposal is </w:t>
      </w:r>
      <w:r w:rsidRPr="006075A4">
        <w:rPr>
          <w:rFonts w:ascii="Calibri" w:eastAsia="Calibri" w:hAnsi="Calibri" w:cs="Times New Roman"/>
          <w:b/>
          <w:lang w:val="en-GB"/>
        </w:rPr>
        <w:t>7 July 2015</w:t>
      </w:r>
      <w:r w:rsidRPr="006075A4">
        <w:rPr>
          <w:rFonts w:ascii="Calibri" w:eastAsia="Calibri" w:hAnsi="Calibri" w:cs="Times New Roman"/>
          <w:lang w:val="en-GB"/>
        </w:rPr>
        <w:t>.</w:t>
      </w:r>
    </w:p>
    <w:p w14:paraId="74E60A53" w14:textId="77777777" w:rsidR="00A73FA9" w:rsidRPr="006075A4" w:rsidRDefault="00A73FA9" w:rsidP="000263B4">
      <w:pPr>
        <w:pStyle w:val="Heading2"/>
        <w:spacing w:line="240" w:lineRule="auto"/>
        <w:rPr>
          <w:lang w:val="en-GB"/>
        </w:rPr>
      </w:pPr>
    </w:p>
    <w:p w14:paraId="3826F7AE" w14:textId="77777777" w:rsidR="00A73FA9" w:rsidRPr="006075A4" w:rsidRDefault="00A73FA9" w:rsidP="000263B4">
      <w:pPr>
        <w:pBdr>
          <w:bottom w:val="dotted" w:sz="36" w:space="1" w:color="auto"/>
        </w:pBdr>
        <w:spacing w:line="240" w:lineRule="auto"/>
        <w:rPr>
          <w:lang w:val="en-GB"/>
        </w:rPr>
      </w:pPr>
    </w:p>
    <w:p w14:paraId="49F8ACD8" w14:textId="77777777" w:rsidR="00A73FA9" w:rsidRPr="006075A4" w:rsidRDefault="00A73FA9" w:rsidP="000263B4">
      <w:pPr>
        <w:pStyle w:val="Heading1"/>
        <w:spacing w:line="240" w:lineRule="auto"/>
        <w:rPr>
          <w:lang w:val="en-GB"/>
        </w:rPr>
      </w:pPr>
      <w:bookmarkStart w:id="7" w:name="_Toc418770746"/>
      <w:bookmarkStart w:id="8" w:name="_Ref418784288"/>
      <w:bookmarkStart w:id="9" w:name="_Ref421267472"/>
      <w:r w:rsidRPr="006075A4">
        <w:rPr>
          <w:lang w:val="en-GB"/>
        </w:rPr>
        <w:t>Thematic Policy Developments</w:t>
      </w:r>
      <w:bookmarkEnd w:id="7"/>
      <w:bookmarkEnd w:id="8"/>
      <w:bookmarkEnd w:id="9"/>
    </w:p>
    <w:p w14:paraId="640BC41E" w14:textId="77777777" w:rsidR="00A73FA9" w:rsidRPr="006075A4" w:rsidRDefault="00A73FA9" w:rsidP="000263B4">
      <w:pPr>
        <w:spacing w:line="240" w:lineRule="auto"/>
        <w:rPr>
          <w:lang w:val="en-GB"/>
        </w:rPr>
      </w:pPr>
    </w:p>
    <w:p w14:paraId="326F9116" w14:textId="77777777" w:rsidR="000515A0" w:rsidRPr="006075A4" w:rsidRDefault="00C842B1" w:rsidP="000263B4">
      <w:pPr>
        <w:pStyle w:val="Heading2"/>
        <w:spacing w:line="240" w:lineRule="auto"/>
        <w:rPr>
          <w:lang w:val="en-GB"/>
        </w:rPr>
      </w:pPr>
      <w:bookmarkStart w:id="10" w:name="_Ref421267521"/>
      <w:bookmarkStart w:id="11" w:name="_Toc418770747"/>
      <w:bookmarkStart w:id="12" w:name="_Ref418784309"/>
      <w:r w:rsidRPr="006075A4">
        <w:rPr>
          <w:lang w:val="en-GB"/>
        </w:rPr>
        <w:t>General information</w:t>
      </w:r>
      <w:bookmarkEnd w:id="10"/>
      <w:r w:rsidR="000515A0" w:rsidRPr="006075A4">
        <w:rPr>
          <w:lang w:val="en-GB"/>
        </w:rPr>
        <w:br/>
      </w:r>
    </w:p>
    <w:p w14:paraId="7D1DB8D4" w14:textId="77777777" w:rsidR="0098311A" w:rsidRPr="006075A4" w:rsidRDefault="00E300D5" w:rsidP="000263B4">
      <w:pPr>
        <w:pStyle w:val="ListParagraph"/>
        <w:numPr>
          <w:ilvl w:val="0"/>
          <w:numId w:val="25"/>
        </w:numPr>
        <w:spacing w:line="240" w:lineRule="auto"/>
        <w:rPr>
          <w:rFonts w:ascii="Calibri" w:eastAsia="Calibri" w:hAnsi="Calibri" w:cs="Times New Roman"/>
          <w:b/>
          <w:lang w:val="en-GB"/>
        </w:rPr>
      </w:pPr>
      <w:r w:rsidRPr="006075A4">
        <w:rPr>
          <w:rFonts w:ascii="Calibri" w:eastAsia="Calibri" w:hAnsi="Calibri" w:cs="Times New Roman"/>
          <w:b/>
          <w:lang w:val="en-GB"/>
        </w:rPr>
        <w:t xml:space="preserve">The </w:t>
      </w:r>
      <w:r w:rsidR="0098311A" w:rsidRPr="006075A4">
        <w:rPr>
          <w:rFonts w:ascii="Calibri" w:eastAsia="Calibri" w:hAnsi="Calibri" w:cs="Times New Roman"/>
          <w:b/>
          <w:lang w:val="en-GB"/>
        </w:rPr>
        <w:t>European Commissio</w:t>
      </w:r>
      <w:r w:rsidRPr="006075A4">
        <w:rPr>
          <w:rFonts w:ascii="Calibri" w:eastAsia="Calibri" w:hAnsi="Calibri" w:cs="Times New Roman"/>
          <w:b/>
          <w:lang w:val="en-GB"/>
        </w:rPr>
        <w:t>n publ</w:t>
      </w:r>
      <w:r w:rsidR="00A34EB9" w:rsidRPr="006075A4">
        <w:rPr>
          <w:rFonts w:ascii="Calibri" w:eastAsia="Calibri" w:hAnsi="Calibri" w:cs="Times New Roman"/>
          <w:b/>
          <w:lang w:val="en-GB"/>
        </w:rPr>
        <w:t>ishes its</w:t>
      </w:r>
      <w:r w:rsidR="0098311A" w:rsidRPr="006075A4">
        <w:rPr>
          <w:rFonts w:ascii="Calibri" w:eastAsia="Calibri" w:hAnsi="Calibri" w:cs="Times New Roman"/>
          <w:b/>
          <w:lang w:val="en-GB"/>
        </w:rPr>
        <w:t xml:space="preserve"> Better Regulation Strategy</w:t>
      </w:r>
      <w:r w:rsidRPr="006075A4">
        <w:rPr>
          <w:rFonts w:ascii="Calibri" w:eastAsia="Calibri" w:hAnsi="Calibri" w:cs="Times New Roman"/>
          <w:b/>
          <w:lang w:val="en-GB"/>
        </w:rPr>
        <w:t xml:space="preserve"> </w:t>
      </w:r>
      <w:r w:rsidR="00A34EB9" w:rsidRPr="006075A4">
        <w:rPr>
          <w:rFonts w:ascii="Calibri" w:eastAsia="Calibri" w:hAnsi="Calibri" w:cs="Times New Roman"/>
          <w:b/>
          <w:lang w:val="en-GB"/>
        </w:rPr>
        <w:t>Agenda</w:t>
      </w:r>
    </w:p>
    <w:p w14:paraId="135FCF21" w14:textId="61D8AFBF" w:rsidR="00A34EB9" w:rsidRPr="006075A4" w:rsidRDefault="00A34EB9" w:rsidP="000263B4">
      <w:pPr>
        <w:spacing w:line="240" w:lineRule="auto"/>
        <w:jc w:val="both"/>
        <w:rPr>
          <w:lang w:val="en-GB"/>
        </w:rPr>
      </w:pPr>
      <w:r w:rsidRPr="006075A4">
        <w:rPr>
          <w:lang w:val="en-GB"/>
        </w:rPr>
        <w:t xml:space="preserve">On 19 May 2015, the European Commission published its </w:t>
      </w:r>
      <w:hyperlink r:id="rId18" w:history="1">
        <w:r w:rsidRPr="006075A4">
          <w:rPr>
            <w:rStyle w:val="Hyperlink"/>
            <w:lang w:val="en-GB"/>
          </w:rPr>
          <w:t>Better Regulation Agenda</w:t>
        </w:r>
      </w:hyperlink>
      <w:r w:rsidR="006075A4" w:rsidRPr="006075A4">
        <w:rPr>
          <w:lang w:val="en-GB"/>
        </w:rPr>
        <w:t>, a new package of reforms for</w:t>
      </w:r>
      <w:r w:rsidRPr="006075A4">
        <w:rPr>
          <w:lang w:val="en-GB"/>
        </w:rPr>
        <w:t xml:space="preserve"> EU decision-making. The Agenda includes a </w:t>
      </w:r>
      <w:r w:rsidR="006075A4" w:rsidRPr="006075A4">
        <w:rPr>
          <w:lang w:val="en-GB"/>
        </w:rPr>
        <w:t xml:space="preserve">renewed </w:t>
      </w:r>
      <w:hyperlink r:id="rId19" w:history="1">
        <w:r w:rsidRPr="006075A4">
          <w:rPr>
            <w:rStyle w:val="Hyperlink"/>
            <w:lang w:val="en-GB"/>
          </w:rPr>
          <w:t>Regulatory Fitness and Performance Programme</w:t>
        </w:r>
      </w:hyperlink>
      <w:r w:rsidRPr="006075A4">
        <w:rPr>
          <w:lang w:val="en-GB"/>
        </w:rPr>
        <w:t xml:space="preserve"> (REFIT) to review existing and proposed legislation. In the field of Justice, the REFIT also evaluates Directives that are relevant to the issue of gender equality: the 1979 directive on Equal Treatment in Social Services but also the proposals for directives on Women on company boards and Maternity Leave.</w:t>
      </w:r>
      <w:r w:rsidR="00542158" w:rsidRPr="006075A4">
        <w:rPr>
          <w:lang w:val="en-GB"/>
        </w:rPr>
        <w:tab/>
      </w:r>
      <w:r w:rsidRPr="006075A4">
        <w:rPr>
          <w:lang w:val="en-GB"/>
        </w:rPr>
        <w:t xml:space="preserve"> </w:t>
      </w:r>
      <w:r w:rsidR="00542158" w:rsidRPr="006075A4">
        <w:rPr>
          <w:lang w:val="en-GB"/>
        </w:rPr>
        <w:br/>
      </w:r>
    </w:p>
    <w:p w14:paraId="5D99EB58" w14:textId="77777777" w:rsidR="00A83053" w:rsidRPr="006075A4" w:rsidRDefault="00A83053" w:rsidP="000263B4">
      <w:pPr>
        <w:pStyle w:val="ListParagraph"/>
        <w:numPr>
          <w:ilvl w:val="0"/>
          <w:numId w:val="24"/>
        </w:numPr>
        <w:spacing w:line="240" w:lineRule="auto"/>
        <w:rPr>
          <w:rFonts w:ascii="Calibri" w:eastAsia="Calibri" w:hAnsi="Calibri" w:cs="Times New Roman"/>
          <w:b/>
          <w:lang w:val="en-GB"/>
        </w:rPr>
      </w:pPr>
      <w:r w:rsidRPr="006075A4">
        <w:rPr>
          <w:rFonts w:ascii="Calibri" w:eastAsia="Calibri" w:hAnsi="Calibri" w:cs="Times New Roman"/>
          <w:b/>
          <w:lang w:val="en-GB"/>
        </w:rPr>
        <w:t xml:space="preserve">European Semester: the European Commission adopts 2015 Country-specific Recommendations </w:t>
      </w:r>
    </w:p>
    <w:p w14:paraId="74E67E4F" w14:textId="1C162352" w:rsidR="00A83053" w:rsidRPr="006075A4" w:rsidRDefault="00A83053" w:rsidP="000263B4">
      <w:pP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On 13 May 2015, the European Commission adopted country-specific economic policy recommendations for 2015 and </w:t>
      </w:r>
      <w:r w:rsidR="006075A4" w:rsidRPr="006075A4">
        <w:rPr>
          <w:rFonts w:ascii="Calibri" w:eastAsia="Calibri" w:hAnsi="Calibri" w:cs="Times New Roman"/>
          <w:lang w:val="en-GB"/>
        </w:rPr>
        <w:t>2016 asking for national action</w:t>
      </w:r>
      <w:r w:rsidRPr="006075A4">
        <w:rPr>
          <w:rFonts w:ascii="Calibri" w:eastAsia="Calibri" w:hAnsi="Calibri" w:cs="Times New Roman"/>
          <w:lang w:val="en-GB"/>
        </w:rPr>
        <w:t xml:space="preserve"> to create jobs and stimulate growth. The Commission is making recommendations for 26 countries and for the </w:t>
      </w:r>
      <w:r w:rsidR="00FE6920" w:rsidRPr="006075A4">
        <w:rPr>
          <w:rFonts w:ascii="Calibri" w:eastAsia="Calibri" w:hAnsi="Calibri" w:cs="Times New Roman"/>
          <w:lang w:val="en-GB"/>
        </w:rPr>
        <w:t>e</w:t>
      </w:r>
      <w:r w:rsidRPr="006075A4">
        <w:rPr>
          <w:rFonts w:ascii="Calibri" w:eastAsia="Calibri" w:hAnsi="Calibri" w:cs="Times New Roman"/>
          <w:lang w:val="en-GB"/>
        </w:rPr>
        <w:t xml:space="preserve">uro area as a </w:t>
      </w:r>
      <w:r w:rsidR="006075A4" w:rsidRPr="006075A4">
        <w:rPr>
          <w:rFonts w:ascii="Calibri" w:eastAsia="Calibri" w:hAnsi="Calibri" w:cs="Times New Roman"/>
          <w:lang w:val="en-GB"/>
        </w:rPr>
        <w:t>whole, based on detailed analysi</w:t>
      </w:r>
      <w:r w:rsidRPr="006075A4">
        <w:rPr>
          <w:rFonts w:ascii="Calibri" w:eastAsia="Calibri" w:hAnsi="Calibri" w:cs="Times New Roman"/>
          <w:lang w:val="en-GB"/>
        </w:rPr>
        <w:t xml:space="preserve">s of each </w:t>
      </w:r>
      <w:r w:rsidR="006075A4" w:rsidRPr="006075A4">
        <w:rPr>
          <w:rFonts w:ascii="Calibri" w:eastAsia="Calibri" w:hAnsi="Calibri" w:cs="Times New Roman"/>
          <w:lang w:val="en-GB"/>
        </w:rPr>
        <w:t>national</w:t>
      </w:r>
      <w:r w:rsidRPr="006075A4">
        <w:rPr>
          <w:rFonts w:ascii="Calibri" w:eastAsia="Calibri" w:hAnsi="Calibri" w:cs="Times New Roman"/>
          <w:lang w:val="en-GB"/>
        </w:rPr>
        <w:t xml:space="preserve"> situation and reflecting</w:t>
      </w:r>
      <w:r w:rsidR="00FE6920" w:rsidRPr="006075A4">
        <w:rPr>
          <w:rFonts w:ascii="Calibri" w:eastAsia="Calibri" w:hAnsi="Calibri" w:cs="Times New Roman"/>
          <w:lang w:val="en-GB"/>
        </w:rPr>
        <w:t xml:space="preserve"> current EU policy priorities</w:t>
      </w:r>
      <w:r w:rsidRPr="006075A4">
        <w:rPr>
          <w:rFonts w:ascii="Calibri" w:eastAsia="Calibri" w:hAnsi="Calibri" w:cs="Times New Roman"/>
          <w:lang w:val="en-GB"/>
        </w:rPr>
        <w:t xml:space="preserve">. </w:t>
      </w:r>
      <w:r w:rsidR="00FE6920" w:rsidRPr="006075A4">
        <w:rPr>
          <w:rFonts w:ascii="Calibri" w:eastAsia="Calibri" w:hAnsi="Calibri" w:cs="Times New Roman"/>
          <w:lang w:val="en-GB"/>
        </w:rPr>
        <w:t>These priorities include</w:t>
      </w:r>
      <w:r w:rsidR="006075A4" w:rsidRPr="006075A4">
        <w:rPr>
          <w:rFonts w:ascii="Calibri" w:eastAsia="Calibri" w:hAnsi="Calibri" w:cs="Times New Roman"/>
          <w:lang w:val="en-GB"/>
        </w:rPr>
        <w:t>;</w:t>
      </w:r>
      <w:r w:rsidR="00FE6920" w:rsidRPr="006075A4">
        <w:rPr>
          <w:rFonts w:ascii="Calibri" w:eastAsia="Calibri" w:hAnsi="Calibri" w:cs="Times New Roman"/>
          <w:lang w:val="en-GB"/>
        </w:rPr>
        <w:t xml:space="preserve"> “</w:t>
      </w:r>
      <w:r w:rsidRPr="006075A4">
        <w:rPr>
          <w:rFonts w:ascii="Calibri" w:eastAsia="Calibri" w:hAnsi="Calibri" w:cs="Times New Roman"/>
          <w:i/>
          <w:lang w:val="en-GB"/>
        </w:rPr>
        <w:t xml:space="preserve">improving employment </w:t>
      </w:r>
      <w:r w:rsidRPr="006075A4">
        <w:rPr>
          <w:rFonts w:ascii="Calibri" w:eastAsia="Calibri" w:hAnsi="Calibri" w:cs="Times New Roman"/>
          <w:i/>
          <w:lang w:val="en-GB"/>
        </w:rPr>
        <w:lastRenderedPageBreak/>
        <w:t>policy and social protection to enable, support and protect people throughout their lives and to ensure stronger social cohesion as a key component of sustainable economic growth</w:t>
      </w:r>
      <w:r w:rsidR="00FE6920" w:rsidRPr="006075A4">
        <w:rPr>
          <w:rFonts w:ascii="Calibri" w:eastAsia="Calibri" w:hAnsi="Calibri" w:cs="Times New Roman"/>
          <w:lang w:val="en-GB"/>
        </w:rPr>
        <w:t>”</w:t>
      </w:r>
      <w:r w:rsidRPr="006075A4">
        <w:rPr>
          <w:rFonts w:ascii="Calibri" w:eastAsia="Calibri" w:hAnsi="Calibri" w:cs="Times New Roman"/>
          <w:lang w:val="en-GB"/>
        </w:rPr>
        <w:t>.</w:t>
      </w:r>
    </w:p>
    <w:p w14:paraId="187F6119" w14:textId="6CD190BD" w:rsidR="00A34EB9" w:rsidRPr="006075A4" w:rsidRDefault="00FE6920" w:rsidP="000263B4">
      <w:pPr>
        <w:spacing w:line="240" w:lineRule="auto"/>
        <w:rPr>
          <w:rFonts w:ascii="Calibri" w:eastAsia="Calibri" w:hAnsi="Calibri" w:cs="Times New Roman"/>
          <w:lang w:val="en-GB"/>
        </w:rPr>
      </w:pPr>
      <w:r w:rsidRPr="006075A4">
        <w:rPr>
          <w:rFonts w:ascii="Calibri" w:eastAsia="Calibri" w:hAnsi="Calibri" w:cs="Times New Roman"/>
          <w:lang w:val="en-GB"/>
        </w:rPr>
        <w:t xml:space="preserve">More information and detailed country-specific recommendations are available </w:t>
      </w:r>
      <w:hyperlink r:id="rId20" w:history="1">
        <w:r w:rsidRPr="006075A4">
          <w:rPr>
            <w:rStyle w:val="Hyperlink"/>
            <w:rFonts w:ascii="Calibri" w:eastAsia="Calibri" w:hAnsi="Calibri" w:cs="Times New Roman"/>
            <w:lang w:val="en-GB"/>
          </w:rPr>
          <w:t>here</w:t>
        </w:r>
      </w:hyperlink>
      <w:r w:rsidRPr="006075A4">
        <w:rPr>
          <w:rFonts w:ascii="Calibri" w:eastAsia="Calibri" w:hAnsi="Calibri" w:cs="Times New Roman"/>
          <w:lang w:val="en-GB"/>
        </w:rPr>
        <w:t xml:space="preserve">. </w:t>
      </w:r>
      <w:r w:rsidR="00542158" w:rsidRPr="006075A4">
        <w:rPr>
          <w:rFonts w:ascii="Calibri" w:eastAsia="Calibri" w:hAnsi="Calibri" w:cs="Times New Roman"/>
          <w:lang w:val="en-GB"/>
        </w:rPr>
        <w:br/>
      </w:r>
    </w:p>
    <w:p w14:paraId="69BCC9B5" w14:textId="77777777" w:rsidR="000F79AC" w:rsidRPr="006075A4" w:rsidRDefault="000F79AC" w:rsidP="000263B4">
      <w:pPr>
        <w:pStyle w:val="ListParagraph"/>
        <w:numPr>
          <w:ilvl w:val="0"/>
          <w:numId w:val="23"/>
        </w:numPr>
        <w:spacing w:line="240" w:lineRule="auto"/>
        <w:jc w:val="both"/>
        <w:rPr>
          <w:rFonts w:ascii="Calibri" w:eastAsia="Calibri" w:hAnsi="Calibri" w:cs="Times New Roman"/>
          <w:b/>
          <w:lang w:val="en-GB"/>
        </w:rPr>
      </w:pPr>
      <w:r w:rsidRPr="006075A4">
        <w:rPr>
          <w:rFonts w:ascii="Calibri" w:eastAsia="Calibri" w:hAnsi="Calibri" w:cs="Times New Roman"/>
          <w:b/>
          <w:lang w:val="en-GB"/>
        </w:rPr>
        <w:t xml:space="preserve">The European Ombudsman publishes guidelines </w:t>
      </w:r>
      <w:r w:rsidR="00A34EB9" w:rsidRPr="006075A4">
        <w:rPr>
          <w:rFonts w:ascii="Calibri" w:eastAsia="Calibri" w:hAnsi="Calibri" w:cs="Times New Roman"/>
          <w:b/>
          <w:lang w:val="en-GB"/>
        </w:rPr>
        <w:t xml:space="preserve">to </w:t>
      </w:r>
      <w:r w:rsidRPr="006075A4">
        <w:rPr>
          <w:rFonts w:ascii="Calibri" w:eastAsia="Calibri" w:hAnsi="Calibri" w:cs="Times New Roman"/>
          <w:b/>
          <w:lang w:val="en-GB"/>
        </w:rPr>
        <w:t>ensure consistency of the EU cohesion policy with the EU Charter of Fundamental Rights</w:t>
      </w:r>
    </w:p>
    <w:p w14:paraId="0A93057D" w14:textId="77777777" w:rsidR="000F79AC" w:rsidRPr="006075A4" w:rsidRDefault="000F79AC" w:rsidP="000263B4">
      <w:pP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In May 2014, the European Ombudsman opened an own-initiative inquiry concerning </w:t>
      </w:r>
      <w:r w:rsidR="009B4DBA" w:rsidRPr="006075A4">
        <w:rPr>
          <w:rFonts w:ascii="Calibri" w:eastAsia="Calibri" w:hAnsi="Calibri" w:cs="Times New Roman"/>
          <w:lang w:val="en-GB"/>
        </w:rPr>
        <w:t>“</w:t>
      </w:r>
      <w:r w:rsidRPr="006075A4">
        <w:rPr>
          <w:rFonts w:ascii="Calibri" w:eastAsia="Calibri" w:hAnsi="Calibri" w:cs="Times New Roman"/>
          <w:lang w:val="en-GB"/>
        </w:rPr>
        <w:t>how the European Commission ensures that the fundamental rights enshrined in the Charter of Fundamental Rights of the European Union are complied with when EU cohesion policy is implemented by Member States</w:t>
      </w:r>
      <w:r w:rsidR="009B4DBA" w:rsidRPr="006075A4">
        <w:rPr>
          <w:rFonts w:ascii="Calibri" w:eastAsia="Calibri" w:hAnsi="Calibri" w:cs="Times New Roman"/>
          <w:lang w:val="en-GB"/>
        </w:rPr>
        <w:t>”</w:t>
      </w:r>
      <w:r w:rsidRPr="006075A4">
        <w:rPr>
          <w:rFonts w:ascii="Calibri" w:eastAsia="Calibri" w:hAnsi="Calibri" w:cs="Times New Roman"/>
          <w:lang w:val="en-GB"/>
        </w:rPr>
        <w:t>.</w:t>
      </w:r>
      <w:r w:rsidRPr="006075A4">
        <w:rPr>
          <w:lang w:val="en-GB"/>
        </w:rPr>
        <w:t xml:space="preserve"> </w:t>
      </w:r>
      <w:r w:rsidRPr="006075A4">
        <w:rPr>
          <w:rFonts w:ascii="Calibri" w:eastAsia="Calibri" w:hAnsi="Calibri" w:cs="Times New Roman"/>
          <w:lang w:val="en-GB"/>
        </w:rPr>
        <w:t>The own-initiative inquiry has involved the European Commission, national ombudsmen and representatives of civil society. As a result, the Ombudsman has produced eight guidelines for improvement to support the Commission as it supervises the Member States in this area.</w:t>
      </w:r>
    </w:p>
    <w:p w14:paraId="454652FE" w14:textId="77777777" w:rsidR="000F79AC" w:rsidRPr="006075A4" w:rsidRDefault="000F79AC" w:rsidP="000263B4">
      <w:pPr>
        <w:pBdr>
          <w:bottom w:val="dotted" w:sz="4" w:space="1" w:color="auto"/>
        </w:pBd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More information about the inquiry and full guidelines are available </w:t>
      </w:r>
      <w:hyperlink r:id="rId21" w:history="1">
        <w:r w:rsidRPr="006075A4">
          <w:rPr>
            <w:rStyle w:val="Hyperlink"/>
            <w:rFonts w:ascii="Calibri" w:eastAsia="Calibri" w:hAnsi="Calibri" w:cs="Times New Roman"/>
            <w:lang w:val="en-GB"/>
          </w:rPr>
          <w:t>here</w:t>
        </w:r>
      </w:hyperlink>
      <w:r w:rsidRPr="006075A4">
        <w:rPr>
          <w:rFonts w:ascii="Calibri" w:eastAsia="Calibri" w:hAnsi="Calibri" w:cs="Times New Roman"/>
          <w:lang w:val="en-GB"/>
        </w:rPr>
        <w:t xml:space="preserve">. </w:t>
      </w:r>
    </w:p>
    <w:p w14:paraId="1FD19623" w14:textId="77777777" w:rsidR="0034362B" w:rsidRPr="006075A4" w:rsidRDefault="0034362B" w:rsidP="000263B4">
      <w:pPr>
        <w:pBdr>
          <w:bottom w:val="dotted" w:sz="4" w:space="1" w:color="auto"/>
        </w:pBdr>
        <w:spacing w:line="240" w:lineRule="auto"/>
        <w:jc w:val="both"/>
        <w:rPr>
          <w:rFonts w:ascii="Calibri" w:eastAsia="Calibri" w:hAnsi="Calibri" w:cs="Times New Roman"/>
          <w:lang w:val="en-GB"/>
        </w:rPr>
      </w:pPr>
    </w:p>
    <w:p w14:paraId="0A3A3F3B" w14:textId="7A470CE7" w:rsidR="00542158" w:rsidRPr="006075A4" w:rsidRDefault="00C842B1" w:rsidP="000263B4">
      <w:pPr>
        <w:pStyle w:val="Heading2"/>
        <w:spacing w:line="240" w:lineRule="auto"/>
        <w:rPr>
          <w:lang w:val="en-GB"/>
        </w:rPr>
      </w:pPr>
      <w:bookmarkStart w:id="13" w:name="_Ref421267526"/>
      <w:r w:rsidRPr="006075A4">
        <w:rPr>
          <w:lang w:val="en-GB"/>
        </w:rPr>
        <w:t>Gender Equality</w:t>
      </w:r>
      <w:bookmarkEnd w:id="13"/>
      <w:r w:rsidR="00542158" w:rsidRPr="006075A4">
        <w:rPr>
          <w:lang w:val="en-GB"/>
        </w:rPr>
        <w:br/>
      </w:r>
    </w:p>
    <w:p w14:paraId="2792B6BE" w14:textId="67E69E15" w:rsidR="00C92B6C" w:rsidRPr="006075A4" w:rsidRDefault="00A34EB9" w:rsidP="000263B4">
      <w:pPr>
        <w:pStyle w:val="ListParagraph"/>
        <w:numPr>
          <w:ilvl w:val="0"/>
          <w:numId w:val="22"/>
        </w:numPr>
        <w:spacing w:line="240" w:lineRule="auto"/>
        <w:jc w:val="both"/>
        <w:rPr>
          <w:b/>
          <w:lang w:val="en-GB"/>
        </w:rPr>
      </w:pPr>
      <w:r w:rsidRPr="006075A4">
        <w:rPr>
          <w:b/>
          <w:lang w:val="en-GB"/>
        </w:rPr>
        <w:t xml:space="preserve">The </w:t>
      </w:r>
      <w:r w:rsidR="00C92B6C" w:rsidRPr="006075A4">
        <w:rPr>
          <w:b/>
          <w:lang w:val="en-GB"/>
        </w:rPr>
        <w:t xml:space="preserve">European Parliament </w:t>
      </w:r>
      <w:r w:rsidRPr="006075A4">
        <w:rPr>
          <w:b/>
          <w:lang w:val="en-GB"/>
        </w:rPr>
        <w:t xml:space="preserve">adopts a resolution calling on the European Commission to push the adoption of the </w:t>
      </w:r>
      <w:r w:rsidR="00C92B6C" w:rsidRPr="006075A4">
        <w:rPr>
          <w:b/>
          <w:lang w:val="en-GB"/>
        </w:rPr>
        <w:t>Maternity Leave Directive</w:t>
      </w:r>
    </w:p>
    <w:p w14:paraId="4279531E" w14:textId="4B9BE397" w:rsidR="00C842B1" w:rsidRPr="006075A4" w:rsidRDefault="001E3467" w:rsidP="000263B4">
      <w:pPr>
        <w:pBdr>
          <w:bottom w:val="dotted" w:sz="4" w:space="1" w:color="auto"/>
        </w:pBdr>
        <w:spacing w:line="240" w:lineRule="auto"/>
        <w:jc w:val="both"/>
        <w:rPr>
          <w:lang w:val="en-GB"/>
        </w:rPr>
      </w:pPr>
      <w:r w:rsidRPr="006075A4">
        <w:rPr>
          <w:lang w:val="en-GB"/>
        </w:rPr>
        <w:t>In May 2015, t</w:t>
      </w:r>
      <w:r w:rsidR="0060251B" w:rsidRPr="006075A4">
        <w:rPr>
          <w:lang w:val="en-GB"/>
        </w:rPr>
        <w:t xml:space="preserve">he European Parliament adopted </w:t>
      </w:r>
      <w:hyperlink r:id="rId22" w:history="1">
        <w:r w:rsidR="0060251B" w:rsidRPr="006075A4">
          <w:rPr>
            <w:rStyle w:val="Hyperlink"/>
            <w:lang w:val="en-GB"/>
          </w:rPr>
          <w:t>a resolution</w:t>
        </w:r>
      </w:hyperlink>
      <w:r w:rsidR="0060251B" w:rsidRPr="006075A4">
        <w:rPr>
          <w:lang w:val="en-GB"/>
        </w:rPr>
        <w:t xml:space="preserve"> </w:t>
      </w:r>
      <w:r w:rsidR="00A34EB9" w:rsidRPr="006075A4">
        <w:rPr>
          <w:lang w:val="en-GB"/>
        </w:rPr>
        <w:t>urging</w:t>
      </w:r>
      <w:r w:rsidR="0060251B" w:rsidRPr="006075A4">
        <w:rPr>
          <w:lang w:val="en-GB"/>
        </w:rPr>
        <w:t xml:space="preserve"> Member States to </w:t>
      </w:r>
      <w:r w:rsidR="00A34EB9" w:rsidRPr="006075A4">
        <w:rPr>
          <w:lang w:val="en-GB"/>
        </w:rPr>
        <w:t>resume</w:t>
      </w:r>
      <w:r w:rsidR="0060251B" w:rsidRPr="006075A4">
        <w:rPr>
          <w:lang w:val="en-GB"/>
        </w:rPr>
        <w:t xml:space="preserve"> n</w:t>
      </w:r>
      <w:r w:rsidR="00C92B6C" w:rsidRPr="006075A4">
        <w:rPr>
          <w:lang w:val="en-GB"/>
        </w:rPr>
        <w:t xml:space="preserve">egotiations on the </w:t>
      </w:r>
      <w:hyperlink r:id="rId23" w:history="1">
        <w:r w:rsidR="00C92B6C" w:rsidRPr="006075A4">
          <w:rPr>
            <w:rStyle w:val="Hyperlink"/>
            <w:lang w:val="en-GB"/>
          </w:rPr>
          <w:t xml:space="preserve">proposal </w:t>
        </w:r>
        <w:r w:rsidRPr="006075A4">
          <w:rPr>
            <w:rStyle w:val="Hyperlink"/>
            <w:lang w:val="en-GB"/>
          </w:rPr>
          <w:t>of Maternity Leave Directive</w:t>
        </w:r>
      </w:hyperlink>
      <w:r w:rsidRPr="006075A4">
        <w:rPr>
          <w:lang w:val="en-GB"/>
        </w:rPr>
        <w:t xml:space="preserve"> which</w:t>
      </w:r>
      <w:r w:rsidR="00C92B6C" w:rsidRPr="006075A4">
        <w:rPr>
          <w:lang w:val="en-GB"/>
        </w:rPr>
        <w:t xml:space="preserve"> ha</w:t>
      </w:r>
      <w:r w:rsidR="00255FDB" w:rsidRPr="006075A4">
        <w:rPr>
          <w:lang w:val="en-GB"/>
        </w:rPr>
        <w:t>ve</w:t>
      </w:r>
      <w:r w:rsidR="00C92B6C" w:rsidRPr="006075A4">
        <w:rPr>
          <w:lang w:val="en-GB"/>
        </w:rPr>
        <w:t xml:space="preserve"> been blocked for four years</w:t>
      </w:r>
      <w:r w:rsidR="00255FDB" w:rsidRPr="006075A4">
        <w:rPr>
          <w:lang w:val="en-GB"/>
        </w:rPr>
        <w:t xml:space="preserve"> (see </w:t>
      </w:r>
      <w:hyperlink r:id="rId24" w:history="1">
        <w:r w:rsidR="00255FDB" w:rsidRPr="006075A4">
          <w:rPr>
            <w:rStyle w:val="Hyperlink"/>
            <w:lang w:val="en-GB"/>
          </w:rPr>
          <w:t>Members’ Bulletin #6</w:t>
        </w:r>
      </w:hyperlink>
      <w:r w:rsidR="00255FDB" w:rsidRPr="006075A4">
        <w:rPr>
          <w:lang w:val="en-GB"/>
        </w:rPr>
        <w:t>)</w:t>
      </w:r>
      <w:r w:rsidR="00C92B6C" w:rsidRPr="006075A4">
        <w:rPr>
          <w:lang w:val="en-GB"/>
        </w:rPr>
        <w:t xml:space="preserve">. </w:t>
      </w:r>
      <w:r w:rsidRPr="006075A4">
        <w:rPr>
          <w:lang w:val="en-GB"/>
        </w:rPr>
        <w:t xml:space="preserve">In the resolution, </w:t>
      </w:r>
      <w:r w:rsidR="0060251B" w:rsidRPr="006075A4">
        <w:rPr>
          <w:lang w:val="en-GB"/>
        </w:rPr>
        <w:t xml:space="preserve">the </w:t>
      </w:r>
      <w:r w:rsidRPr="006075A4">
        <w:rPr>
          <w:lang w:val="en-GB"/>
        </w:rPr>
        <w:t xml:space="preserve">European </w:t>
      </w:r>
      <w:r w:rsidR="0060251B" w:rsidRPr="006075A4">
        <w:rPr>
          <w:lang w:val="en-GB"/>
        </w:rPr>
        <w:t xml:space="preserve">Parliament also </w:t>
      </w:r>
      <w:r w:rsidR="00A34EB9" w:rsidRPr="006075A4">
        <w:rPr>
          <w:lang w:val="en-GB"/>
        </w:rPr>
        <w:t xml:space="preserve">calls on the </w:t>
      </w:r>
      <w:r w:rsidR="00C92B6C" w:rsidRPr="006075A4">
        <w:rPr>
          <w:lang w:val="en-GB"/>
        </w:rPr>
        <w:t xml:space="preserve">European Commission to </w:t>
      </w:r>
      <w:r w:rsidRPr="006075A4">
        <w:rPr>
          <w:lang w:val="en-GB"/>
        </w:rPr>
        <w:t xml:space="preserve">immediately </w:t>
      </w:r>
      <w:r w:rsidR="00C92B6C" w:rsidRPr="006075A4">
        <w:rPr>
          <w:lang w:val="en-GB"/>
        </w:rPr>
        <w:t xml:space="preserve">propose a new legislation in case of withdrawal of </w:t>
      </w:r>
      <w:r w:rsidRPr="006075A4">
        <w:rPr>
          <w:lang w:val="en-GB"/>
        </w:rPr>
        <w:t>the proposal.</w:t>
      </w:r>
      <w:bookmarkStart w:id="14" w:name="_Toc418770748"/>
      <w:bookmarkStart w:id="15" w:name="_Ref418784315"/>
      <w:bookmarkStart w:id="16" w:name="_Ref418784316"/>
      <w:bookmarkEnd w:id="11"/>
      <w:bookmarkEnd w:id="12"/>
      <w:r w:rsidRPr="006075A4">
        <w:rPr>
          <w:lang w:val="en-GB"/>
        </w:rPr>
        <w:tab/>
      </w:r>
      <w:r w:rsidR="00A34EB9" w:rsidRPr="006075A4">
        <w:rPr>
          <w:lang w:val="en-GB"/>
        </w:rPr>
        <w:br/>
      </w:r>
    </w:p>
    <w:p w14:paraId="4376734D" w14:textId="77777777" w:rsidR="00624AFF" w:rsidRPr="006075A4" w:rsidRDefault="00D05673" w:rsidP="000263B4">
      <w:pPr>
        <w:pStyle w:val="Heading2"/>
        <w:spacing w:line="240" w:lineRule="auto"/>
        <w:rPr>
          <w:rFonts w:ascii="Calibri" w:eastAsia="Calibri" w:hAnsi="Calibri" w:cs="Times New Roman"/>
          <w:color w:val="auto"/>
          <w:sz w:val="22"/>
          <w:szCs w:val="22"/>
          <w:lang w:val="en-GB"/>
        </w:rPr>
      </w:pPr>
      <w:bookmarkStart w:id="17" w:name="_Ref421267530"/>
      <w:r w:rsidRPr="006075A4">
        <w:rPr>
          <w:lang w:val="en-GB"/>
        </w:rPr>
        <w:t>Sexual Orientation and Gender Identity</w:t>
      </w:r>
      <w:bookmarkEnd w:id="14"/>
      <w:bookmarkEnd w:id="15"/>
      <w:bookmarkEnd w:id="16"/>
      <w:bookmarkEnd w:id="17"/>
      <w:r w:rsidR="001E3467" w:rsidRPr="006075A4">
        <w:rPr>
          <w:lang w:val="en-GB"/>
        </w:rPr>
        <w:br/>
      </w:r>
    </w:p>
    <w:p w14:paraId="32321CCD" w14:textId="77777777" w:rsidR="00624AFF" w:rsidRPr="006075A4" w:rsidRDefault="001E3467" w:rsidP="000263B4">
      <w:pPr>
        <w:pStyle w:val="ListParagraph"/>
        <w:numPr>
          <w:ilvl w:val="0"/>
          <w:numId w:val="20"/>
        </w:numPr>
        <w:spacing w:line="240" w:lineRule="auto"/>
        <w:rPr>
          <w:b/>
          <w:lang w:val="en-GB"/>
        </w:rPr>
      </w:pPr>
      <w:r w:rsidRPr="006075A4">
        <w:rPr>
          <w:b/>
          <w:lang w:val="en-GB"/>
        </w:rPr>
        <w:t>EU Commissioner Vera Jourova</w:t>
      </w:r>
      <w:r w:rsidR="00624AFF" w:rsidRPr="006075A4">
        <w:rPr>
          <w:b/>
          <w:lang w:val="en-GB"/>
        </w:rPr>
        <w:t xml:space="preserve"> commits to LGBTI </w:t>
      </w:r>
      <w:r w:rsidRPr="006075A4">
        <w:rPr>
          <w:b/>
          <w:lang w:val="en-GB"/>
        </w:rPr>
        <w:t>Action Plan in 2015</w:t>
      </w:r>
    </w:p>
    <w:p w14:paraId="3C9460A2" w14:textId="6BAC4702" w:rsidR="00A975CF" w:rsidRPr="006075A4" w:rsidRDefault="00A975CF" w:rsidP="000263B4">
      <w:pPr>
        <w:pBdr>
          <w:bottom w:val="dotted" w:sz="4" w:space="1" w:color="auto"/>
        </w:pBdr>
        <w:spacing w:line="240" w:lineRule="auto"/>
        <w:jc w:val="both"/>
        <w:rPr>
          <w:lang w:val="en-GB"/>
        </w:rPr>
      </w:pPr>
      <w:r w:rsidRPr="006075A4">
        <w:rPr>
          <w:lang w:val="en-GB"/>
        </w:rPr>
        <w:t xml:space="preserve">The EU Commissioner for Justice, Consumers and Gender Equality committed to </w:t>
      </w:r>
      <w:hyperlink r:id="rId25" w:history="1">
        <w:r w:rsidRPr="006075A4">
          <w:rPr>
            <w:rStyle w:val="Hyperlink"/>
            <w:lang w:val="en-GB"/>
          </w:rPr>
          <w:t>prepare a LGBTI Action Plan or Roadmap in the course of 2015</w:t>
        </w:r>
      </w:hyperlink>
      <w:r w:rsidRPr="006075A4">
        <w:rPr>
          <w:lang w:val="en-GB"/>
        </w:rPr>
        <w:t>. This</w:t>
      </w:r>
      <w:r w:rsidR="009B4DBA" w:rsidRPr="006075A4">
        <w:rPr>
          <w:lang w:val="en-GB"/>
        </w:rPr>
        <w:t xml:space="preserve"> announcement comes in response to demands</w:t>
      </w:r>
      <w:r w:rsidRPr="006075A4">
        <w:rPr>
          <w:lang w:val="en-GB"/>
        </w:rPr>
        <w:t xml:space="preserve"> from civil society </w:t>
      </w:r>
      <w:r w:rsidR="006075A4" w:rsidRPr="006075A4">
        <w:rPr>
          <w:lang w:val="en-GB"/>
        </w:rPr>
        <w:t>organisations</w:t>
      </w:r>
      <w:r w:rsidRPr="006075A4">
        <w:rPr>
          <w:lang w:val="en-GB"/>
        </w:rPr>
        <w:t xml:space="preserve"> and the European Parliament, which adopted in 2014 </w:t>
      </w:r>
      <w:hyperlink r:id="rId26" w:history="1">
        <w:r w:rsidRPr="006075A4">
          <w:rPr>
            <w:rStyle w:val="Hyperlink"/>
            <w:lang w:val="en-GB"/>
          </w:rPr>
          <w:t>a non-binding recommendation</w:t>
        </w:r>
      </w:hyperlink>
      <w:r w:rsidRPr="006075A4">
        <w:rPr>
          <w:lang w:val="en-GB"/>
        </w:rPr>
        <w:t xml:space="preserve"> for a future EU roadmap against homophobia and discrimination on grounds of sexual orientation and gender identity.</w:t>
      </w:r>
      <w:r w:rsidR="0034362B" w:rsidRPr="006075A4">
        <w:rPr>
          <w:lang w:val="en-GB"/>
        </w:rPr>
        <w:br/>
      </w:r>
    </w:p>
    <w:p w14:paraId="33EB7810" w14:textId="77777777" w:rsidR="004A7771" w:rsidRPr="006075A4" w:rsidRDefault="004A7771" w:rsidP="000263B4">
      <w:pPr>
        <w:pStyle w:val="Heading2"/>
        <w:spacing w:line="240" w:lineRule="auto"/>
        <w:rPr>
          <w:lang w:val="en-GB"/>
        </w:rPr>
      </w:pPr>
      <w:bookmarkStart w:id="18" w:name="_Toc418770749"/>
      <w:bookmarkStart w:id="19" w:name="_Ref418784327"/>
      <w:bookmarkStart w:id="20" w:name="_Ref421267533"/>
      <w:r w:rsidRPr="006075A4">
        <w:rPr>
          <w:lang w:val="en-GB"/>
        </w:rPr>
        <w:t>Religion and Belief</w:t>
      </w:r>
      <w:bookmarkEnd w:id="18"/>
      <w:bookmarkEnd w:id="19"/>
      <w:bookmarkEnd w:id="20"/>
      <w:r w:rsidRPr="006075A4">
        <w:rPr>
          <w:lang w:val="en-GB"/>
        </w:rPr>
        <w:br/>
      </w:r>
    </w:p>
    <w:p w14:paraId="6B69D9AC" w14:textId="77777777" w:rsidR="00871587" w:rsidRPr="006075A4" w:rsidRDefault="00871587" w:rsidP="000263B4">
      <w:pPr>
        <w:pStyle w:val="ListParagraph"/>
        <w:numPr>
          <w:ilvl w:val="0"/>
          <w:numId w:val="19"/>
        </w:numPr>
        <w:spacing w:line="240" w:lineRule="auto"/>
        <w:jc w:val="both"/>
        <w:rPr>
          <w:b/>
          <w:lang w:val="en-GB"/>
        </w:rPr>
      </w:pPr>
      <w:r w:rsidRPr="006075A4">
        <w:rPr>
          <w:b/>
          <w:lang w:val="en-GB"/>
        </w:rPr>
        <w:t>Publication of the draft agenda of the Annual Colloquium on Fundamental Rights (1 and 2 October 2015, Brussels)</w:t>
      </w:r>
    </w:p>
    <w:p w14:paraId="56D08FD9" w14:textId="124E40FA" w:rsidR="00A965AC" w:rsidRPr="006075A4" w:rsidRDefault="00871587" w:rsidP="000263B4">
      <w:pPr>
        <w:spacing w:line="240" w:lineRule="auto"/>
        <w:jc w:val="both"/>
        <w:rPr>
          <w:lang w:val="en-GB"/>
        </w:rPr>
      </w:pPr>
      <w:r w:rsidRPr="006075A4">
        <w:rPr>
          <w:lang w:val="en-GB"/>
        </w:rPr>
        <w:t>The d</w:t>
      </w:r>
      <w:r w:rsidR="00A965AC" w:rsidRPr="006075A4">
        <w:rPr>
          <w:lang w:val="en-GB"/>
        </w:rPr>
        <w:t xml:space="preserve">raft programme of the </w:t>
      </w:r>
      <w:r w:rsidRPr="006075A4">
        <w:rPr>
          <w:lang w:val="en-GB"/>
        </w:rPr>
        <w:t xml:space="preserve">Annual Colloquium on Fundamental Rights </w:t>
      </w:r>
      <w:hyperlink r:id="rId27" w:history="1">
        <w:r w:rsidRPr="006075A4">
          <w:rPr>
            <w:rStyle w:val="Hyperlink"/>
            <w:lang w:val="en-GB"/>
          </w:rPr>
          <w:t>has been published</w:t>
        </w:r>
      </w:hyperlink>
      <w:r w:rsidRPr="006075A4">
        <w:rPr>
          <w:lang w:val="en-GB"/>
        </w:rPr>
        <w:t xml:space="preserve">. The </w:t>
      </w:r>
      <w:r w:rsidR="000263B4" w:rsidRPr="006075A4">
        <w:rPr>
          <w:lang w:val="en-GB"/>
        </w:rPr>
        <w:t>C</w:t>
      </w:r>
      <w:r w:rsidRPr="006075A4">
        <w:rPr>
          <w:lang w:val="en-GB"/>
        </w:rPr>
        <w:t>olloquium is organised by the European Commission and will take place on 1</w:t>
      </w:r>
      <w:r w:rsidRPr="006075A4">
        <w:rPr>
          <w:vertAlign w:val="superscript"/>
          <w:lang w:val="en-GB"/>
        </w:rPr>
        <w:t>st</w:t>
      </w:r>
      <w:r w:rsidRPr="006075A4">
        <w:rPr>
          <w:lang w:val="en-GB"/>
        </w:rPr>
        <w:t xml:space="preserve"> and 2</w:t>
      </w:r>
      <w:r w:rsidRPr="006075A4">
        <w:rPr>
          <w:vertAlign w:val="superscript"/>
          <w:lang w:val="en-GB"/>
        </w:rPr>
        <w:t>nd</w:t>
      </w:r>
      <w:r w:rsidRPr="006075A4">
        <w:rPr>
          <w:lang w:val="en-GB"/>
        </w:rPr>
        <w:t xml:space="preserve"> October 2015 in Brussels. It will address discrimination on the</w:t>
      </w:r>
      <w:r w:rsidR="006075A4" w:rsidRPr="006075A4">
        <w:rPr>
          <w:lang w:val="en-GB"/>
        </w:rPr>
        <w:t xml:space="preserve"> grounds of religion and belief, as well as</w:t>
      </w:r>
      <w:r w:rsidRPr="006075A4">
        <w:rPr>
          <w:lang w:val="en-GB"/>
        </w:rPr>
        <w:t xml:space="preserve"> </w:t>
      </w:r>
      <w:r w:rsidR="00FE7DB2" w:rsidRPr="006075A4">
        <w:rPr>
          <w:lang w:val="en-GB"/>
        </w:rPr>
        <w:t>anti-Semitism</w:t>
      </w:r>
      <w:r w:rsidRPr="006075A4">
        <w:rPr>
          <w:lang w:val="en-GB"/>
        </w:rPr>
        <w:t xml:space="preserve"> and islamophobia. </w:t>
      </w:r>
    </w:p>
    <w:p w14:paraId="298670E3" w14:textId="77777777" w:rsidR="0034362B" w:rsidRPr="006075A4" w:rsidRDefault="0034362B" w:rsidP="000263B4">
      <w:pPr>
        <w:pBdr>
          <w:bottom w:val="dotted" w:sz="4" w:space="1" w:color="auto"/>
        </w:pBdr>
        <w:spacing w:line="240" w:lineRule="auto"/>
        <w:jc w:val="both"/>
        <w:rPr>
          <w:lang w:val="en-GB"/>
        </w:rPr>
      </w:pPr>
    </w:p>
    <w:p w14:paraId="791EAFE3" w14:textId="47FBF070" w:rsidR="00AB116C" w:rsidRPr="006075A4" w:rsidRDefault="004A7771" w:rsidP="000263B4">
      <w:pPr>
        <w:pStyle w:val="Heading2"/>
        <w:spacing w:line="240" w:lineRule="auto"/>
        <w:rPr>
          <w:lang w:val="en-GB"/>
        </w:rPr>
      </w:pPr>
      <w:bookmarkStart w:id="21" w:name="_Toc418770750"/>
      <w:bookmarkStart w:id="22" w:name="_Ref418784334"/>
      <w:bookmarkStart w:id="23" w:name="_Ref421267538"/>
      <w:r w:rsidRPr="006075A4">
        <w:rPr>
          <w:lang w:val="en-GB"/>
        </w:rPr>
        <w:lastRenderedPageBreak/>
        <w:t>Disability</w:t>
      </w:r>
      <w:bookmarkEnd w:id="21"/>
      <w:bookmarkEnd w:id="22"/>
      <w:bookmarkEnd w:id="23"/>
      <w:r w:rsidR="00FE7DB2" w:rsidRPr="006075A4">
        <w:rPr>
          <w:rFonts w:ascii="Calibri" w:eastAsia="Calibri" w:hAnsi="Calibri" w:cs="Times New Roman"/>
          <w:color w:val="auto"/>
          <w:sz w:val="22"/>
          <w:szCs w:val="22"/>
          <w:lang w:val="en-GB"/>
        </w:rPr>
        <w:br/>
      </w:r>
    </w:p>
    <w:p w14:paraId="47F4E33E" w14:textId="77777777" w:rsidR="0098311A" w:rsidRPr="006075A4" w:rsidRDefault="0098311A" w:rsidP="000263B4">
      <w:pPr>
        <w:pStyle w:val="ListParagraph"/>
        <w:numPr>
          <w:ilvl w:val="0"/>
          <w:numId w:val="18"/>
        </w:numPr>
        <w:spacing w:line="240" w:lineRule="auto"/>
        <w:rPr>
          <w:b/>
          <w:lang w:val="en-GB"/>
        </w:rPr>
      </w:pPr>
      <w:r w:rsidRPr="006075A4">
        <w:rPr>
          <w:b/>
          <w:lang w:val="en-GB"/>
        </w:rPr>
        <w:t xml:space="preserve">European </w:t>
      </w:r>
      <w:r w:rsidR="00B81B74" w:rsidRPr="006075A4">
        <w:rPr>
          <w:b/>
          <w:lang w:val="en-GB"/>
        </w:rPr>
        <w:t>Parliament’s</w:t>
      </w:r>
      <w:r w:rsidRPr="006075A4">
        <w:rPr>
          <w:b/>
          <w:lang w:val="en-GB"/>
        </w:rPr>
        <w:t xml:space="preserve"> resolution on the UN </w:t>
      </w:r>
      <w:r w:rsidR="00B81B74" w:rsidRPr="006075A4">
        <w:rPr>
          <w:b/>
          <w:lang w:val="en-GB"/>
        </w:rPr>
        <w:t>Convention on the Rights of People with Disabilities</w:t>
      </w:r>
    </w:p>
    <w:p w14:paraId="18BEA6AE" w14:textId="77777777" w:rsidR="005165D2" w:rsidRPr="006075A4" w:rsidRDefault="005165D2" w:rsidP="000263B4">
      <w:pPr>
        <w:spacing w:line="240" w:lineRule="auto"/>
        <w:jc w:val="both"/>
        <w:rPr>
          <w:lang w:val="en-GB"/>
        </w:rPr>
      </w:pPr>
      <w:r w:rsidRPr="006075A4">
        <w:rPr>
          <w:lang w:val="en-GB"/>
        </w:rPr>
        <w:t xml:space="preserve">On May 21 2015, the European Parliament adopted </w:t>
      </w:r>
      <w:hyperlink r:id="rId28" w:history="1">
        <w:r w:rsidRPr="006075A4">
          <w:rPr>
            <w:rStyle w:val="Hyperlink"/>
            <w:lang w:val="en-GB"/>
          </w:rPr>
          <w:t>a resolution</w:t>
        </w:r>
      </w:hyperlink>
      <w:r w:rsidRPr="006075A4">
        <w:rPr>
          <w:lang w:val="en-GB"/>
        </w:rPr>
        <w:t xml:space="preserve"> to express strong support to the full implementation of the UN Convention on the Rights of Persons with Disabilities (UNCRPD). The resolution holds that the European Parliament should engage fully in the monitoring and implementation of the UNCRPD. It mentions the upcoming UN-review of the EU by the UNCRPD committee, and asserts the EP’s support of the adoption of two key pieces of legislation, namely the European Accessibility Act and the Horizontal Directive. </w:t>
      </w:r>
    </w:p>
    <w:p w14:paraId="431BA762" w14:textId="17B47342" w:rsidR="005165D2" w:rsidRPr="006075A4" w:rsidRDefault="005165D2" w:rsidP="000263B4">
      <w:pPr>
        <w:pBdr>
          <w:bottom w:val="dotted" w:sz="4" w:space="1" w:color="auto"/>
        </w:pBdr>
        <w:spacing w:line="240" w:lineRule="auto"/>
        <w:jc w:val="both"/>
        <w:rPr>
          <w:lang w:val="en-GB"/>
        </w:rPr>
      </w:pPr>
      <w:r w:rsidRPr="006075A4">
        <w:rPr>
          <w:lang w:val="en-GB"/>
        </w:rPr>
        <w:t>The adoption of this resolution provides momentum for the EP to strategically implement the UNCRPD within its own structures by finalizing the creation of a ‘Cross-Committee Network on the implementation of the CRPD’. This network could become a strong tool to enable strong and efficient political coordination with other EU institutions.</w:t>
      </w:r>
      <w:r w:rsidR="0034362B" w:rsidRPr="006075A4">
        <w:rPr>
          <w:lang w:val="en-GB"/>
        </w:rPr>
        <w:tab/>
      </w:r>
      <w:r w:rsidR="0034362B" w:rsidRPr="006075A4">
        <w:rPr>
          <w:lang w:val="en-GB"/>
        </w:rPr>
        <w:br/>
      </w:r>
    </w:p>
    <w:p w14:paraId="16F13B09" w14:textId="77777777" w:rsidR="00D05673" w:rsidRPr="006075A4" w:rsidRDefault="00AB116C" w:rsidP="000263B4">
      <w:pPr>
        <w:pStyle w:val="Heading2"/>
        <w:spacing w:line="240" w:lineRule="auto"/>
        <w:rPr>
          <w:lang w:val="en-GB"/>
        </w:rPr>
      </w:pPr>
      <w:bookmarkStart w:id="24" w:name="_Ref421267547"/>
      <w:r w:rsidRPr="006075A4">
        <w:rPr>
          <w:lang w:val="en-GB"/>
        </w:rPr>
        <w:t>Age</w:t>
      </w:r>
      <w:bookmarkEnd w:id="24"/>
      <w:r w:rsidR="00D05673" w:rsidRPr="006075A4">
        <w:rPr>
          <w:lang w:val="en-GB"/>
        </w:rPr>
        <w:br/>
      </w:r>
    </w:p>
    <w:p w14:paraId="3F729958" w14:textId="77777777" w:rsidR="00B81B74" w:rsidRPr="006075A4" w:rsidRDefault="005165D2" w:rsidP="000263B4">
      <w:pPr>
        <w:pStyle w:val="ListParagraph"/>
        <w:numPr>
          <w:ilvl w:val="0"/>
          <w:numId w:val="17"/>
        </w:numPr>
        <w:spacing w:line="240" w:lineRule="auto"/>
        <w:jc w:val="both"/>
        <w:rPr>
          <w:b/>
          <w:lang w:val="en-GB"/>
        </w:rPr>
      </w:pPr>
      <w:r w:rsidRPr="006075A4">
        <w:rPr>
          <w:b/>
          <w:lang w:val="en-GB"/>
        </w:rPr>
        <w:t xml:space="preserve">Council of Europe: </w:t>
      </w:r>
      <w:r w:rsidR="00B81B74" w:rsidRPr="006075A4">
        <w:rPr>
          <w:b/>
          <w:lang w:val="en-GB"/>
        </w:rPr>
        <w:t>Children are not sufficiently protected against corporal punishment in four Member States</w:t>
      </w:r>
    </w:p>
    <w:p w14:paraId="2A718CFA" w14:textId="4AFBF5A3" w:rsidR="00792C11" w:rsidRPr="006075A4" w:rsidRDefault="005165D2" w:rsidP="000263B4">
      <w:pP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The </w:t>
      </w:r>
      <w:r w:rsidR="00792C11" w:rsidRPr="006075A4">
        <w:rPr>
          <w:rFonts w:ascii="Calibri" w:eastAsia="Calibri" w:hAnsi="Calibri" w:cs="Times New Roman"/>
          <w:lang w:val="en-GB"/>
        </w:rPr>
        <w:t xml:space="preserve">Council of Europe’s European Committee of Social Rights (ECSR) </w:t>
      </w:r>
      <w:hyperlink r:id="rId29" w:history="1">
        <w:r w:rsidRPr="006075A4">
          <w:rPr>
            <w:rStyle w:val="Hyperlink"/>
            <w:rFonts w:ascii="Calibri" w:eastAsia="Calibri" w:hAnsi="Calibri" w:cs="Times New Roman"/>
            <w:lang w:val="en-GB"/>
          </w:rPr>
          <w:t>concluded</w:t>
        </w:r>
      </w:hyperlink>
      <w:r w:rsidR="00792C11" w:rsidRPr="006075A4">
        <w:rPr>
          <w:rFonts w:ascii="Calibri" w:eastAsia="Calibri" w:hAnsi="Calibri" w:cs="Times New Roman"/>
          <w:lang w:val="en-GB"/>
        </w:rPr>
        <w:t xml:space="preserve"> that corporal punishment of children is not sufficiently protected under legislation or case-law in Belgium, Czech</w:t>
      </w:r>
      <w:r w:rsidR="006075A4" w:rsidRPr="006075A4">
        <w:rPr>
          <w:rFonts w:ascii="Calibri" w:eastAsia="Calibri" w:hAnsi="Calibri" w:cs="Times New Roman"/>
          <w:lang w:val="en-GB"/>
        </w:rPr>
        <w:t xml:space="preserve"> Republic, Slovenia and Ireland. These </w:t>
      </w:r>
      <w:r w:rsidR="00792C11" w:rsidRPr="006075A4">
        <w:rPr>
          <w:rFonts w:ascii="Calibri" w:eastAsia="Calibri" w:hAnsi="Calibri" w:cs="Times New Roman"/>
          <w:lang w:val="en-GB"/>
        </w:rPr>
        <w:t>countries are</w:t>
      </w:r>
      <w:r w:rsidR="006075A4" w:rsidRPr="006075A4">
        <w:rPr>
          <w:rFonts w:ascii="Calibri" w:eastAsia="Calibri" w:hAnsi="Calibri" w:cs="Times New Roman"/>
          <w:lang w:val="en-GB"/>
        </w:rPr>
        <w:t xml:space="preserve"> therefore</w:t>
      </w:r>
      <w:r w:rsidR="00792C11" w:rsidRPr="006075A4">
        <w:rPr>
          <w:rFonts w:ascii="Calibri" w:eastAsia="Calibri" w:hAnsi="Calibri" w:cs="Times New Roman"/>
          <w:lang w:val="en-GB"/>
        </w:rPr>
        <w:t xml:space="preserve"> in breach of the European Social Charter. Read about the Council of Europe’s campaign against corporal punishment of children </w:t>
      </w:r>
      <w:hyperlink r:id="rId30" w:history="1">
        <w:r w:rsidR="00792C11" w:rsidRPr="006075A4">
          <w:rPr>
            <w:rFonts w:ascii="Calibri" w:eastAsia="Calibri" w:hAnsi="Calibri" w:cs="Times New Roman"/>
            <w:color w:val="0563C1"/>
            <w:u w:val="single"/>
            <w:lang w:val="en-GB"/>
          </w:rPr>
          <w:t>here</w:t>
        </w:r>
      </w:hyperlink>
      <w:r w:rsidR="00792C11" w:rsidRPr="006075A4">
        <w:rPr>
          <w:rFonts w:ascii="Calibri" w:eastAsia="Calibri" w:hAnsi="Calibri" w:cs="Times New Roman"/>
          <w:lang w:val="en-GB"/>
        </w:rPr>
        <w:t>.</w:t>
      </w:r>
    </w:p>
    <w:p w14:paraId="613A1BA6" w14:textId="77777777" w:rsidR="00E91D96" w:rsidRPr="006075A4" w:rsidRDefault="00E91D96" w:rsidP="000263B4">
      <w:pPr>
        <w:pBdr>
          <w:bottom w:val="dotted" w:sz="36" w:space="1" w:color="auto"/>
        </w:pBdr>
        <w:spacing w:line="240" w:lineRule="auto"/>
        <w:rPr>
          <w:lang w:val="en-GB"/>
        </w:rPr>
      </w:pPr>
    </w:p>
    <w:p w14:paraId="0D439E6D" w14:textId="741D7572" w:rsidR="004A7771" w:rsidRPr="006075A4" w:rsidRDefault="00E91D96" w:rsidP="000263B4">
      <w:pPr>
        <w:pStyle w:val="Heading1"/>
        <w:spacing w:line="240" w:lineRule="auto"/>
        <w:rPr>
          <w:lang w:val="en-GB"/>
        </w:rPr>
      </w:pPr>
      <w:bookmarkStart w:id="25" w:name="_Toc418770751"/>
      <w:bookmarkStart w:id="26" w:name="_Ref418784342"/>
      <w:bookmarkStart w:id="27" w:name="_Ref421267554"/>
      <w:r w:rsidRPr="006075A4">
        <w:rPr>
          <w:lang w:val="en-GB"/>
        </w:rPr>
        <w:t>Latest publications, funding opportunities and calls for proposals</w:t>
      </w:r>
      <w:bookmarkEnd w:id="25"/>
      <w:bookmarkEnd w:id="26"/>
      <w:bookmarkEnd w:id="27"/>
    </w:p>
    <w:p w14:paraId="76217D62" w14:textId="77777777" w:rsidR="00AB116C" w:rsidRPr="006075A4" w:rsidRDefault="00AB116C" w:rsidP="000263B4">
      <w:pPr>
        <w:pStyle w:val="Heading2"/>
        <w:spacing w:line="240" w:lineRule="auto"/>
        <w:rPr>
          <w:lang w:val="en-GB"/>
        </w:rPr>
      </w:pPr>
    </w:p>
    <w:p w14:paraId="7BE4DE86" w14:textId="70F67D31" w:rsidR="00566380" w:rsidRPr="006075A4" w:rsidRDefault="00AB116C" w:rsidP="000263B4">
      <w:pPr>
        <w:pStyle w:val="Heading2"/>
        <w:spacing w:line="240" w:lineRule="auto"/>
        <w:rPr>
          <w:lang w:val="en-GB"/>
        </w:rPr>
      </w:pPr>
      <w:bookmarkStart w:id="28" w:name="_Ref421267563"/>
      <w:r w:rsidRPr="006075A4">
        <w:rPr>
          <w:lang w:val="en-GB"/>
        </w:rPr>
        <w:t>General information</w:t>
      </w:r>
      <w:bookmarkEnd w:id="28"/>
      <w:r w:rsidR="00C91705" w:rsidRPr="006075A4">
        <w:rPr>
          <w:lang w:val="en-GB"/>
        </w:rPr>
        <w:br/>
      </w:r>
    </w:p>
    <w:p w14:paraId="49CBCAFC" w14:textId="3B2DB504" w:rsidR="00B81B74" w:rsidRPr="006075A4" w:rsidRDefault="00C91705" w:rsidP="000263B4">
      <w:pPr>
        <w:pStyle w:val="ListParagraph"/>
        <w:numPr>
          <w:ilvl w:val="0"/>
          <w:numId w:val="15"/>
        </w:numPr>
        <w:spacing w:line="240" w:lineRule="auto"/>
        <w:rPr>
          <w:rFonts w:ascii="Calibri" w:eastAsia="Calibri" w:hAnsi="Calibri" w:cs="Times New Roman"/>
          <w:b/>
          <w:lang w:val="en-GB"/>
        </w:rPr>
      </w:pPr>
      <w:r w:rsidRPr="006075A4">
        <w:rPr>
          <w:rFonts w:ascii="Calibri" w:eastAsia="Calibri" w:hAnsi="Calibri" w:cs="Times New Roman"/>
          <w:b/>
          <w:lang w:val="en-GB"/>
        </w:rPr>
        <w:t xml:space="preserve">European Commission: </w:t>
      </w:r>
      <w:r w:rsidR="00B81B74" w:rsidRPr="006075A4">
        <w:rPr>
          <w:rFonts w:ascii="Calibri" w:eastAsia="Calibri" w:hAnsi="Calibri" w:cs="Times New Roman"/>
          <w:b/>
          <w:lang w:val="en-GB"/>
        </w:rPr>
        <w:t>Booklet ‘Know your rights!’</w:t>
      </w:r>
    </w:p>
    <w:p w14:paraId="2A36F5A6" w14:textId="2CFE8506" w:rsidR="00FA6B5D" w:rsidRPr="006075A4" w:rsidRDefault="00FA6B5D" w:rsidP="000263B4">
      <w:pP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The European Commission has published </w:t>
      </w:r>
      <w:hyperlink r:id="rId31" w:history="1">
        <w:r w:rsidRPr="006075A4">
          <w:rPr>
            <w:rFonts w:ascii="Calibri" w:eastAsia="Calibri" w:hAnsi="Calibri" w:cs="Times New Roman"/>
            <w:color w:val="0563C1"/>
            <w:u w:val="single"/>
            <w:lang w:val="en-GB"/>
          </w:rPr>
          <w:t xml:space="preserve">a booklet </w:t>
        </w:r>
      </w:hyperlink>
      <w:r w:rsidRPr="006075A4">
        <w:rPr>
          <w:rFonts w:ascii="Calibri" w:eastAsia="Calibri" w:hAnsi="Calibri" w:cs="Times New Roman"/>
          <w:lang w:val="en-GB"/>
        </w:rPr>
        <w:t xml:space="preserve"> that provides information to EU citizens about their rights under EU equal treatment legislation and aims to offer guidelines to victims of discrimination.</w:t>
      </w:r>
      <w:r w:rsidR="00B81B74" w:rsidRPr="006075A4">
        <w:rPr>
          <w:rFonts w:ascii="Calibri" w:eastAsia="Calibri" w:hAnsi="Calibri" w:cs="Times New Roman"/>
          <w:lang w:val="en-GB"/>
        </w:rPr>
        <w:t xml:space="preserve"> The booklet also gives information about equality bodies and Equinet.</w:t>
      </w:r>
    </w:p>
    <w:p w14:paraId="169DD62D" w14:textId="71D70ACF" w:rsidR="004275EC" w:rsidRPr="006075A4" w:rsidRDefault="000B22AC" w:rsidP="000263B4">
      <w:pPr>
        <w:pStyle w:val="ListParagraph"/>
        <w:numPr>
          <w:ilvl w:val="0"/>
          <w:numId w:val="14"/>
        </w:numPr>
        <w:spacing w:line="240" w:lineRule="auto"/>
        <w:rPr>
          <w:b/>
          <w:lang w:val="en-GB"/>
        </w:rPr>
      </w:pPr>
      <w:r w:rsidRPr="006075A4">
        <w:rPr>
          <w:b/>
          <w:lang w:val="en-GB"/>
        </w:rPr>
        <w:t>European Commission: Report on the i</w:t>
      </w:r>
      <w:r w:rsidR="004275EC" w:rsidRPr="006075A4">
        <w:rPr>
          <w:b/>
          <w:lang w:val="en-GB"/>
        </w:rPr>
        <w:t>mplementation of the Charter of the Fundamental Rights of the EU</w:t>
      </w:r>
    </w:p>
    <w:p w14:paraId="402E458E" w14:textId="339AD936" w:rsidR="004275EC" w:rsidRPr="006075A4" w:rsidRDefault="000B22AC" w:rsidP="000263B4">
      <w:pPr>
        <w:spacing w:line="240" w:lineRule="auto"/>
        <w:jc w:val="both"/>
        <w:rPr>
          <w:rFonts w:ascii="Calibri" w:eastAsia="Calibri" w:hAnsi="Calibri" w:cs="Times New Roman"/>
          <w:lang w:val="en-GB"/>
        </w:rPr>
      </w:pPr>
      <w:r w:rsidRPr="006075A4">
        <w:rPr>
          <w:rFonts w:ascii="Calibri" w:eastAsia="Calibri" w:hAnsi="Calibri" w:cs="Times New Roman"/>
          <w:lang w:val="en-GB"/>
        </w:rPr>
        <w:t>The European Commission has</w:t>
      </w:r>
      <w:r w:rsidR="004275EC" w:rsidRPr="006075A4">
        <w:rPr>
          <w:rFonts w:ascii="Calibri" w:eastAsia="Calibri" w:hAnsi="Calibri" w:cs="Times New Roman"/>
          <w:lang w:val="en-GB"/>
        </w:rPr>
        <w:t xml:space="preserve"> published its 2014 </w:t>
      </w:r>
      <w:hyperlink r:id="rId32" w:history="1">
        <w:r w:rsidR="004275EC" w:rsidRPr="006075A4">
          <w:rPr>
            <w:rFonts w:ascii="Calibri" w:eastAsia="Calibri" w:hAnsi="Calibri" w:cs="Times New Roman"/>
            <w:color w:val="0563C1"/>
            <w:u w:val="single"/>
            <w:lang w:val="en-GB"/>
          </w:rPr>
          <w:t>Report on the Implication of the Charter of Fundamental Rights of the EU</w:t>
        </w:r>
      </w:hyperlink>
      <w:r w:rsidRPr="006075A4">
        <w:rPr>
          <w:rFonts w:ascii="Calibri" w:eastAsia="Calibri" w:hAnsi="Calibri" w:cs="Times New Roman"/>
          <w:lang w:val="en-GB"/>
        </w:rPr>
        <w:t xml:space="preserve">. The report </w:t>
      </w:r>
      <w:r w:rsidR="004275EC" w:rsidRPr="006075A4">
        <w:rPr>
          <w:rFonts w:ascii="Calibri" w:eastAsia="Calibri" w:hAnsi="Calibri" w:cs="Times New Roman"/>
          <w:lang w:val="en-GB"/>
        </w:rPr>
        <w:t xml:space="preserve">gives an overview of the application of the Charter by and to the EU institutions and Member States. The report identifies the rise </w:t>
      </w:r>
      <w:r w:rsidRPr="006075A4">
        <w:rPr>
          <w:rFonts w:ascii="Calibri" w:eastAsia="Calibri" w:hAnsi="Calibri" w:cs="Times New Roman"/>
          <w:lang w:val="en-GB"/>
        </w:rPr>
        <w:t>of</w:t>
      </w:r>
      <w:r w:rsidR="004275EC" w:rsidRPr="006075A4">
        <w:rPr>
          <w:rFonts w:ascii="Calibri" w:eastAsia="Calibri" w:hAnsi="Calibri" w:cs="Times New Roman"/>
          <w:lang w:val="en-GB"/>
        </w:rPr>
        <w:t xml:space="preserve"> EU courts</w:t>
      </w:r>
      <w:r w:rsidRPr="006075A4">
        <w:rPr>
          <w:rFonts w:ascii="Calibri" w:eastAsia="Calibri" w:hAnsi="Calibri" w:cs="Times New Roman"/>
          <w:lang w:val="en-GB"/>
        </w:rPr>
        <w:t>’</w:t>
      </w:r>
      <w:r w:rsidR="004275EC" w:rsidRPr="006075A4">
        <w:rPr>
          <w:rFonts w:ascii="Calibri" w:eastAsia="Calibri" w:hAnsi="Calibri" w:cs="Times New Roman"/>
          <w:lang w:val="en-GB"/>
        </w:rPr>
        <w:t xml:space="preserve"> rulings that were </w:t>
      </w:r>
      <w:r w:rsidRPr="006075A4">
        <w:rPr>
          <w:rFonts w:ascii="Calibri" w:eastAsia="Calibri" w:hAnsi="Calibri" w:cs="Times New Roman"/>
          <w:lang w:val="en-GB"/>
        </w:rPr>
        <w:t xml:space="preserve">referring to the Charter. </w:t>
      </w:r>
    </w:p>
    <w:p w14:paraId="4A2F1DD2" w14:textId="6FE1C476" w:rsidR="00B81B74" w:rsidRPr="006075A4" w:rsidRDefault="00291191" w:rsidP="000263B4">
      <w:pPr>
        <w:pStyle w:val="ListParagraph"/>
        <w:numPr>
          <w:ilvl w:val="0"/>
          <w:numId w:val="13"/>
        </w:numPr>
        <w:spacing w:line="240" w:lineRule="auto"/>
        <w:rPr>
          <w:rFonts w:ascii="Calibri" w:eastAsia="Calibri" w:hAnsi="Calibri" w:cs="Times New Roman"/>
          <w:b/>
          <w:lang w:val="en-GB"/>
        </w:rPr>
      </w:pPr>
      <w:r w:rsidRPr="006075A4">
        <w:rPr>
          <w:rFonts w:ascii="Calibri" w:eastAsia="Calibri" w:hAnsi="Calibri" w:cs="Times New Roman"/>
          <w:b/>
          <w:lang w:val="en-GB"/>
        </w:rPr>
        <w:t xml:space="preserve">EU Agency for Fundamental Rights (FRA): </w:t>
      </w:r>
      <w:r w:rsidR="00B81B74" w:rsidRPr="006075A4">
        <w:rPr>
          <w:rFonts w:ascii="Calibri" w:eastAsia="Calibri" w:hAnsi="Calibri" w:cs="Times New Roman"/>
          <w:b/>
          <w:lang w:val="en-GB"/>
        </w:rPr>
        <w:t xml:space="preserve">Report on severe labour </w:t>
      </w:r>
      <w:r w:rsidRPr="006075A4">
        <w:rPr>
          <w:rFonts w:ascii="Calibri" w:eastAsia="Calibri" w:hAnsi="Calibri" w:cs="Times New Roman"/>
          <w:b/>
          <w:lang w:val="en-GB"/>
        </w:rPr>
        <w:t>exploitation</w:t>
      </w:r>
    </w:p>
    <w:p w14:paraId="6FBCB506" w14:textId="172B56E9" w:rsidR="0034362B" w:rsidRPr="006075A4" w:rsidRDefault="00792C11" w:rsidP="000263B4">
      <w:pPr>
        <w:pBdr>
          <w:bottom w:val="dotted" w:sz="4" w:space="1" w:color="auto"/>
        </w:pBdr>
        <w:spacing w:line="240" w:lineRule="auto"/>
        <w:jc w:val="both"/>
        <w:rPr>
          <w:rFonts w:ascii="Calibri" w:eastAsia="Calibri" w:hAnsi="Calibri" w:cs="Times New Roman"/>
          <w:lang w:val="en-GB"/>
        </w:rPr>
      </w:pPr>
      <w:r w:rsidRPr="006075A4">
        <w:rPr>
          <w:rFonts w:ascii="Calibri" w:eastAsia="Calibri" w:hAnsi="Calibri" w:cs="Times New Roman"/>
          <w:lang w:val="en-GB"/>
        </w:rPr>
        <w:t>The Fundamental Rights Agency of the EU (FRA)</w:t>
      </w:r>
      <w:r w:rsidR="00291191" w:rsidRPr="006075A4">
        <w:rPr>
          <w:rFonts w:ascii="Calibri" w:eastAsia="Calibri" w:hAnsi="Calibri" w:cs="Times New Roman"/>
          <w:lang w:val="en-GB"/>
        </w:rPr>
        <w:t xml:space="preserve"> has</w:t>
      </w:r>
      <w:r w:rsidRPr="006075A4">
        <w:rPr>
          <w:rFonts w:ascii="Calibri" w:eastAsia="Calibri" w:hAnsi="Calibri" w:cs="Times New Roman"/>
          <w:lang w:val="en-GB"/>
        </w:rPr>
        <w:t xml:space="preserve"> published </w:t>
      </w:r>
      <w:hyperlink r:id="rId33" w:history="1">
        <w:r w:rsidRPr="006075A4">
          <w:rPr>
            <w:rFonts w:ascii="Calibri" w:eastAsia="Calibri" w:hAnsi="Calibri" w:cs="Times New Roman"/>
            <w:color w:val="0563C1"/>
            <w:u w:val="single"/>
            <w:lang w:val="en-GB"/>
          </w:rPr>
          <w:t>a report</w:t>
        </w:r>
      </w:hyperlink>
      <w:r w:rsidRPr="006075A4">
        <w:rPr>
          <w:rFonts w:ascii="Calibri" w:eastAsia="Calibri" w:hAnsi="Calibri" w:cs="Times New Roman"/>
          <w:lang w:val="en-GB"/>
        </w:rPr>
        <w:t xml:space="preserve"> that looks at criminal labour exploitation of workers moving within or to the EU. The report includes recommendations to the Members States and to the EU institutions on how to protect the rights of migrant workers and how to tackle labour </w:t>
      </w:r>
      <w:r w:rsidR="00291191" w:rsidRPr="006075A4">
        <w:rPr>
          <w:rFonts w:ascii="Calibri" w:eastAsia="Calibri" w:hAnsi="Calibri" w:cs="Times New Roman"/>
          <w:lang w:val="en-GB"/>
        </w:rPr>
        <w:t>exploitation</w:t>
      </w:r>
      <w:r w:rsidRPr="006075A4">
        <w:rPr>
          <w:rFonts w:ascii="Calibri" w:eastAsia="Calibri" w:hAnsi="Calibri" w:cs="Times New Roman"/>
          <w:lang w:val="en-GB"/>
        </w:rPr>
        <w:t>.</w:t>
      </w:r>
      <w:r w:rsidR="0034362B" w:rsidRPr="006075A4">
        <w:rPr>
          <w:rFonts w:ascii="Calibri" w:eastAsia="Calibri" w:hAnsi="Calibri" w:cs="Times New Roman"/>
          <w:lang w:val="en-GB"/>
        </w:rPr>
        <w:br/>
      </w:r>
    </w:p>
    <w:p w14:paraId="11839D5D" w14:textId="77777777" w:rsidR="00AB116C" w:rsidRPr="006075A4" w:rsidRDefault="00AB116C" w:rsidP="000263B4">
      <w:pPr>
        <w:pStyle w:val="Heading2"/>
        <w:spacing w:line="240" w:lineRule="auto"/>
        <w:rPr>
          <w:lang w:val="en-GB"/>
        </w:rPr>
      </w:pPr>
      <w:bookmarkStart w:id="29" w:name="_Ref421267570"/>
      <w:r w:rsidRPr="006075A4">
        <w:rPr>
          <w:lang w:val="en-GB"/>
        </w:rPr>
        <w:t>Sexual Orientation and Gender Identity</w:t>
      </w:r>
      <w:bookmarkEnd w:id="29"/>
      <w:r w:rsidRPr="006075A4">
        <w:rPr>
          <w:lang w:val="en-GB"/>
        </w:rPr>
        <w:br/>
      </w:r>
    </w:p>
    <w:p w14:paraId="0138B5A2" w14:textId="3F0B3C97" w:rsidR="00B81B74" w:rsidRPr="006075A4" w:rsidRDefault="00207FD0" w:rsidP="000263B4">
      <w:pPr>
        <w:pStyle w:val="ListParagraph"/>
        <w:numPr>
          <w:ilvl w:val="0"/>
          <w:numId w:val="12"/>
        </w:numPr>
        <w:spacing w:line="240" w:lineRule="auto"/>
        <w:rPr>
          <w:b/>
          <w:lang w:val="en-GB"/>
        </w:rPr>
      </w:pPr>
      <w:r w:rsidRPr="006075A4">
        <w:rPr>
          <w:b/>
          <w:lang w:val="en-GB"/>
        </w:rPr>
        <w:t xml:space="preserve">European Commission: </w:t>
      </w:r>
      <w:r w:rsidR="00B81B74" w:rsidRPr="006075A4">
        <w:rPr>
          <w:b/>
          <w:lang w:val="en-GB"/>
        </w:rPr>
        <w:t>Report ‘Combating Sexual Orientation</w:t>
      </w:r>
      <w:r w:rsidR="006075A4" w:rsidRPr="006075A4">
        <w:rPr>
          <w:b/>
          <w:lang w:val="en-GB"/>
        </w:rPr>
        <w:t xml:space="preserve"> Discrimination</w:t>
      </w:r>
      <w:r w:rsidR="00B81B74" w:rsidRPr="006075A4">
        <w:rPr>
          <w:b/>
          <w:lang w:val="en-GB"/>
        </w:rPr>
        <w:t xml:space="preserve"> in EU’</w:t>
      </w:r>
    </w:p>
    <w:p w14:paraId="779CBED9" w14:textId="05270CAD" w:rsidR="00175EA1" w:rsidRPr="006075A4" w:rsidRDefault="00175EA1" w:rsidP="000263B4">
      <w:pP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The Commission’s Justice and Consumers DG published a thematic </w:t>
      </w:r>
      <w:hyperlink r:id="rId34" w:history="1">
        <w:r w:rsidRPr="006075A4">
          <w:rPr>
            <w:rFonts w:ascii="Calibri" w:eastAsia="Calibri" w:hAnsi="Calibri" w:cs="Times New Roman"/>
            <w:color w:val="0563C1"/>
            <w:u w:val="single"/>
            <w:lang w:val="en-GB"/>
          </w:rPr>
          <w:t>report ‘Combating Sexual Orientation Discrimination in EU’</w:t>
        </w:r>
      </w:hyperlink>
      <w:r w:rsidRPr="006075A4">
        <w:rPr>
          <w:rFonts w:ascii="Calibri" w:eastAsia="Calibri" w:hAnsi="Calibri" w:cs="Times New Roman"/>
          <w:lang w:val="en-GB"/>
        </w:rPr>
        <w:t xml:space="preserve"> </w:t>
      </w:r>
      <w:r w:rsidR="00975348" w:rsidRPr="006075A4">
        <w:rPr>
          <w:rFonts w:ascii="Calibri" w:eastAsia="Calibri" w:hAnsi="Calibri" w:cs="Times New Roman"/>
          <w:lang w:val="en-GB"/>
        </w:rPr>
        <w:t>which</w:t>
      </w:r>
      <w:r w:rsidRPr="006075A4">
        <w:rPr>
          <w:rFonts w:ascii="Calibri" w:eastAsia="Calibri" w:hAnsi="Calibri" w:cs="Times New Roman"/>
          <w:lang w:val="en-GB"/>
        </w:rPr>
        <w:t xml:space="preserve"> gives a detailed view on the existing application of the Employment </w:t>
      </w:r>
      <w:r w:rsidR="006075A4">
        <w:rPr>
          <w:rFonts w:ascii="Calibri" w:eastAsia="Calibri" w:hAnsi="Calibri" w:cs="Times New Roman"/>
          <w:lang w:val="en-GB"/>
        </w:rPr>
        <w:t xml:space="preserve">Equality Directive (2000/78) on </w:t>
      </w:r>
      <w:r w:rsidRPr="006075A4">
        <w:rPr>
          <w:rFonts w:ascii="Calibri" w:eastAsia="Calibri" w:hAnsi="Calibri" w:cs="Times New Roman"/>
          <w:lang w:val="en-GB"/>
        </w:rPr>
        <w:t>the ground of sexual orientation. The report includes</w:t>
      </w:r>
      <w:r w:rsidR="006075A4">
        <w:rPr>
          <w:rFonts w:ascii="Calibri" w:eastAsia="Calibri" w:hAnsi="Calibri" w:cs="Times New Roman"/>
          <w:lang w:val="en-GB"/>
        </w:rPr>
        <w:t xml:space="preserve"> a</w:t>
      </w:r>
      <w:r w:rsidRPr="006075A4">
        <w:rPr>
          <w:rFonts w:ascii="Calibri" w:eastAsia="Calibri" w:hAnsi="Calibri" w:cs="Times New Roman"/>
          <w:lang w:val="en-GB"/>
        </w:rPr>
        <w:t xml:space="preserve"> subchapter dedicated to the role of equality bodies.</w:t>
      </w:r>
    </w:p>
    <w:p w14:paraId="1F8FCA66" w14:textId="77777777" w:rsidR="00207FD0" w:rsidRPr="006075A4" w:rsidRDefault="00207FD0" w:rsidP="000263B4">
      <w:pPr>
        <w:pStyle w:val="ListParagraph"/>
        <w:numPr>
          <w:ilvl w:val="0"/>
          <w:numId w:val="11"/>
        </w:numPr>
        <w:spacing w:line="240" w:lineRule="auto"/>
        <w:jc w:val="both"/>
        <w:rPr>
          <w:lang w:val="en-GB"/>
        </w:rPr>
      </w:pPr>
      <w:r w:rsidRPr="006075A4">
        <w:rPr>
          <w:b/>
          <w:lang w:val="en-GB"/>
        </w:rPr>
        <w:t>EU Agency for Fundamental Rights (FRA): Focus paper on the rights of intersex people</w:t>
      </w:r>
    </w:p>
    <w:p w14:paraId="6A547874" w14:textId="33A288BE" w:rsidR="00207FD0" w:rsidRPr="006075A4" w:rsidRDefault="00207FD0" w:rsidP="000263B4">
      <w:pPr>
        <w:spacing w:line="240" w:lineRule="auto"/>
        <w:jc w:val="both"/>
        <w:rPr>
          <w:lang w:val="en-GB"/>
        </w:rPr>
      </w:pPr>
      <w:r w:rsidRPr="006075A4">
        <w:rPr>
          <w:lang w:val="en-GB"/>
        </w:rPr>
        <w:t>According to a new focus paper published by the EU Agency for Fundamental Rights (FRA), “often the fundamental rights of intersex people are not respected as they remain largely unrecognised in European societies</w:t>
      </w:r>
      <w:r w:rsidR="00217BAD">
        <w:rPr>
          <w:lang w:val="en-GB"/>
        </w:rPr>
        <w:t>”. The paper points to</w:t>
      </w:r>
      <w:r w:rsidRPr="006075A4">
        <w:rPr>
          <w:lang w:val="en-GB"/>
        </w:rPr>
        <w:t xml:space="preserve"> “the need to review laws and practices across the EU that can result in discrimination, and violations to the physical and psychological integrity of intersex people especially when young”.</w:t>
      </w:r>
      <w:r w:rsidR="00217BAD">
        <w:rPr>
          <w:lang w:val="en-GB"/>
        </w:rPr>
        <w:t xml:space="preserve"> The focus paper</w:t>
      </w:r>
      <w:r w:rsidRPr="006075A4">
        <w:rPr>
          <w:lang w:val="en-GB"/>
        </w:rPr>
        <w:t xml:space="preserve"> is available </w:t>
      </w:r>
      <w:hyperlink r:id="rId35" w:history="1">
        <w:r w:rsidRPr="006075A4">
          <w:rPr>
            <w:rStyle w:val="Hyperlink"/>
            <w:lang w:val="en-GB"/>
          </w:rPr>
          <w:t>here</w:t>
        </w:r>
      </w:hyperlink>
      <w:r w:rsidRPr="006075A4">
        <w:rPr>
          <w:lang w:val="en-GB"/>
        </w:rPr>
        <w:t xml:space="preserve">. </w:t>
      </w:r>
    </w:p>
    <w:p w14:paraId="5352711C" w14:textId="11DA29BF" w:rsidR="00B81B74" w:rsidRPr="006075A4" w:rsidRDefault="00975348" w:rsidP="000263B4">
      <w:pPr>
        <w:pStyle w:val="ListParagraph"/>
        <w:numPr>
          <w:ilvl w:val="0"/>
          <w:numId w:val="10"/>
        </w:numPr>
        <w:spacing w:line="240" w:lineRule="auto"/>
        <w:rPr>
          <w:rFonts w:ascii="Calibri" w:eastAsia="Calibri" w:hAnsi="Calibri" w:cs="Times New Roman"/>
          <w:b/>
          <w:lang w:val="en-GB"/>
        </w:rPr>
      </w:pPr>
      <w:r w:rsidRPr="006075A4">
        <w:rPr>
          <w:rFonts w:ascii="Calibri" w:eastAsia="Calibri" w:hAnsi="Calibri" w:cs="Times New Roman"/>
          <w:b/>
          <w:lang w:val="en-GB"/>
        </w:rPr>
        <w:t xml:space="preserve">Council of Europe Commissioner for Human Rights: </w:t>
      </w:r>
      <w:r w:rsidR="00B81B74" w:rsidRPr="006075A4">
        <w:rPr>
          <w:rFonts w:ascii="Calibri" w:eastAsia="Calibri" w:hAnsi="Calibri" w:cs="Times New Roman"/>
          <w:b/>
          <w:lang w:val="en-GB"/>
        </w:rPr>
        <w:t xml:space="preserve">Issue paper </w:t>
      </w:r>
      <w:r w:rsidRPr="006075A4">
        <w:rPr>
          <w:rFonts w:ascii="Calibri" w:eastAsia="Calibri" w:hAnsi="Calibri" w:cs="Times New Roman"/>
          <w:b/>
          <w:lang w:val="en-GB"/>
        </w:rPr>
        <w:t>“</w:t>
      </w:r>
      <w:r w:rsidR="00B81B74" w:rsidRPr="006075A4">
        <w:rPr>
          <w:rFonts w:ascii="Calibri" w:eastAsia="Calibri" w:hAnsi="Calibri" w:cs="Times New Roman"/>
          <w:b/>
          <w:lang w:val="en-GB"/>
        </w:rPr>
        <w:t>Human Rights and Intersex People</w:t>
      </w:r>
      <w:r w:rsidRPr="006075A4">
        <w:rPr>
          <w:rFonts w:ascii="Calibri" w:eastAsia="Calibri" w:hAnsi="Calibri" w:cs="Times New Roman"/>
          <w:b/>
          <w:lang w:val="en-GB"/>
        </w:rPr>
        <w:t>”</w:t>
      </w:r>
    </w:p>
    <w:p w14:paraId="4751B1AC" w14:textId="7D64BFBB" w:rsidR="00AB116C" w:rsidRPr="006075A4" w:rsidRDefault="00975348" w:rsidP="000263B4">
      <w:pPr>
        <w:pBdr>
          <w:bottom w:val="dotted" w:sz="4" w:space="1" w:color="auto"/>
        </w:pBdr>
        <w:spacing w:line="240" w:lineRule="auto"/>
        <w:jc w:val="both"/>
        <w:rPr>
          <w:rFonts w:ascii="Calibri" w:eastAsia="Calibri" w:hAnsi="Calibri" w:cs="Times New Roman"/>
          <w:lang w:val="en-GB"/>
        </w:rPr>
      </w:pPr>
      <w:r w:rsidRPr="006075A4">
        <w:rPr>
          <w:rFonts w:ascii="Calibri" w:eastAsia="Calibri" w:hAnsi="Calibri" w:cs="Times New Roman"/>
          <w:lang w:val="en-GB"/>
        </w:rPr>
        <w:t xml:space="preserve">The </w:t>
      </w:r>
      <w:r w:rsidR="00792C11" w:rsidRPr="006075A4">
        <w:rPr>
          <w:rFonts w:ascii="Calibri" w:eastAsia="Calibri" w:hAnsi="Calibri" w:cs="Times New Roman"/>
          <w:lang w:val="en-GB"/>
        </w:rPr>
        <w:t xml:space="preserve">Council of Europe Commissioner for Human Rights, Nils </w:t>
      </w:r>
      <w:proofErr w:type="spellStart"/>
      <w:r w:rsidR="00792C11" w:rsidRPr="006075A4">
        <w:rPr>
          <w:rFonts w:ascii="Calibri" w:eastAsia="Calibri" w:hAnsi="Calibri" w:cs="Times New Roman"/>
          <w:lang w:val="en-GB"/>
        </w:rPr>
        <w:t>Muižnieks</w:t>
      </w:r>
      <w:proofErr w:type="spellEnd"/>
      <w:r w:rsidR="00792C11" w:rsidRPr="006075A4">
        <w:rPr>
          <w:rFonts w:ascii="Calibri" w:eastAsia="Calibri" w:hAnsi="Calibri" w:cs="Times New Roman"/>
          <w:lang w:val="en-GB"/>
        </w:rPr>
        <w:t xml:space="preserve">, </w:t>
      </w:r>
      <w:r w:rsidRPr="006075A4">
        <w:rPr>
          <w:rFonts w:ascii="Calibri" w:eastAsia="Calibri" w:hAnsi="Calibri" w:cs="Times New Roman"/>
          <w:lang w:val="en-GB"/>
        </w:rPr>
        <w:t xml:space="preserve">has </w:t>
      </w:r>
      <w:r w:rsidR="00792C11" w:rsidRPr="006075A4">
        <w:rPr>
          <w:rFonts w:ascii="Calibri" w:eastAsia="Calibri" w:hAnsi="Calibri" w:cs="Times New Roman"/>
          <w:lang w:val="en-GB"/>
        </w:rPr>
        <w:t xml:space="preserve">published an </w:t>
      </w:r>
      <w:hyperlink r:id="rId36" w:history="1">
        <w:r w:rsidR="00792C11" w:rsidRPr="006075A4">
          <w:rPr>
            <w:rFonts w:ascii="Calibri" w:eastAsia="Calibri" w:hAnsi="Calibri" w:cs="Times New Roman"/>
            <w:color w:val="0563C1"/>
            <w:u w:val="single"/>
            <w:lang w:val="en-GB"/>
          </w:rPr>
          <w:t>Issue paper ‘Human Rights and intersex people’</w:t>
        </w:r>
      </w:hyperlink>
      <w:r w:rsidR="00792C11" w:rsidRPr="006075A4">
        <w:rPr>
          <w:rFonts w:ascii="Calibri" w:eastAsia="Calibri" w:hAnsi="Calibri" w:cs="Times New Roman"/>
          <w:lang w:val="en-GB"/>
        </w:rPr>
        <w:t xml:space="preserve"> that addresses legal, medical and administrative obstacles which prevent intersex people from fully enjoying their human rights. The paper gives recommendations to governments</w:t>
      </w:r>
      <w:r w:rsidRPr="006075A4">
        <w:rPr>
          <w:rFonts w:ascii="Calibri" w:eastAsia="Calibri" w:hAnsi="Calibri" w:cs="Times New Roman"/>
          <w:lang w:val="en-GB"/>
        </w:rPr>
        <w:t xml:space="preserve"> and practitioners on</w:t>
      </w:r>
      <w:r w:rsidR="00217BAD">
        <w:rPr>
          <w:rFonts w:ascii="Calibri" w:eastAsia="Calibri" w:hAnsi="Calibri" w:cs="Times New Roman"/>
          <w:lang w:val="en-GB"/>
        </w:rPr>
        <w:t xml:space="preserve"> important</w:t>
      </w:r>
      <w:r w:rsidRPr="006075A4">
        <w:rPr>
          <w:rFonts w:ascii="Calibri" w:eastAsia="Calibri" w:hAnsi="Calibri" w:cs="Times New Roman"/>
          <w:lang w:val="en-GB"/>
        </w:rPr>
        <w:t xml:space="preserve"> measures which</w:t>
      </w:r>
      <w:r w:rsidR="00792C11" w:rsidRPr="006075A4">
        <w:rPr>
          <w:rFonts w:ascii="Calibri" w:eastAsia="Calibri" w:hAnsi="Calibri" w:cs="Times New Roman"/>
          <w:lang w:val="en-GB"/>
        </w:rPr>
        <w:t xml:space="preserve"> need to be taken in order to improve the situation for intersex people. Read the press release </w:t>
      </w:r>
      <w:hyperlink r:id="rId37" w:history="1">
        <w:r w:rsidR="00792C11" w:rsidRPr="006075A4">
          <w:rPr>
            <w:rFonts w:ascii="Calibri" w:eastAsia="Calibri" w:hAnsi="Calibri" w:cs="Times New Roman"/>
            <w:color w:val="0563C1"/>
            <w:u w:val="single"/>
            <w:lang w:val="en-GB"/>
          </w:rPr>
          <w:t>here</w:t>
        </w:r>
      </w:hyperlink>
      <w:r w:rsidR="00792C11" w:rsidRPr="006075A4">
        <w:rPr>
          <w:rFonts w:ascii="Calibri" w:eastAsia="Calibri" w:hAnsi="Calibri" w:cs="Times New Roman"/>
          <w:lang w:val="en-GB"/>
        </w:rPr>
        <w:t xml:space="preserve">. </w:t>
      </w:r>
      <w:r w:rsidRPr="006075A4">
        <w:rPr>
          <w:rFonts w:ascii="Calibri" w:eastAsia="Calibri" w:hAnsi="Calibri" w:cs="Times New Roman"/>
          <w:lang w:val="en-GB"/>
        </w:rPr>
        <w:tab/>
      </w:r>
      <w:r w:rsidR="00AB116C" w:rsidRPr="006075A4">
        <w:rPr>
          <w:lang w:val="en-GB"/>
        </w:rPr>
        <w:br/>
      </w:r>
    </w:p>
    <w:p w14:paraId="2419E9CE" w14:textId="77777777" w:rsidR="00AB116C" w:rsidRPr="006075A4" w:rsidRDefault="00AB116C" w:rsidP="000263B4">
      <w:pPr>
        <w:pStyle w:val="Heading2"/>
        <w:spacing w:line="240" w:lineRule="auto"/>
        <w:rPr>
          <w:lang w:val="en-GB"/>
        </w:rPr>
      </w:pPr>
      <w:bookmarkStart w:id="30" w:name="_Ref421267576"/>
      <w:r w:rsidRPr="006075A4">
        <w:rPr>
          <w:lang w:val="en-GB"/>
        </w:rPr>
        <w:t>Disability</w:t>
      </w:r>
      <w:bookmarkEnd w:id="30"/>
    </w:p>
    <w:p w14:paraId="3FB38E28" w14:textId="77777777" w:rsidR="00207FD0" w:rsidRPr="006075A4" w:rsidRDefault="00207FD0" w:rsidP="000263B4">
      <w:pPr>
        <w:spacing w:line="240" w:lineRule="auto"/>
        <w:rPr>
          <w:lang w:val="en-GB"/>
        </w:rPr>
      </w:pPr>
    </w:p>
    <w:p w14:paraId="3FAC4886" w14:textId="77777777" w:rsidR="00207FD0" w:rsidRPr="006075A4" w:rsidRDefault="00207FD0" w:rsidP="0067153F">
      <w:pPr>
        <w:pStyle w:val="ListParagraph"/>
        <w:numPr>
          <w:ilvl w:val="0"/>
          <w:numId w:val="10"/>
        </w:numPr>
        <w:rPr>
          <w:b/>
          <w:lang w:val="en-GB"/>
        </w:rPr>
      </w:pPr>
      <w:r w:rsidRPr="006075A4">
        <w:rPr>
          <w:b/>
          <w:lang w:val="en-GB"/>
        </w:rPr>
        <w:t>EU Agency for Fundamental Rights (FRA): Focus paper on the implementation of the UN Convention on the Rights of People with Disabilities</w:t>
      </w:r>
    </w:p>
    <w:p w14:paraId="4F671D30" w14:textId="3A33793D" w:rsidR="00207FD0" w:rsidRPr="006075A4" w:rsidRDefault="00207FD0" w:rsidP="0067153F">
      <w:pPr>
        <w:jc w:val="both"/>
        <w:rPr>
          <w:b/>
          <w:lang w:val="en-GB"/>
        </w:rPr>
      </w:pPr>
      <w:r w:rsidRPr="006075A4">
        <w:rPr>
          <w:lang w:val="en-GB"/>
        </w:rPr>
        <w:t>The Fundamental Rights Agency of the EU (FRA) issued</w:t>
      </w:r>
      <w:r w:rsidR="00217BAD">
        <w:rPr>
          <w:lang w:val="en-GB"/>
        </w:rPr>
        <w:t xml:space="preserve"> a</w:t>
      </w:r>
      <w:r w:rsidRPr="006075A4">
        <w:rPr>
          <w:lang w:val="en-GB"/>
        </w:rPr>
        <w:t xml:space="preserve"> </w:t>
      </w:r>
      <w:hyperlink r:id="rId38" w:history="1">
        <w:r w:rsidRPr="006075A4">
          <w:rPr>
            <w:color w:val="0563C1"/>
            <w:u w:val="single"/>
            <w:lang w:val="en-GB"/>
          </w:rPr>
          <w:t>Focus paper</w:t>
        </w:r>
      </w:hyperlink>
      <w:r w:rsidRPr="006075A4">
        <w:rPr>
          <w:lang w:val="en-GB"/>
        </w:rPr>
        <w:t xml:space="preserve"> showing an overview of</w:t>
      </w:r>
      <w:r w:rsidR="00217BAD">
        <w:rPr>
          <w:lang w:val="en-GB"/>
        </w:rPr>
        <w:t xml:space="preserve"> the</w:t>
      </w:r>
      <w:r w:rsidRPr="006075A4">
        <w:rPr>
          <w:lang w:val="en-GB"/>
        </w:rPr>
        <w:t xml:space="preserve"> implementation reforms that took place in Member States after ratifying the United Nation’s Convention on the Rights of People with Disabilities (CRPD).</w:t>
      </w:r>
    </w:p>
    <w:p w14:paraId="66615950" w14:textId="77777777" w:rsidR="00207FD0" w:rsidRPr="006075A4" w:rsidRDefault="00207FD0" w:rsidP="000263B4">
      <w:pPr>
        <w:spacing w:line="240" w:lineRule="auto"/>
        <w:rPr>
          <w:lang w:val="en-GB"/>
        </w:rPr>
      </w:pPr>
    </w:p>
    <w:p w14:paraId="346CA8BB" w14:textId="2469A773" w:rsidR="0067153F" w:rsidRPr="006075A4" w:rsidRDefault="0067153F" w:rsidP="0067153F">
      <w:pPr>
        <w:rPr>
          <w:rFonts w:asciiTheme="majorHAnsi" w:eastAsiaTheme="majorEastAsia" w:hAnsiTheme="majorHAnsi" w:cstheme="majorBidi"/>
          <w:b/>
          <w:color w:val="BF8F00" w:themeColor="accent4" w:themeShade="BF"/>
          <w:sz w:val="26"/>
          <w:szCs w:val="26"/>
          <w:lang w:val="en-GB"/>
        </w:rPr>
      </w:pPr>
    </w:p>
    <w:p w14:paraId="0449B335" w14:textId="77777777" w:rsidR="0067153F" w:rsidRPr="006075A4" w:rsidRDefault="0067153F" w:rsidP="0067153F">
      <w:pPr>
        <w:rPr>
          <w:rFonts w:asciiTheme="majorHAnsi" w:eastAsiaTheme="majorEastAsia" w:hAnsiTheme="majorHAnsi" w:cstheme="majorBidi"/>
          <w:b/>
          <w:color w:val="BF8F00" w:themeColor="accent4" w:themeShade="BF"/>
          <w:sz w:val="26"/>
          <w:szCs w:val="26"/>
          <w:lang w:val="en-GB"/>
        </w:rPr>
      </w:pPr>
    </w:p>
    <w:p w14:paraId="65F75A64" w14:textId="77777777" w:rsidR="0067153F" w:rsidRDefault="0067153F" w:rsidP="0067153F">
      <w:pPr>
        <w:rPr>
          <w:rFonts w:asciiTheme="majorHAnsi" w:eastAsiaTheme="majorEastAsia" w:hAnsiTheme="majorHAnsi" w:cstheme="majorBidi"/>
          <w:b/>
          <w:color w:val="BF8F00" w:themeColor="accent4" w:themeShade="BF"/>
          <w:sz w:val="26"/>
          <w:szCs w:val="26"/>
          <w:lang w:val="en-GB"/>
        </w:rPr>
      </w:pPr>
    </w:p>
    <w:p w14:paraId="1BBEEBCA" w14:textId="77777777" w:rsidR="000348AB" w:rsidRDefault="000348AB" w:rsidP="0067153F">
      <w:pPr>
        <w:rPr>
          <w:lang w:val="en-GB"/>
        </w:rPr>
      </w:pPr>
    </w:p>
    <w:p w14:paraId="6B248C6F" w14:textId="77777777" w:rsidR="000348AB" w:rsidRPr="006075A4" w:rsidRDefault="000348AB" w:rsidP="0067153F">
      <w:pPr>
        <w:rPr>
          <w:lang w:val="en-GB"/>
        </w:rPr>
      </w:pPr>
    </w:p>
    <w:p w14:paraId="6C53EA1D" w14:textId="77777777" w:rsidR="00B07813" w:rsidRPr="006075A4" w:rsidRDefault="00B07813" w:rsidP="000263B4">
      <w:pPr>
        <w:pBdr>
          <w:bottom w:val="dotted" w:sz="36" w:space="1" w:color="auto"/>
        </w:pBdr>
        <w:spacing w:line="240" w:lineRule="auto"/>
        <w:rPr>
          <w:lang w:val="en-GB"/>
        </w:rPr>
      </w:pPr>
    </w:p>
    <w:p w14:paraId="6A49563D" w14:textId="77777777" w:rsidR="00B07813" w:rsidRPr="006075A4" w:rsidRDefault="00B07813" w:rsidP="000263B4">
      <w:pPr>
        <w:pStyle w:val="Heading1"/>
        <w:spacing w:line="240" w:lineRule="auto"/>
        <w:rPr>
          <w:lang w:val="en-GB"/>
        </w:rPr>
      </w:pPr>
      <w:bookmarkStart w:id="31" w:name="_Toc418770756"/>
      <w:bookmarkStart w:id="32" w:name="_Ref418784375"/>
      <w:bookmarkStart w:id="33" w:name="_Ref421267634"/>
      <w:r w:rsidRPr="006075A4">
        <w:rPr>
          <w:lang w:val="en-GB"/>
        </w:rPr>
        <w:t>Recent case-law</w:t>
      </w:r>
      <w:bookmarkEnd w:id="31"/>
      <w:bookmarkEnd w:id="32"/>
      <w:bookmarkEnd w:id="33"/>
    </w:p>
    <w:p w14:paraId="1A7E5E2B" w14:textId="77777777" w:rsidR="00AB116C" w:rsidRPr="006075A4" w:rsidRDefault="00AB116C" w:rsidP="000263B4">
      <w:pPr>
        <w:pStyle w:val="Heading2"/>
        <w:spacing w:line="240" w:lineRule="auto"/>
        <w:rPr>
          <w:lang w:val="en-GB"/>
        </w:rPr>
      </w:pPr>
      <w:bookmarkStart w:id="34" w:name="_Toc418770757"/>
      <w:bookmarkStart w:id="35" w:name="_Ref418784385"/>
    </w:p>
    <w:p w14:paraId="5E641C49" w14:textId="74B1E422" w:rsidR="00542158" w:rsidRPr="006075A4" w:rsidRDefault="00B07813" w:rsidP="000263B4">
      <w:pPr>
        <w:pStyle w:val="Heading2"/>
        <w:spacing w:line="240" w:lineRule="auto"/>
        <w:rPr>
          <w:lang w:val="en-GB"/>
        </w:rPr>
      </w:pPr>
      <w:bookmarkStart w:id="36" w:name="_Ref421267642"/>
      <w:r w:rsidRPr="006075A4">
        <w:rPr>
          <w:lang w:val="en-GB"/>
        </w:rPr>
        <w:t>European Court of Justice (ECJ)</w:t>
      </w:r>
      <w:bookmarkEnd w:id="34"/>
      <w:bookmarkEnd w:id="35"/>
      <w:bookmarkEnd w:id="36"/>
    </w:p>
    <w:p w14:paraId="6789F518" w14:textId="77777777" w:rsidR="0034362B" w:rsidRPr="006075A4" w:rsidRDefault="0034362B" w:rsidP="000263B4">
      <w:pPr>
        <w:spacing w:line="240" w:lineRule="auto"/>
        <w:rPr>
          <w:lang w:val="en-GB"/>
        </w:rPr>
      </w:pPr>
    </w:p>
    <w:p w14:paraId="328C8697" w14:textId="2C91BA4C" w:rsidR="0034362B" w:rsidRPr="00217BAD" w:rsidRDefault="0034362B" w:rsidP="000263B4">
      <w:pPr>
        <w:pStyle w:val="ListParagraph"/>
        <w:numPr>
          <w:ilvl w:val="0"/>
          <w:numId w:val="9"/>
        </w:numPr>
        <w:spacing w:line="240" w:lineRule="auto"/>
        <w:jc w:val="both"/>
        <w:rPr>
          <w:b/>
          <w:lang w:val="nl-NL"/>
        </w:rPr>
      </w:pPr>
      <w:r w:rsidRPr="00217BAD">
        <w:rPr>
          <w:b/>
          <w:lang w:val="nl-NL"/>
        </w:rPr>
        <w:t xml:space="preserve">Judgment in Case C-579/13 - P and S v Commissie Sociale Zekerheid Breda, College van Burgemeester en Wethouders van de </w:t>
      </w:r>
      <w:r w:rsidR="00217BAD" w:rsidRPr="00217BAD">
        <w:rPr>
          <w:b/>
          <w:lang w:val="nl-NL"/>
        </w:rPr>
        <w:t>G</w:t>
      </w:r>
      <w:r w:rsidRPr="00217BAD">
        <w:rPr>
          <w:b/>
          <w:lang w:val="nl-NL"/>
        </w:rPr>
        <w:t>emeente Amstelveen</w:t>
      </w:r>
    </w:p>
    <w:p w14:paraId="664B5EB6" w14:textId="14F3BCA2" w:rsidR="00542158" w:rsidRPr="006075A4" w:rsidRDefault="0034362B" w:rsidP="000263B4">
      <w:pPr>
        <w:spacing w:line="240" w:lineRule="auto"/>
        <w:jc w:val="both"/>
        <w:rPr>
          <w:lang w:val="en-GB"/>
        </w:rPr>
      </w:pPr>
      <w:r w:rsidRPr="006075A4">
        <w:rPr>
          <w:lang w:val="en-GB"/>
        </w:rPr>
        <w:t xml:space="preserve">Member States may require third-country nationals with long-term resident status to pass a civic integration examination. However, the means of implementing that obligation must not jeopardise the achievement of the objectives pursued by the directive on long-term residents. </w:t>
      </w:r>
    </w:p>
    <w:p w14:paraId="5A09CAD4" w14:textId="6AEE3944" w:rsidR="00624AFF" w:rsidRPr="006075A4" w:rsidRDefault="0034362B" w:rsidP="000263B4">
      <w:pPr>
        <w:spacing w:line="240" w:lineRule="auto"/>
        <w:rPr>
          <w:lang w:val="en-GB"/>
        </w:rPr>
      </w:pPr>
      <w:r w:rsidRPr="006075A4">
        <w:rPr>
          <w:lang w:val="en-GB"/>
        </w:rPr>
        <w:t xml:space="preserve">The judgement is available </w:t>
      </w:r>
      <w:hyperlink r:id="rId39" w:history="1">
        <w:r w:rsidRPr="006075A4">
          <w:rPr>
            <w:rStyle w:val="Hyperlink"/>
            <w:lang w:val="en-GB"/>
          </w:rPr>
          <w:t>here</w:t>
        </w:r>
      </w:hyperlink>
      <w:r w:rsidRPr="006075A4">
        <w:rPr>
          <w:lang w:val="en-GB"/>
        </w:rPr>
        <w:t xml:space="preserve">. </w:t>
      </w:r>
    </w:p>
    <w:p w14:paraId="44B7183B" w14:textId="5D0A3979" w:rsidR="00624AFF" w:rsidRPr="006075A4" w:rsidRDefault="00B40C5A" w:rsidP="000263B4">
      <w:pPr>
        <w:pStyle w:val="ListParagraph"/>
        <w:numPr>
          <w:ilvl w:val="0"/>
          <w:numId w:val="9"/>
        </w:numPr>
        <w:spacing w:line="240" w:lineRule="auto"/>
        <w:rPr>
          <w:b/>
          <w:lang w:val="en-GB"/>
        </w:rPr>
      </w:pPr>
      <w:r w:rsidRPr="006075A4">
        <w:rPr>
          <w:b/>
          <w:lang w:val="en-GB"/>
        </w:rPr>
        <w:t xml:space="preserve">Opinion of the Advocate General in Case C-299/14 - </w:t>
      </w:r>
      <w:proofErr w:type="spellStart"/>
      <w:r w:rsidRPr="006075A4">
        <w:rPr>
          <w:b/>
          <w:lang w:val="en-GB"/>
        </w:rPr>
        <w:t>Vestische</w:t>
      </w:r>
      <w:proofErr w:type="spellEnd"/>
      <w:r w:rsidRPr="006075A4">
        <w:rPr>
          <w:b/>
          <w:lang w:val="en-GB"/>
        </w:rPr>
        <w:t xml:space="preserve"> </w:t>
      </w:r>
      <w:proofErr w:type="spellStart"/>
      <w:r w:rsidRPr="006075A4">
        <w:rPr>
          <w:b/>
          <w:lang w:val="en-GB"/>
        </w:rPr>
        <w:t>Arbeit</w:t>
      </w:r>
      <w:proofErr w:type="spellEnd"/>
      <w:r w:rsidRPr="006075A4">
        <w:rPr>
          <w:b/>
          <w:lang w:val="en-GB"/>
        </w:rPr>
        <w:t xml:space="preserve"> </w:t>
      </w:r>
      <w:proofErr w:type="spellStart"/>
      <w:r w:rsidRPr="006075A4">
        <w:rPr>
          <w:b/>
          <w:lang w:val="en-GB"/>
        </w:rPr>
        <w:t>Jobcenter</w:t>
      </w:r>
      <w:proofErr w:type="spellEnd"/>
      <w:r w:rsidRPr="006075A4">
        <w:rPr>
          <w:b/>
          <w:lang w:val="en-GB"/>
        </w:rPr>
        <w:t xml:space="preserve"> </w:t>
      </w:r>
      <w:proofErr w:type="spellStart"/>
      <w:r w:rsidRPr="006075A4">
        <w:rPr>
          <w:b/>
          <w:lang w:val="en-GB"/>
        </w:rPr>
        <w:t>Kreis</w:t>
      </w:r>
      <w:proofErr w:type="spellEnd"/>
      <w:r w:rsidRPr="006075A4">
        <w:rPr>
          <w:b/>
          <w:lang w:val="en-GB"/>
        </w:rPr>
        <w:t xml:space="preserve"> Recklinghausen v </w:t>
      </w:r>
      <w:proofErr w:type="spellStart"/>
      <w:r w:rsidRPr="006075A4">
        <w:rPr>
          <w:b/>
          <w:lang w:val="en-GB"/>
        </w:rPr>
        <w:t>Jovanna</w:t>
      </w:r>
      <w:proofErr w:type="spellEnd"/>
      <w:r w:rsidRPr="006075A4">
        <w:rPr>
          <w:b/>
          <w:lang w:val="en-GB"/>
        </w:rPr>
        <w:t xml:space="preserve"> </w:t>
      </w:r>
      <w:proofErr w:type="spellStart"/>
      <w:r w:rsidRPr="006075A4">
        <w:rPr>
          <w:b/>
          <w:lang w:val="en-GB"/>
        </w:rPr>
        <w:t>García</w:t>
      </w:r>
      <w:proofErr w:type="spellEnd"/>
      <w:r w:rsidRPr="006075A4">
        <w:rPr>
          <w:b/>
          <w:lang w:val="en-GB"/>
        </w:rPr>
        <w:t xml:space="preserve">-Nieto, Joel Peña Cuevas, </w:t>
      </w:r>
      <w:proofErr w:type="spellStart"/>
      <w:r w:rsidRPr="006075A4">
        <w:rPr>
          <w:b/>
          <w:lang w:val="en-GB"/>
        </w:rPr>
        <w:t>Jovanlis</w:t>
      </w:r>
      <w:proofErr w:type="spellEnd"/>
      <w:r w:rsidRPr="006075A4">
        <w:rPr>
          <w:b/>
          <w:lang w:val="en-GB"/>
        </w:rPr>
        <w:t xml:space="preserve"> Peña </w:t>
      </w:r>
      <w:proofErr w:type="spellStart"/>
      <w:r w:rsidRPr="006075A4">
        <w:rPr>
          <w:b/>
          <w:lang w:val="en-GB"/>
        </w:rPr>
        <w:t>García</w:t>
      </w:r>
      <w:proofErr w:type="spellEnd"/>
      <w:r w:rsidRPr="006075A4">
        <w:rPr>
          <w:b/>
          <w:lang w:val="en-GB"/>
        </w:rPr>
        <w:t>, Joel Luis Peña Cruz</w:t>
      </w:r>
    </w:p>
    <w:p w14:paraId="01AF2936" w14:textId="62E15F46" w:rsidR="00B40C5A" w:rsidRPr="006075A4" w:rsidRDefault="00B40C5A" w:rsidP="000263B4">
      <w:pPr>
        <w:spacing w:line="240" w:lineRule="auto"/>
        <w:jc w:val="both"/>
        <w:rPr>
          <w:lang w:val="en-GB"/>
        </w:rPr>
      </w:pPr>
      <w:r w:rsidRPr="006075A4">
        <w:rPr>
          <w:lang w:val="en-GB"/>
        </w:rPr>
        <w:t xml:space="preserve">According to Advocate General </w:t>
      </w:r>
      <w:proofErr w:type="spellStart"/>
      <w:r w:rsidRPr="006075A4">
        <w:rPr>
          <w:lang w:val="en-GB"/>
        </w:rPr>
        <w:t>Wathelet</w:t>
      </w:r>
      <w:proofErr w:type="spellEnd"/>
      <w:r w:rsidRPr="006075A4">
        <w:rPr>
          <w:lang w:val="en-GB"/>
        </w:rPr>
        <w:t>, EU citizens who move to a Member State of which they are not nationals may be excluded from entitlement to certain social benefits during the first three months. However, they may not be excluded during that period from entitlement to benefits intended to facilitate access to the labour market without being given the opportunity to prove the existence of a genuine link with the labour market in the host Member State</w:t>
      </w:r>
      <w:r w:rsidR="009913B6" w:rsidRPr="006075A4">
        <w:rPr>
          <w:lang w:val="en-GB"/>
        </w:rPr>
        <w:t xml:space="preserve">. </w:t>
      </w:r>
    </w:p>
    <w:p w14:paraId="30514232" w14:textId="40B4C2CA" w:rsidR="00B40C5A" w:rsidRPr="006075A4" w:rsidRDefault="00B40C5A" w:rsidP="000263B4">
      <w:pPr>
        <w:spacing w:line="240" w:lineRule="auto"/>
        <w:rPr>
          <w:lang w:val="en-GB"/>
        </w:rPr>
      </w:pPr>
      <w:r w:rsidRPr="006075A4">
        <w:rPr>
          <w:lang w:val="en-GB"/>
        </w:rPr>
        <w:t xml:space="preserve">The opinion is available </w:t>
      </w:r>
      <w:hyperlink r:id="rId40" w:history="1">
        <w:r w:rsidRPr="006075A4">
          <w:rPr>
            <w:rStyle w:val="Hyperlink"/>
            <w:lang w:val="en-GB"/>
          </w:rPr>
          <w:t>here</w:t>
        </w:r>
      </w:hyperlink>
      <w:r w:rsidRPr="006075A4">
        <w:rPr>
          <w:lang w:val="en-GB"/>
        </w:rPr>
        <w:t xml:space="preserve">. </w:t>
      </w:r>
    </w:p>
    <w:p w14:paraId="3F297AE2" w14:textId="77777777" w:rsidR="00B07813" w:rsidRPr="006075A4" w:rsidRDefault="00B07813" w:rsidP="000263B4">
      <w:pPr>
        <w:pStyle w:val="Heading2"/>
        <w:spacing w:line="240" w:lineRule="auto"/>
        <w:rPr>
          <w:lang w:val="en-GB"/>
        </w:rPr>
      </w:pPr>
    </w:p>
    <w:p w14:paraId="7B10DD56" w14:textId="02E77F2D" w:rsidR="009913B6" w:rsidRPr="006075A4" w:rsidRDefault="00AB116C" w:rsidP="000263B4">
      <w:pPr>
        <w:pStyle w:val="Heading2"/>
        <w:spacing w:line="240" w:lineRule="auto"/>
        <w:rPr>
          <w:lang w:val="en-GB"/>
        </w:rPr>
      </w:pPr>
      <w:bookmarkStart w:id="37" w:name="_Ref421267644"/>
      <w:r w:rsidRPr="006075A4">
        <w:rPr>
          <w:lang w:val="en-GB"/>
        </w:rPr>
        <w:t>European Court of Human Rights (ECHR)</w:t>
      </w:r>
      <w:bookmarkEnd w:id="37"/>
      <w:r w:rsidR="009913B6" w:rsidRPr="006075A4">
        <w:rPr>
          <w:lang w:val="en-GB"/>
        </w:rPr>
        <w:br/>
      </w:r>
    </w:p>
    <w:p w14:paraId="5108356F" w14:textId="1A0A6CDD" w:rsidR="009913B6" w:rsidRPr="006075A4" w:rsidRDefault="009913B6" w:rsidP="000263B4">
      <w:pPr>
        <w:pStyle w:val="ListParagraph"/>
        <w:numPr>
          <w:ilvl w:val="0"/>
          <w:numId w:val="9"/>
        </w:numPr>
        <w:spacing w:line="240" w:lineRule="auto"/>
        <w:rPr>
          <w:b/>
          <w:lang w:val="en-GB"/>
        </w:rPr>
      </w:pPr>
      <w:proofErr w:type="spellStart"/>
      <w:r w:rsidRPr="006075A4">
        <w:rPr>
          <w:b/>
          <w:lang w:val="en-GB"/>
        </w:rPr>
        <w:t>Identoba</w:t>
      </w:r>
      <w:proofErr w:type="spellEnd"/>
      <w:r w:rsidRPr="006075A4">
        <w:rPr>
          <w:b/>
          <w:lang w:val="en-GB"/>
        </w:rPr>
        <w:t xml:space="preserve"> and others v. Georgia (12.05.2015, application no. 73235/12)</w:t>
      </w:r>
    </w:p>
    <w:p w14:paraId="030EA748" w14:textId="728DA6BE" w:rsidR="00845CD1" w:rsidRPr="006075A4" w:rsidRDefault="00845CD1" w:rsidP="000263B4">
      <w:pPr>
        <w:spacing w:line="240" w:lineRule="auto"/>
        <w:rPr>
          <w:lang w:val="en-GB"/>
        </w:rPr>
      </w:pPr>
      <w:r w:rsidRPr="006075A4">
        <w:rPr>
          <w:lang w:val="en-GB"/>
        </w:rPr>
        <w:t xml:space="preserve">In the case of </w:t>
      </w:r>
      <w:proofErr w:type="spellStart"/>
      <w:r w:rsidRPr="006075A4">
        <w:rPr>
          <w:lang w:val="en-GB"/>
        </w:rPr>
        <w:t>Identoba</w:t>
      </w:r>
      <w:proofErr w:type="spellEnd"/>
      <w:r w:rsidRPr="006075A4">
        <w:rPr>
          <w:lang w:val="en-GB"/>
        </w:rPr>
        <w:t xml:space="preserve"> and Others v. Georgia, the European Court of Human Rights held:</w:t>
      </w:r>
    </w:p>
    <w:p w14:paraId="73899503" w14:textId="02D033FE" w:rsidR="00845CD1" w:rsidRPr="00217BAD" w:rsidRDefault="00217BAD" w:rsidP="00217BAD">
      <w:pPr>
        <w:spacing w:line="240" w:lineRule="auto"/>
        <w:jc w:val="both"/>
        <w:rPr>
          <w:lang w:val="en-GB"/>
        </w:rPr>
      </w:pPr>
      <w:r>
        <w:rPr>
          <w:lang w:val="en-GB"/>
        </w:rPr>
        <w:t xml:space="preserve">By </w:t>
      </w:r>
      <w:r w:rsidR="00845CD1" w:rsidRPr="00217BAD">
        <w:rPr>
          <w:lang w:val="en-GB"/>
        </w:rPr>
        <w:t xml:space="preserve">majority, that there had been a </w:t>
      </w:r>
      <w:r w:rsidR="00845CD1" w:rsidRPr="00217BAD">
        <w:rPr>
          <w:b/>
          <w:lang w:val="en-GB"/>
        </w:rPr>
        <w:t>violation of Article 3</w:t>
      </w:r>
      <w:r w:rsidR="00845CD1" w:rsidRPr="00217BAD">
        <w:rPr>
          <w:lang w:val="en-GB"/>
        </w:rPr>
        <w:t xml:space="preserve"> (prohibition of inhuman or degrading treatment) taken in conjunction </w:t>
      </w:r>
      <w:r w:rsidR="00845CD1" w:rsidRPr="00217BAD">
        <w:rPr>
          <w:b/>
          <w:lang w:val="en-GB"/>
        </w:rPr>
        <w:t>with Article 14</w:t>
      </w:r>
      <w:r w:rsidR="00845CD1" w:rsidRPr="00217BAD">
        <w:rPr>
          <w:lang w:val="en-GB"/>
        </w:rPr>
        <w:t xml:space="preserve"> (prohibition of discrimination) of the European Convention on Human Rights, and unanimously, that there had been a </w:t>
      </w:r>
      <w:r w:rsidR="00845CD1" w:rsidRPr="00217BAD">
        <w:rPr>
          <w:b/>
          <w:lang w:val="en-GB"/>
        </w:rPr>
        <w:t>violation of Article 11</w:t>
      </w:r>
      <w:r w:rsidR="00845CD1" w:rsidRPr="00217BAD">
        <w:rPr>
          <w:lang w:val="en-GB"/>
        </w:rPr>
        <w:t xml:space="preserve"> (freedom of assembly and association) in conjunction </w:t>
      </w:r>
      <w:r w:rsidR="00845CD1" w:rsidRPr="00217BAD">
        <w:rPr>
          <w:b/>
          <w:lang w:val="en-GB"/>
        </w:rPr>
        <w:t>with Article 14</w:t>
      </w:r>
      <w:r w:rsidR="00845CD1" w:rsidRPr="00217BAD">
        <w:rPr>
          <w:lang w:val="en-GB"/>
        </w:rPr>
        <w:t>.</w:t>
      </w:r>
    </w:p>
    <w:p w14:paraId="558A5041" w14:textId="77777777" w:rsidR="00845CD1" w:rsidRPr="006075A4" w:rsidRDefault="00845CD1" w:rsidP="000263B4">
      <w:pPr>
        <w:spacing w:line="240" w:lineRule="auto"/>
        <w:jc w:val="both"/>
        <w:rPr>
          <w:lang w:val="en-GB"/>
        </w:rPr>
      </w:pPr>
      <w:r w:rsidRPr="006075A4">
        <w:rPr>
          <w:lang w:val="en-GB"/>
        </w:rPr>
        <w:t>The case concerned a peaceful demonstration in Tbilisi in May 2012 to mark the International Day against Homophobia, which was violently disrupted by counter-demonstrators outnumbering the marchers.</w:t>
      </w:r>
    </w:p>
    <w:p w14:paraId="6CC2FADB" w14:textId="67131358" w:rsidR="00B07813" w:rsidRPr="006075A4" w:rsidRDefault="00845CD1" w:rsidP="000263B4">
      <w:pPr>
        <w:spacing w:line="240" w:lineRule="auto"/>
        <w:jc w:val="both"/>
        <w:rPr>
          <w:lang w:val="en-GB"/>
        </w:rPr>
      </w:pPr>
      <w:r w:rsidRPr="006075A4">
        <w:rPr>
          <w:lang w:val="en-GB"/>
        </w:rPr>
        <w:t>The Court considered in particular that the authorities knew or ought to have known of the risks surrounding the demonstration. They had therefore been under an obligation – but had failed – to provide adequate protection so that it could be held peacefully.</w:t>
      </w:r>
    </w:p>
    <w:p w14:paraId="71DDDA78" w14:textId="65765368" w:rsidR="00845CD1" w:rsidRPr="006075A4" w:rsidRDefault="00845CD1" w:rsidP="000263B4">
      <w:pPr>
        <w:spacing w:line="240" w:lineRule="auto"/>
        <w:jc w:val="both"/>
        <w:rPr>
          <w:lang w:val="en-GB"/>
        </w:rPr>
      </w:pPr>
      <w:r w:rsidRPr="006075A4">
        <w:rPr>
          <w:lang w:val="en-GB"/>
        </w:rPr>
        <w:t xml:space="preserve">The case is available </w:t>
      </w:r>
      <w:hyperlink r:id="rId41" w:anchor="{&quot;itemid&quot;:[&quot;001-154400&quot;]}" w:history="1">
        <w:r w:rsidRPr="006075A4">
          <w:rPr>
            <w:rStyle w:val="Hyperlink"/>
            <w:lang w:val="en-GB"/>
          </w:rPr>
          <w:t>here</w:t>
        </w:r>
      </w:hyperlink>
      <w:r w:rsidRPr="006075A4">
        <w:rPr>
          <w:lang w:val="en-GB"/>
        </w:rPr>
        <w:t xml:space="preserve">. </w:t>
      </w:r>
    </w:p>
    <w:sectPr w:rsidR="00845CD1" w:rsidRPr="006075A4" w:rsidSect="006415D5">
      <w:footerReference w:type="default" r:id="rId4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80A91" w14:textId="77777777" w:rsidR="00B07813" w:rsidRDefault="00B07813" w:rsidP="001140DC">
      <w:pPr>
        <w:spacing w:after="0" w:line="240" w:lineRule="auto"/>
      </w:pPr>
      <w:r>
        <w:separator/>
      </w:r>
    </w:p>
  </w:endnote>
  <w:endnote w:type="continuationSeparator" w:id="0">
    <w:p w14:paraId="66C38360" w14:textId="77777777" w:rsidR="00B07813" w:rsidRDefault="00B07813" w:rsidP="0011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768080"/>
      <w:docPartObj>
        <w:docPartGallery w:val="Page Numbers (Bottom of Page)"/>
        <w:docPartUnique/>
      </w:docPartObj>
    </w:sdtPr>
    <w:sdtEndPr>
      <w:rPr>
        <w:noProof/>
      </w:rPr>
    </w:sdtEndPr>
    <w:sdtContent>
      <w:p w14:paraId="4691FE19" w14:textId="77777777" w:rsidR="00B07813" w:rsidRDefault="00B07813">
        <w:pPr>
          <w:pStyle w:val="Footer"/>
          <w:jc w:val="center"/>
        </w:pPr>
        <w:r>
          <w:fldChar w:fldCharType="begin"/>
        </w:r>
        <w:r>
          <w:instrText xml:space="preserve"> PAGE   \* MERGEFORMAT </w:instrText>
        </w:r>
        <w:r>
          <w:fldChar w:fldCharType="separate"/>
        </w:r>
        <w:r w:rsidR="0051290D">
          <w:rPr>
            <w:noProof/>
          </w:rPr>
          <w:t>6</w:t>
        </w:r>
        <w:r>
          <w:rPr>
            <w:noProof/>
          </w:rPr>
          <w:fldChar w:fldCharType="end"/>
        </w:r>
      </w:p>
    </w:sdtContent>
  </w:sdt>
  <w:p w14:paraId="69CDCD89" w14:textId="77777777" w:rsidR="00B07813" w:rsidRDefault="00B07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7F39C" w14:textId="77777777" w:rsidR="00B07813" w:rsidRDefault="00B07813" w:rsidP="001140DC">
      <w:pPr>
        <w:spacing w:after="0" w:line="240" w:lineRule="auto"/>
      </w:pPr>
      <w:r>
        <w:separator/>
      </w:r>
    </w:p>
  </w:footnote>
  <w:footnote w:type="continuationSeparator" w:id="0">
    <w:p w14:paraId="2DAA5EEB" w14:textId="77777777" w:rsidR="00B07813" w:rsidRDefault="00B07813" w:rsidP="00114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E2214"/>
    <w:multiLevelType w:val="hybridMultilevel"/>
    <w:tmpl w:val="85EC24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E1683B"/>
    <w:multiLevelType w:val="hybridMultilevel"/>
    <w:tmpl w:val="CA7A21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D0E1381"/>
    <w:multiLevelType w:val="hybridMultilevel"/>
    <w:tmpl w:val="D512D0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6B5BDD"/>
    <w:multiLevelType w:val="hybridMultilevel"/>
    <w:tmpl w:val="07A00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C676E5"/>
    <w:multiLevelType w:val="hybridMultilevel"/>
    <w:tmpl w:val="FF2E40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40F3AA6"/>
    <w:multiLevelType w:val="hybridMultilevel"/>
    <w:tmpl w:val="5EC8AF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5394E98"/>
    <w:multiLevelType w:val="hybridMultilevel"/>
    <w:tmpl w:val="7C9E571C"/>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1C0532EB"/>
    <w:multiLevelType w:val="hybridMultilevel"/>
    <w:tmpl w:val="3F028B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3CD1781"/>
    <w:multiLevelType w:val="hybridMultilevel"/>
    <w:tmpl w:val="C89C9D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A327DD3"/>
    <w:multiLevelType w:val="hybridMultilevel"/>
    <w:tmpl w:val="A1DE41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E86CC4"/>
    <w:multiLevelType w:val="hybridMultilevel"/>
    <w:tmpl w:val="B80C5A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0586FCD"/>
    <w:multiLevelType w:val="hybridMultilevel"/>
    <w:tmpl w:val="D9DC66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5692E43"/>
    <w:multiLevelType w:val="hybridMultilevel"/>
    <w:tmpl w:val="96A606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CEF4E28"/>
    <w:multiLevelType w:val="hybridMultilevel"/>
    <w:tmpl w:val="3E5007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EAA337E"/>
    <w:multiLevelType w:val="hybridMultilevel"/>
    <w:tmpl w:val="399C92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5AE6005"/>
    <w:multiLevelType w:val="hybridMultilevel"/>
    <w:tmpl w:val="C59697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5DE0D0E"/>
    <w:multiLevelType w:val="hybridMultilevel"/>
    <w:tmpl w:val="1734AC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6AF6547"/>
    <w:multiLevelType w:val="hybridMultilevel"/>
    <w:tmpl w:val="400C60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0FB7F07"/>
    <w:multiLevelType w:val="hybridMultilevel"/>
    <w:tmpl w:val="EA485B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2E864B6"/>
    <w:multiLevelType w:val="hybridMultilevel"/>
    <w:tmpl w:val="ABB251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4201901"/>
    <w:multiLevelType w:val="hybridMultilevel"/>
    <w:tmpl w:val="08144D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5781939"/>
    <w:multiLevelType w:val="hybridMultilevel"/>
    <w:tmpl w:val="95546638"/>
    <w:lvl w:ilvl="0" w:tplc="69EAA37E">
      <w:numFmt w:val="bullet"/>
      <w:lvlText w:val="-"/>
      <w:lvlJc w:val="left"/>
      <w:pPr>
        <w:ind w:left="405" w:hanging="360"/>
      </w:pPr>
      <w:rPr>
        <w:rFonts w:ascii="Calibri" w:eastAsiaTheme="minorHAnsi" w:hAnsi="Calibri" w:cstheme="minorBidi" w:hint="default"/>
      </w:rPr>
    </w:lvl>
    <w:lvl w:ilvl="1" w:tplc="080C0003"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22" w15:restartNumberingAfterBreak="0">
    <w:nsid w:val="5B0055A2"/>
    <w:multiLevelType w:val="hybridMultilevel"/>
    <w:tmpl w:val="FB6AB3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BB85DA2"/>
    <w:multiLevelType w:val="hybridMultilevel"/>
    <w:tmpl w:val="B81ED6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C3F1FB5"/>
    <w:multiLevelType w:val="hybridMultilevel"/>
    <w:tmpl w:val="5AA25B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9704737"/>
    <w:multiLevelType w:val="hybridMultilevel"/>
    <w:tmpl w:val="921CD2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E8F3A8A"/>
    <w:multiLevelType w:val="hybridMultilevel"/>
    <w:tmpl w:val="020609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2DD5D56"/>
    <w:multiLevelType w:val="hybridMultilevel"/>
    <w:tmpl w:val="F184E5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7972EA8"/>
    <w:multiLevelType w:val="hybridMultilevel"/>
    <w:tmpl w:val="4C18A7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B885D91"/>
    <w:multiLevelType w:val="hybridMultilevel"/>
    <w:tmpl w:val="BF860D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C576F0F"/>
    <w:multiLevelType w:val="hybridMultilevel"/>
    <w:tmpl w:val="BF26C4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16"/>
  </w:num>
  <w:num w:numId="4">
    <w:abstractNumId w:val="23"/>
  </w:num>
  <w:num w:numId="5">
    <w:abstractNumId w:val="25"/>
  </w:num>
  <w:num w:numId="6">
    <w:abstractNumId w:val="15"/>
  </w:num>
  <w:num w:numId="7">
    <w:abstractNumId w:val="8"/>
  </w:num>
  <w:num w:numId="8">
    <w:abstractNumId w:val="11"/>
  </w:num>
  <w:num w:numId="9">
    <w:abstractNumId w:val="0"/>
  </w:num>
  <w:num w:numId="10">
    <w:abstractNumId w:val="12"/>
  </w:num>
  <w:num w:numId="11">
    <w:abstractNumId w:val="27"/>
  </w:num>
  <w:num w:numId="12">
    <w:abstractNumId w:val="22"/>
  </w:num>
  <w:num w:numId="13">
    <w:abstractNumId w:val="5"/>
  </w:num>
  <w:num w:numId="14">
    <w:abstractNumId w:val="19"/>
  </w:num>
  <w:num w:numId="15">
    <w:abstractNumId w:val="17"/>
  </w:num>
  <w:num w:numId="16">
    <w:abstractNumId w:val="2"/>
  </w:num>
  <w:num w:numId="17">
    <w:abstractNumId w:val="18"/>
  </w:num>
  <w:num w:numId="18">
    <w:abstractNumId w:val="7"/>
  </w:num>
  <w:num w:numId="19">
    <w:abstractNumId w:val="3"/>
  </w:num>
  <w:num w:numId="20">
    <w:abstractNumId w:val="10"/>
  </w:num>
  <w:num w:numId="21">
    <w:abstractNumId w:val="20"/>
  </w:num>
  <w:num w:numId="22">
    <w:abstractNumId w:val="28"/>
  </w:num>
  <w:num w:numId="23">
    <w:abstractNumId w:val="4"/>
  </w:num>
  <w:num w:numId="24">
    <w:abstractNumId w:val="14"/>
  </w:num>
  <w:num w:numId="25">
    <w:abstractNumId w:val="30"/>
  </w:num>
  <w:num w:numId="26">
    <w:abstractNumId w:val="21"/>
  </w:num>
  <w:num w:numId="27">
    <w:abstractNumId w:val="6"/>
  </w:num>
  <w:num w:numId="28">
    <w:abstractNumId w:val="9"/>
  </w:num>
  <w:num w:numId="29">
    <w:abstractNumId w:val="13"/>
  </w:num>
  <w:num w:numId="30">
    <w:abstractNumId w:val="26"/>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F6"/>
    <w:rsid w:val="000263B4"/>
    <w:rsid w:val="000348AB"/>
    <w:rsid w:val="000515A0"/>
    <w:rsid w:val="000B22AC"/>
    <w:rsid w:val="000B784B"/>
    <w:rsid w:val="000D5978"/>
    <w:rsid w:val="000F46D8"/>
    <w:rsid w:val="000F79AC"/>
    <w:rsid w:val="001140DC"/>
    <w:rsid w:val="0014109E"/>
    <w:rsid w:val="0016113D"/>
    <w:rsid w:val="00175EA1"/>
    <w:rsid w:val="00177C56"/>
    <w:rsid w:val="0018390B"/>
    <w:rsid w:val="0018402A"/>
    <w:rsid w:val="001B305F"/>
    <w:rsid w:val="001C172F"/>
    <w:rsid w:val="001E3467"/>
    <w:rsid w:val="00207FD0"/>
    <w:rsid w:val="00217BAD"/>
    <w:rsid w:val="00255FDB"/>
    <w:rsid w:val="00291191"/>
    <w:rsid w:val="002B08F4"/>
    <w:rsid w:val="002C3BF0"/>
    <w:rsid w:val="0034362B"/>
    <w:rsid w:val="0038736A"/>
    <w:rsid w:val="003C34AB"/>
    <w:rsid w:val="004275EC"/>
    <w:rsid w:val="0044701A"/>
    <w:rsid w:val="0048576D"/>
    <w:rsid w:val="004A7771"/>
    <w:rsid w:val="005047E4"/>
    <w:rsid w:val="0051290D"/>
    <w:rsid w:val="005165D2"/>
    <w:rsid w:val="00522381"/>
    <w:rsid w:val="00542158"/>
    <w:rsid w:val="00566380"/>
    <w:rsid w:val="005978FA"/>
    <w:rsid w:val="005A767B"/>
    <w:rsid w:val="005B04DF"/>
    <w:rsid w:val="005D3458"/>
    <w:rsid w:val="0060251B"/>
    <w:rsid w:val="006075A4"/>
    <w:rsid w:val="00624AFF"/>
    <w:rsid w:val="006415D5"/>
    <w:rsid w:val="0067153F"/>
    <w:rsid w:val="006C3CD5"/>
    <w:rsid w:val="00702D8C"/>
    <w:rsid w:val="00757D6D"/>
    <w:rsid w:val="00792C11"/>
    <w:rsid w:val="00837FF6"/>
    <w:rsid w:val="00845CD1"/>
    <w:rsid w:val="00871587"/>
    <w:rsid w:val="008719D8"/>
    <w:rsid w:val="00922F1E"/>
    <w:rsid w:val="00975348"/>
    <w:rsid w:val="0098311A"/>
    <w:rsid w:val="009913B6"/>
    <w:rsid w:val="009B4DBA"/>
    <w:rsid w:val="009C2CBE"/>
    <w:rsid w:val="00A34EB9"/>
    <w:rsid w:val="00A73FA9"/>
    <w:rsid w:val="00A74E27"/>
    <w:rsid w:val="00A83053"/>
    <w:rsid w:val="00A86A2F"/>
    <w:rsid w:val="00A91933"/>
    <w:rsid w:val="00A924CE"/>
    <w:rsid w:val="00A965AC"/>
    <w:rsid w:val="00A975CF"/>
    <w:rsid w:val="00AB116C"/>
    <w:rsid w:val="00B07813"/>
    <w:rsid w:val="00B33A99"/>
    <w:rsid w:val="00B40C5A"/>
    <w:rsid w:val="00B81B74"/>
    <w:rsid w:val="00BC522B"/>
    <w:rsid w:val="00BD7FB3"/>
    <w:rsid w:val="00BE1F3C"/>
    <w:rsid w:val="00BE506C"/>
    <w:rsid w:val="00C842B1"/>
    <w:rsid w:val="00C91705"/>
    <w:rsid w:val="00C92B6C"/>
    <w:rsid w:val="00CB2E4E"/>
    <w:rsid w:val="00CF7284"/>
    <w:rsid w:val="00D05673"/>
    <w:rsid w:val="00D1064D"/>
    <w:rsid w:val="00D54367"/>
    <w:rsid w:val="00D80D0E"/>
    <w:rsid w:val="00DA1BD6"/>
    <w:rsid w:val="00E014FB"/>
    <w:rsid w:val="00E300D5"/>
    <w:rsid w:val="00E64486"/>
    <w:rsid w:val="00E91D96"/>
    <w:rsid w:val="00EA1275"/>
    <w:rsid w:val="00F23218"/>
    <w:rsid w:val="00F31126"/>
    <w:rsid w:val="00F66D27"/>
    <w:rsid w:val="00F92C30"/>
    <w:rsid w:val="00FA6B5D"/>
    <w:rsid w:val="00FE6920"/>
    <w:rsid w:val="00FE7D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3213]"/>
    </o:shapedefaults>
    <o:shapelayout v:ext="edit">
      <o:idmap v:ext="edit" data="1"/>
    </o:shapelayout>
  </w:shapeDefaults>
  <w:decimalSymbol w:val=","/>
  <w:listSeparator w:val=";"/>
  <w14:docId w14:val="42898E6A"/>
  <w15:chartTrackingRefBased/>
  <w15:docId w15:val="{B0000E28-44AD-419A-A014-2BDD3AB1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3FA9"/>
    <w:pPr>
      <w:keepNext/>
      <w:keepLines/>
      <w:spacing w:before="240" w:after="0"/>
      <w:jc w:val="center"/>
      <w:outlineLvl w:val="0"/>
    </w:pPr>
    <w:rPr>
      <w:rFonts w:ascii="Tahoma" w:eastAsiaTheme="majorEastAsia" w:hAnsi="Tahom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A924CE"/>
    <w:pPr>
      <w:keepNext/>
      <w:keepLines/>
      <w:spacing w:before="40" w:after="0"/>
      <w:outlineLvl w:val="1"/>
    </w:pPr>
    <w:rPr>
      <w:rFonts w:asciiTheme="majorHAnsi" w:eastAsiaTheme="majorEastAsia" w:hAnsiTheme="majorHAnsi" w:cstheme="majorBidi"/>
      <w:b/>
      <w:color w:val="BF8F00" w:themeColor="accent4"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FA9"/>
    <w:rPr>
      <w:rFonts w:ascii="Tahoma" w:eastAsiaTheme="majorEastAsia" w:hAnsi="Tahoma" w:cstheme="majorBidi"/>
      <w:b/>
      <w:color w:val="2E74B5" w:themeColor="accent1" w:themeShade="BF"/>
      <w:sz w:val="32"/>
      <w:szCs w:val="32"/>
    </w:rPr>
  </w:style>
  <w:style w:type="paragraph" w:styleId="TOCHeading">
    <w:name w:val="TOC Heading"/>
    <w:basedOn w:val="Heading1"/>
    <w:next w:val="Normal"/>
    <w:uiPriority w:val="39"/>
    <w:unhideWhenUsed/>
    <w:qFormat/>
    <w:rsid w:val="00BE506C"/>
    <w:pPr>
      <w:outlineLvl w:val="9"/>
    </w:pPr>
    <w:rPr>
      <w:lang w:val="en-US"/>
    </w:rPr>
  </w:style>
  <w:style w:type="paragraph" w:styleId="TOC1">
    <w:name w:val="toc 1"/>
    <w:basedOn w:val="Normal"/>
    <w:next w:val="Normal"/>
    <w:autoRedefine/>
    <w:uiPriority w:val="39"/>
    <w:unhideWhenUsed/>
    <w:rsid w:val="00F66D27"/>
    <w:pPr>
      <w:tabs>
        <w:tab w:val="right" w:leader="dot" w:pos="9736"/>
      </w:tabs>
      <w:spacing w:after="100"/>
    </w:pPr>
    <w:rPr>
      <w:b/>
      <w:noProof/>
      <w:sz w:val="28"/>
      <w:lang w:val="en-US"/>
    </w:rPr>
  </w:style>
  <w:style w:type="character" w:styleId="Hyperlink">
    <w:name w:val="Hyperlink"/>
    <w:basedOn w:val="DefaultParagraphFont"/>
    <w:uiPriority w:val="99"/>
    <w:unhideWhenUsed/>
    <w:rsid w:val="00922F1E"/>
    <w:rPr>
      <w:color w:val="0563C1" w:themeColor="hyperlink"/>
      <w:u w:val="single"/>
    </w:rPr>
  </w:style>
  <w:style w:type="paragraph" w:styleId="Header">
    <w:name w:val="header"/>
    <w:basedOn w:val="Normal"/>
    <w:link w:val="HeaderChar"/>
    <w:uiPriority w:val="99"/>
    <w:unhideWhenUsed/>
    <w:rsid w:val="001140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140DC"/>
  </w:style>
  <w:style w:type="paragraph" w:styleId="Footer">
    <w:name w:val="footer"/>
    <w:basedOn w:val="Normal"/>
    <w:link w:val="FooterChar"/>
    <w:uiPriority w:val="99"/>
    <w:unhideWhenUsed/>
    <w:rsid w:val="001140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40DC"/>
  </w:style>
  <w:style w:type="character" w:customStyle="1" w:styleId="Heading2Char">
    <w:name w:val="Heading 2 Char"/>
    <w:basedOn w:val="DefaultParagraphFont"/>
    <w:link w:val="Heading2"/>
    <w:uiPriority w:val="9"/>
    <w:rsid w:val="00A924CE"/>
    <w:rPr>
      <w:rFonts w:asciiTheme="majorHAnsi" w:eastAsiaTheme="majorEastAsia" w:hAnsiTheme="majorHAnsi" w:cstheme="majorBidi"/>
      <w:b/>
      <w:color w:val="BF8F00" w:themeColor="accent4" w:themeShade="BF"/>
      <w:sz w:val="26"/>
      <w:szCs w:val="26"/>
    </w:rPr>
  </w:style>
  <w:style w:type="paragraph" w:styleId="TOC2">
    <w:name w:val="toc 2"/>
    <w:basedOn w:val="Normal"/>
    <w:next w:val="Normal"/>
    <w:autoRedefine/>
    <w:uiPriority w:val="39"/>
    <w:unhideWhenUsed/>
    <w:rsid w:val="001140DC"/>
    <w:pPr>
      <w:spacing w:after="100"/>
      <w:ind w:left="220"/>
    </w:pPr>
  </w:style>
  <w:style w:type="table" w:styleId="TableGrid">
    <w:name w:val="Table Grid"/>
    <w:basedOn w:val="TableNormal"/>
    <w:uiPriority w:val="39"/>
    <w:rsid w:val="00641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1F3C"/>
    <w:rPr>
      <w:color w:val="954F72" w:themeColor="followedHyperlink"/>
      <w:u w:val="single"/>
    </w:rPr>
  </w:style>
  <w:style w:type="paragraph" w:styleId="ListParagraph">
    <w:name w:val="List Paragraph"/>
    <w:basedOn w:val="Normal"/>
    <w:uiPriority w:val="34"/>
    <w:qFormat/>
    <w:rsid w:val="00A73FA9"/>
    <w:pPr>
      <w:ind w:left="720"/>
      <w:contextualSpacing/>
    </w:pPr>
  </w:style>
  <w:style w:type="character" w:styleId="CommentReference">
    <w:name w:val="annotation reference"/>
    <w:basedOn w:val="DefaultParagraphFont"/>
    <w:uiPriority w:val="99"/>
    <w:semiHidden/>
    <w:unhideWhenUsed/>
    <w:rsid w:val="00EA1275"/>
    <w:rPr>
      <w:sz w:val="16"/>
      <w:szCs w:val="16"/>
    </w:rPr>
  </w:style>
  <w:style w:type="paragraph" w:styleId="CommentText">
    <w:name w:val="annotation text"/>
    <w:basedOn w:val="Normal"/>
    <w:link w:val="CommentTextChar"/>
    <w:uiPriority w:val="99"/>
    <w:semiHidden/>
    <w:unhideWhenUsed/>
    <w:rsid w:val="00EA1275"/>
    <w:pPr>
      <w:spacing w:line="240" w:lineRule="auto"/>
    </w:pPr>
    <w:rPr>
      <w:sz w:val="20"/>
      <w:szCs w:val="20"/>
    </w:rPr>
  </w:style>
  <w:style w:type="character" w:customStyle="1" w:styleId="CommentTextChar">
    <w:name w:val="Comment Text Char"/>
    <w:basedOn w:val="DefaultParagraphFont"/>
    <w:link w:val="CommentText"/>
    <w:uiPriority w:val="99"/>
    <w:semiHidden/>
    <w:rsid w:val="00EA1275"/>
    <w:rPr>
      <w:sz w:val="20"/>
      <w:szCs w:val="20"/>
    </w:rPr>
  </w:style>
  <w:style w:type="paragraph" w:styleId="CommentSubject">
    <w:name w:val="annotation subject"/>
    <w:basedOn w:val="CommentText"/>
    <w:next w:val="CommentText"/>
    <w:link w:val="CommentSubjectChar"/>
    <w:uiPriority w:val="99"/>
    <w:semiHidden/>
    <w:unhideWhenUsed/>
    <w:rsid w:val="00EA1275"/>
    <w:rPr>
      <w:b/>
      <w:bCs/>
    </w:rPr>
  </w:style>
  <w:style w:type="character" w:customStyle="1" w:styleId="CommentSubjectChar">
    <w:name w:val="Comment Subject Char"/>
    <w:basedOn w:val="CommentTextChar"/>
    <w:link w:val="CommentSubject"/>
    <w:uiPriority w:val="99"/>
    <w:semiHidden/>
    <w:rsid w:val="00EA1275"/>
    <w:rPr>
      <w:b/>
      <w:bCs/>
      <w:sz w:val="20"/>
      <w:szCs w:val="20"/>
    </w:rPr>
  </w:style>
  <w:style w:type="paragraph" w:styleId="BalloonText">
    <w:name w:val="Balloon Text"/>
    <w:basedOn w:val="Normal"/>
    <w:link w:val="BalloonTextChar"/>
    <w:uiPriority w:val="99"/>
    <w:semiHidden/>
    <w:unhideWhenUsed/>
    <w:rsid w:val="00EA1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2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72669">
      <w:bodyDiv w:val="1"/>
      <w:marLeft w:val="0"/>
      <w:marRight w:val="0"/>
      <w:marTop w:val="0"/>
      <w:marBottom w:val="0"/>
      <w:divBdr>
        <w:top w:val="none" w:sz="0" w:space="0" w:color="auto"/>
        <w:left w:val="none" w:sz="0" w:space="0" w:color="auto"/>
        <w:bottom w:val="none" w:sz="0" w:space="0" w:color="auto"/>
        <w:right w:val="none" w:sz="0" w:space="0" w:color="auto"/>
      </w:divBdr>
    </w:div>
    <w:div w:id="805393295">
      <w:bodyDiv w:val="1"/>
      <w:marLeft w:val="0"/>
      <w:marRight w:val="0"/>
      <w:marTop w:val="0"/>
      <w:marBottom w:val="0"/>
      <w:divBdr>
        <w:top w:val="none" w:sz="0" w:space="0" w:color="auto"/>
        <w:left w:val="none" w:sz="0" w:space="0" w:color="auto"/>
        <w:bottom w:val="none" w:sz="0" w:space="0" w:color="auto"/>
        <w:right w:val="none" w:sz="0" w:space="0" w:color="auto"/>
      </w:divBdr>
    </w:div>
    <w:div w:id="1489788705">
      <w:bodyDiv w:val="1"/>
      <w:marLeft w:val="0"/>
      <w:marRight w:val="0"/>
      <w:marTop w:val="0"/>
      <w:marBottom w:val="0"/>
      <w:divBdr>
        <w:top w:val="none" w:sz="0" w:space="0" w:color="auto"/>
        <w:left w:val="none" w:sz="0" w:space="0" w:color="auto"/>
        <w:bottom w:val="none" w:sz="0" w:space="0" w:color="auto"/>
        <w:right w:val="none" w:sz="0" w:space="0" w:color="auto"/>
      </w:divBdr>
    </w:div>
    <w:div w:id="1688630473">
      <w:bodyDiv w:val="1"/>
      <w:marLeft w:val="0"/>
      <w:marRight w:val="0"/>
      <w:marTop w:val="0"/>
      <w:marBottom w:val="0"/>
      <w:divBdr>
        <w:top w:val="none" w:sz="0" w:space="0" w:color="auto"/>
        <w:left w:val="none" w:sz="0" w:space="0" w:color="auto"/>
        <w:bottom w:val="none" w:sz="0" w:space="0" w:color="auto"/>
        <w:right w:val="none" w:sz="0" w:space="0" w:color="auto"/>
      </w:divBdr>
    </w:div>
    <w:div w:id="1758289845">
      <w:bodyDiv w:val="1"/>
      <w:marLeft w:val="0"/>
      <w:marRight w:val="0"/>
      <w:marTop w:val="0"/>
      <w:marBottom w:val="0"/>
      <w:divBdr>
        <w:top w:val="none" w:sz="0" w:space="0" w:color="auto"/>
        <w:left w:val="none" w:sz="0" w:space="0" w:color="auto"/>
        <w:bottom w:val="none" w:sz="0" w:space="0" w:color="auto"/>
        <w:right w:val="none" w:sz="0" w:space="0" w:color="auto"/>
      </w:divBdr>
    </w:div>
    <w:div w:id="19146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quineteurope.org/Equality-Bodies-and-the-Gender" TargetMode="External"/><Relationship Id="rId18" Type="http://schemas.openxmlformats.org/officeDocument/2006/relationships/hyperlink" Target="http://ec.europa.eu/smart-regulation/better_regulation/key_docs_en.htm" TargetMode="External"/><Relationship Id="rId26" Type="http://schemas.openxmlformats.org/officeDocument/2006/relationships/hyperlink" Target="http://www.europarl.europa.eu/sides/getDoc.do?type=TA&amp;reference=P7-TA-2014-0062&amp;language=EN&amp;ring=A7-2014-0009" TargetMode="External"/><Relationship Id="rId39" Type="http://schemas.openxmlformats.org/officeDocument/2006/relationships/hyperlink" Target="http://curia.europa.eu/jcms/jcms/P_159354/" TargetMode="External"/><Relationship Id="rId3" Type="http://schemas.openxmlformats.org/officeDocument/2006/relationships/styles" Target="styles.xml"/><Relationship Id="rId21" Type="http://schemas.openxmlformats.org/officeDocument/2006/relationships/hyperlink" Target="http://www.ombudsman.europa.eu/en/cases/decision.faces/en/59836/html.bookmark" TargetMode="External"/><Relationship Id="rId34" Type="http://schemas.openxmlformats.org/officeDocument/2006/relationships/hyperlink" Target="http://ec.europa.eu/justice/discrimination/files/sexual_orientation_en.pdf"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ec.europa.eu/justice/grants1/calls/just_2014_rdis_ag_disc_en.htm" TargetMode="External"/><Relationship Id="rId25" Type="http://schemas.openxmlformats.org/officeDocument/2006/relationships/hyperlink" Target="http://www.lgbt-ep.eu/press-releases/commissioner-jourova-committed-to-lgbti-action-plan-in-2015/" TargetMode="External"/><Relationship Id="rId33" Type="http://schemas.openxmlformats.org/officeDocument/2006/relationships/hyperlink" Target="http://fra.europa.eu/en/media/press-packs/severe-labour-exploitation-eu" TargetMode="External"/><Relationship Id="rId38" Type="http://schemas.openxmlformats.org/officeDocument/2006/relationships/hyperlink" Target="http://fra.europa.eu/en/news/2015/un-disability-convention-driver-eu-change" TargetMode="External"/><Relationship Id="rId2" Type="http://schemas.openxmlformats.org/officeDocument/2006/relationships/numbering" Target="numbering.xml"/><Relationship Id="rId16" Type="http://schemas.openxmlformats.org/officeDocument/2006/relationships/hyperlink" Target="http://www.equineteurope.org/Equinet-High-Level-Seminar-on" TargetMode="External"/><Relationship Id="rId20" Type="http://schemas.openxmlformats.org/officeDocument/2006/relationships/hyperlink" Target="http://europa.eu/rapid/press-release_IP-15-4975_en.htm" TargetMode="External"/><Relationship Id="rId29" Type="http://schemas.openxmlformats.org/officeDocument/2006/relationships/hyperlink" Target="http://www.coe.int/en/web/portal/-/corporal-punishment-of-childr-1" TargetMode="External"/><Relationship Id="rId41" Type="http://schemas.openxmlformats.org/officeDocument/2006/relationships/hyperlink" Target="http://hudoc.echr.coe.int/sites/eng/pages/search.aspx?i=001-1544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quineteurope.org/European-Commission-on-the" TargetMode="External"/><Relationship Id="rId24" Type="http://schemas.openxmlformats.org/officeDocument/2006/relationships/hyperlink" Target="http://www.equineteurope.org/-Members-Bulletins-" TargetMode="External"/><Relationship Id="rId32" Type="http://schemas.openxmlformats.org/officeDocument/2006/relationships/hyperlink" Target="http://ec.europa.eu/justice/newsroom/fundamental-rights/news/150508_en.htm" TargetMode="External"/><Relationship Id="rId37" Type="http://schemas.openxmlformats.org/officeDocument/2006/relationships/hyperlink" Target="https://wcd.coe.int/ViewDoc.jsp?id=2321167&amp;Site=DC&amp;BackColorInternet=F5CA75&amp;BackColorIntranet=F5CA75&amp;BackColorLogged=A9BACE" TargetMode="External"/><Relationship Id="rId40" Type="http://schemas.openxmlformats.org/officeDocument/2006/relationships/hyperlink" Target="http://curia.europa.eu/jcms/jcms/P_159482/"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europarl.europa.eu/sides/getDoc.do?type=TA&amp;reference=P7-TA-2010-0373&amp;language=EN" TargetMode="External"/><Relationship Id="rId28" Type="http://schemas.openxmlformats.org/officeDocument/2006/relationships/hyperlink" Target="http://www.europarl.europa.eu/sides/getDoc.do?pubRef=-//EP//TEXT+TA+P8-TA-2015-0208+0+DOC+XML+V0//EN&amp;language=EN" TargetMode="External"/><Relationship Id="rId36" Type="http://schemas.openxmlformats.org/officeDocument/2006/relationships/hyperlink" Target="https://wcd.coe.int/com.instranet.InstraServlet?command=com.instranet.CmdBlobGet&amp;InstranetImage=2755111&amp;SecMode=1&amp;DocId=2274364&amp;Usage=2" TargetMode="External"/><Relationship Id="rId10" Type="http://schemas.openxmlformats.org/officeDocument/2006/relationships/hyperlink" Target="http://ec.europa.eu/justice/gender-equality/files/law_reviews/directive_2004_113_report_en.pdf" TargetMode="External"/><Relationship Id="rId19" Type="http://schemas.openxmlformats.org/officeDocument/2006/relationships/hyperlink" Target="http://ec.europa.eu/smart-regulation/better_regulation/documents/swd_2015_110_en.pdf" TargetMode="External"/><Relationship Id="rId31" Type="http://schemas.openxmlformats.org/officeDocument/2006/relationships/hyperlink" Target="http://ec.europa.eu/justice/newsroom/discrimination/news/150512_en.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machacova@equineteurope.org" TargetMode="External"/><Relationship Id="rId14" Type="http://schemas.openxmlformats.org/officeDocument/2006/relationships/image" Target="media/image3.png"/><Relationship Id="rId22" Type="http://schemas.openxmlformats.org/officeDocument/2006/relationships/hyperlink" Target="http://www.europarl.europa.eu/sides/getDoc.do?type=MOTION&amp;reference=B8-2015-0453&amp;language=EN" TargetMode="External"/><Relationship Id="rId27" Type="http://schemas.openxmlformats.org/officeDocument/2006/relationships/hyperlink" Target="http://ec.europa.eu/justice/events/colloquium-fundamental-rights-2015/index_en.htm" TargetMode="External"/><Relationship Id="rId30" Type="http://schemas.openxmlformats.org/officeDocument/2006/relationships/hyperlink" Target="http://www.coe.int/t/dg3/children/corporalpunishment/Presentation_en.asp" TargetMode="External"/><Relationship Id="rId35" Type="http://schemas.openxmlformats.org/officeDocument/2006/relationships/hyperlink" Target="http://fra.europa.eu/en/press-release/2015/rights-intersex-people-are-too-often-overlooked"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F991B-639C-4E99-90C5-76DB9264B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2568</Words>
  <Characters>14124</Characters>
  <Application>Microsoft Office Word</Application>
  <DocSecurity>0</DocSecurity>
  <Lines>117</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Machacova</dc:creator>
  <cp:keywords/>
  <dc:description/>
  <cp:lastModifiedBy>Jessica Machacova</cp:lastModifiedBy>
  <cp:revision>46</cp:revision>
  <cp:lastPrinted>2015-06-05T09:25:00Z</cp:lastPrinted>
  <dcterms:created xsi:type="dcterms:W3CDTF">2015-06-04T15:46:00Z</dcterms:created>
  <dcterms:modified xsi:type="dcterms:W3CDTF">2015-06-05T10:21:00Z</dcterms:modified>
</cp:coreProperties>
</file>