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C4E4E" w14:textId="77777777" w:rsidR="00866A41" w:rsidRDefault="00866A41" w:rsidP="000263B4">
      <w:pPr>
        <w:spacing w:line="240" w:lineRule="auto"/>
        <w:jc w:val="both"/>
        <w:rPr>
          <w:b/>
          <w:lang w:val="en-GB"/>
        </w:rPr>
      </w:pPr>
      <w:r>
        <w:rPr>
          <w:b/>
          <w:noProof/>
          <w:sz w:val="28"/>
          <w:lang w:eastAsia="fr-BE"/>
        </w:rPr>
        <w:drawing>
          <wp:anchor distT="0" distB="0" distL="114300" distR="114300" simplePos="0" relativeHeight="251658240" behindDoc="0" locked="0" layoutInCell="1" allowOverlap="1" wp14:anchorId="43B45506" wp14:editId="3D402F94">
            <wp:simplePos x="0" y="0"/>
            <wp:positionH relativeFrom="page">
              <wp:posOffset>-66675</wp:posOffset>
            </wp:positionH>
            <wp:positionV relativeFrom="page">
              <wp:posOffset>-28576</wp:posOffset>
            </wp:positionV>
            <wp:extent cx="7648575" cy="212094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2477" cy="21220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10D27" w14:textId="05E4C8F3" w:rsidR="00F66D27" w:rsidRPr="00866A41" w:rsidRDefault="00F31126" w:rsidP="000263B4">
      <w:pPr>
        <w:spacing w:line="240" w:lineRule="auto"/>
        <w:jc w:val="both"/>
        <w:rPr>
          <w:b/>
          <w:lang w:val="en-GB"/>
        </w:rPr>
      </w:pPr>
      <w:r w:rsidRPr="006075A4">
        <w:rPr>
          <w:b/>
          <w:lang w:val="en-GB"/>
        </w:rPr>
        <w:t xml:space="preserve">Dear Equinet Members, </w:t>
      </w:r>
      <w:r w:rsidRPr="006075A4">
        <w:rPr>
          <w:b/>
          <w:lang w:val="en-GB"/>
        </w:rPr>
        <w:tab/>
      </w:r>
      <w:r w:rsidRPr="006075A4">
        <w:rPr>
          <w:b/>
          <w:lang w:val="en-GB"/>
        </w:rPr>
        <w:br/>
      </w:r>
      <w:r w:rsidRPr="006075A4">
        <w:rPr>
          <w:lang w:val="en-GB"/>
        </w:rPr>
        <w:t xml:space="preserve">This Members’ Bulletin gathers </w:t>
      </w:r>
      <w:r w:rsidRPr="006075A4">
        <w:rPr>
          <w:b/>
          <w:lang w:val="en-GB"/>
        </w:rPr>
        <w:t>the latest European Union (EU) and international developments</w:t>
      </w:r>
      <w:r w:rsidRPr="006075A4">
        <w:rPr>
          <w:lang w:val="en-GB"/>
        </w:rPr>
        <w:t xml:space="preserve">. It aims to give you an </w:t>
      </w:r>
      <w:r w:rsidRPr="006075A4">
        <w:rPr>
          <w:b/>
          <w:lang w:val="en-GB"/>
        </w:rPr>
        <w:t>overview of relevant policy and legal developments</w:t>
      </w:r>
      <w:r w:rsidRPr="006075A4">
        <w:rPr>
          <w:lang w:val="en-GB"/>
        </w:rPr>
        <w:t xml:space="preserve">, as well as latest calls for interest, funding opportunities and upcoming events. We very much hope this members’ bulletin will be useful in your day-to-day work and we would be grateful if you could </w:t>
      </w:r>
      <w:r w:rsidRPr="006075A4">
        <w:rPr>
          <w:b/>
          <w:lang w:val="en-GB"/>
        </w:rPr>
        <w:t>disseminate it among your colleagues</w:t>
      </w:r>
      <w:r w:rsidRPr="006075A4">
        <w:rPr>
          <w:lang w:val="en-GB"/>
        </w:rPr>
        <w:t xml:space="preserve">. Your feedback is also greatly appreciated. Should you have any comments or further questions, </w:t>
      </w:r>
      <w:r w:rsidRPr="006075A4">
        <w:rPr>
          <w:b/>
          <w:lang w:val="en-GB"/>
        </w:rPr>
        <w:t>please do not hesitate to contact Jessica Machacova, Equinet Project Officer</w:t>
      </w:r>
      <w:r w:rsidRPr="006075A4">
        <w:rPr>
          <w:lang w:val="en-GB"/>
        </w:rPr>
        <w:t xml:space="preserve"> (</w:t>
      </w:r>
      <w:hyperlink r:id="rId9" w:history="1">
        <w:r w:rsidRPr="006075A4">
          <w:rPr>
            <w:rStyle w:val="Hyperlink"/>
            <w:lang w:val="en-GB"/>
          </w:rPr>
          <w:t>Jessica.machacova@equineteurope.org</w:t>
        </w:r>
      </w:hyperlink>
      <w:r w:rsidRPr="006075A4">
        <w:rPr>
          <w:lang w:val="en-GB"/>
        </w:rPr>
        <w:t xml:space="preserve"> / 0032 2 212 31 80). </w:t>
      </w:r>
    </w:p>
    <w:p w14:paraId="04626731" w14:textId="77777777" w:rsidR="00CF7284" w:rsidRPr="006075A4" w:rsidRDefault="00CF7284" w:rsidP="000263B4">
      <w:pPr>
        <w:spacing w:line="240" w:lineRule="auto"/>
        <w:jc w:val="both"/>
        <w:rPr>
          <w:lang w:val="en-GB"/>
        </w:rPr>
      </w:pPr>
    </w:p>
    <w:p w14:paraId="4E1D63FE" w14:textId="77777777" w:rsidR="002C3BF0" w:rsidRPr="006075A4" w:rsidRDefault="002C3BF0" w:rsidP="000263B4">
      <w:pPr>
        <w:shd w:val="clear" w:color="auto" w:fill="2F5496" w:themeFill="accent5" w:themeFillShade="BF"/>
        <w:spacing w:line="240" w:lineRule="auto"/>
        <w:jc w:val="center"/>
        <w:rPr>
          <w:b/>
          <w:color w:val="FFFFFF" w:themeColor="background1"/>
          <w:sz w:val="28"/>
          <w:lang w:val="en-GB"/>
        </w:rPr>
      </w:pPr>
      <w:r w:rsidRPr="006075A4">
        <w:rPr>
          <w:b/>
          <w:color w:val="FFFFFF" w:themeColor="background1"/>
          <w:sz w:val="28"/>
          <w:lang w:val="en-GB"/>
        </w:rPr>
        <w:t>Equinet Members’ Bulletin on latest EU and internal developments – Table of contents</w:t>
      </w:r>
    </w:p>
    <w:p w14:paraId="5891F305" w14:textId="77777777" w:rsidR="002C3BF0" w:rsidRDefault="002C3BF0" w:rsidP="000263B4">
      <w:pPr>
        <w:spacing w:line="240" w:lineRule="auto"/>
        <w:jc w:val="both"/>
        <w:rPr>
          <w:b/>
          <w:i/>
          <w:color w:val="FF0000"/>
          <w:lang w:val="en-GB"/>
        </w:rPr>
      </w:pPr>
      <w:r w:rsidRPr="006075A4">
        <w:rPr>
          <w:b/>
          <w:i/>
          <w:color w:val="FF0000"/>
          <w:lang w:val="en-GB"/>
        </w:rPr>
        <w:t>(Ctrl + Click to follow the link)</w:t>
      </w:r>
    </w:p>
    <w:p w14:paraId="26B2589E" w14:textId="3A573BF1" w:rsidR="00200A52" w:rsidRPr="00200A52" w:rsidRDefault="00200A52" w:rsidP="000263B4">
      <w:pPr>
        <w:spacing w:line="240" w:lineRule="auto"/>
        <w:jc w:val="both"/>
        <w:rPr>
          <w:b/>
          <w:i/>
          <w:color w:val="FF0000"/>
          <w:sz w:val="28"/>
          <w:lang w:val="en-GB"/>
        </w:rPr>
      </w:pPr>
      <w:r w:rsidRPr="00200A52">
        <w:rPr>
          <w:b/>
          <w:i/>
          <w:color w:val="FF0000"/>
          <w:sz w:val="28"/>
          <w:lang w:val="en-GB"/>
        </w:rPr>
        <w:fldChar w:fldCharType="begin"/>
      </w:r>
      <w:r w:rsidRPr="00200A52">
        <w:rPr>
          <w:b/>
          <w:i/>
          <w:color w:val="FF0000"/>
          <w:sz w:val="28"/>
          <w:lang w:val="en-GB"/>
        </w:rPr>
        <w:instrText xml:space="preserve"> REF _Ref423445537 \h  \* MERGEFORMAT </w:instrText>
      </w:r>
      <w:r w:rsidRPr="00200A52">
        <w:rPr>
          <w:b/>
          <w:i/>
          <w:color w:val="FF0000"/>
          <w:sz w:val="28"/>
          <w:lang w:val="en-GB"/>
        </w:rPr>
      </w:r>
      <w:r w:rsidRPr="00200A52">
        <w:rPr>
          <w:b/>
          <w:i/>
          <w:color w:val="FF0000"/>
          <w:sz w:val="28"/>
          <w:lang w:val="en-GB"/>
        </w:rPr>
        <w:fldChar w:fldCharType="separate"/>
      </w:r>
      <w:r w:rsidRPr="00200A52">
        <w:rPr>
          <w:b/>
          <w:color w:val="0070C0"/>
          <w:sz w:val="28"/>
          <w:u w:val="single"/>
          <w:lang w:val="en-GB"/>
        </w:rPr>
        <w:t>Highlight:</w:t>
      </w:r>
      <w:r w:rsidRPr="00200A52">
        <w:rPr>
          <w:b/>
          <w:sz w:val="28"/>
          <w:lang w:val="en-GB"/>
        </w:rPr>
        <w:t xml:space="preserve"> Current state of play on the Horizontal Directive</w:t>
      </w:r>
      <w:r w:rsidRPr="00200A52">
        <w:rPr>
          <w:b/>
          <w:i/>
          <w:color w:val="FF0000"/>
          <w:sz w:val="28"/>
          <w:lang w:val="en-GB"/>
        </w:rPr>
        <w:fldChar w:fldCharType="end"/>
      </w:r>
    </w:p>
    <w:p w14:paraId="3F68EA77" w14:textId="756B126D" w:rsidR="00646D95" w:rsidRPr="00646D95" w:rsidRDefault="00200A52" w:rsidP="00646D95">
      <w:pPr>
        <w:spacing w:line="240" w:lineRule="auto"/>
        <w:rPr>
          <w:b/>
          <w:i/>
          <w:color w:val="0070C0"/>
          <w:sz w:val="28"/>
          <w:u w:val="single"/>
          <w:lang w:val="en-GB"/>
        </w:rPr>
      </w:pPr>
      <w:r w:rsidRPr="00646D95">
        <w:rPr>
          <w:b/>
          <w:i/>
          <w:color w:val="0070C0"/>
          <w:sz w:val="28"/>
          <w:u w:val="single"/>
          <w:lang w:val="en-GB"/>
        </w:rPr>
        <w:fldChar w:fldCharType="begin"/>
      </w:r>
      <w:r w:rsidRPr="00646D95">
        <w:rPr>
          <w:b/>
          <w:i/>
          <w:color w:val="0070C0"/>
          <w:sz w:val="28"/>
          <w:u w:val="single"/>
          <w:lang w:val="en-GB"/>
        </w:rPr>
        <w:instrText xml:space="preserve"> REF _Ref423445538 \h  \* MERGEFORMAT </w:instrText>
      </w:r>
      <w:r w:rsidRPr="00646D95">
        <w:rPr>
          <w:b/>
          <w:i/>
          <w:color w:val="0070C0"/>
          <w:sz w:val="28"/>
          <w:u w:val="single"/>
          <w:lang w:val="en-GB"/>
        </w:rPr>
      </w:r>
      <w:r w:rsidRPr="00646D95">
        <w:rPr>
          <w:b/>
          <w:i/>
          <w:color w:val="0070C0"/>
          <w:sz w:val="28"/>
          <w:u w:val="single"/>
          <w:lang w:val="en-GB"/>
        </w:rPr>
        <w:fldChar w:fldCharType="separate"/>
      </w:r>
      <w:r w:rsidRPr="00646D95">
        <w:rPr>
          <w:b/>
          <w:color w:val="0070C0"/>
          <w:sz w:val="28"/>
          <w:u w:val="single"/>
          <w:lang w:val="en-GB"/>
        </w:rPr>
        <w:t>Thematic Policy Developments</w:t>
      </w:r>
      <w:r w:rsidRPr="00646D95">
        <w:rPr>
          <w:b/>
          <w:i/>
          <w:color w:val="0070C0"/>
          <w:sz w:val="28"/>
          <w:u w:val="single"/>
          <w:lang w:val="en-GB"/>
        </w:rPr>
        <w:fldChar w:fldCharType="end"/>
      </w:r>
    </w:p>
    <w:p w14:paraId="6DB808E6" w14:textId="77777777" w:rsidR="00200A52" w:rsidRPr="00200A52" w:rsidRDefault="00200A52" w:rsidP="00200A52">
      <w:pPr>
        <w:pStyle w:val="ListParagraph"/>
        <w:numPr>
          <w:ilvl w:val="0"/>
          <w:numId w:val="42"/>
        </w:numPr>
        <w:spacing w:line="240" w:lineRule="auto"/>
        <w:rPr>
          <w:b/>
          <w:i/>
          <w:color w:val="0070C0"/>
          <w:u w:val="single"/>
          <w:lang w:val="en-GB"/>
        </w:rPr>
      </w:pPr>
      <w:r w:rsidRPr="00200A52">
        <w:rPr>
          <w:b/>
          <w:i/>
          <w:color w:val="0070C0"/>
          <w:u w:val="single"/>
          <w:lang w:val="en-GB"/>
        </w:rPr>
        <w:fldChar w:fldCharType="begin"/>
      </w:r>
      <w:r w:rsidRPr="00200A52">
        <w:rPr>
          <w:b/>
          <w:i/>
          <w:color w:val="0070C0"/>
          <w:u w:val="single"/>
          <w:lang w:val="en-GB"/>
        </w:rPr>
        <w:instrText xml:space="preserve"> REF _Ref421267521 \h  \* MERGEFORMAT </w:instrText>
      </w:r>
      <w:r w:rsidRPr="00200A52">
        <w:rPr>
          <w:b/>
          <w:i/>
          <w:color w:val="0070C0"/>
          <w:u w:val="single"/>
          <w:lang w:val="en-GB"/>
        </w:rPr>
      </w:r>
      <w:r w:rsidRPr="00200A52">
        <w:rPr>
          <w:b/>
          <w:i/>
          <w:color w:val="0070C0"/>
          <w:u w:val="single"/>
          <w:lang w:val="en-GB"/>
        </w:rPr>
        <w:fldChar w:fldCharType="separate"/>
      </w:r>
      <w:r w:rsidRPr="00200A52">
        <w:rPr>
          <w:color w:val="0070C0"/>
          <w:u w:val="single"/>
          <w:lang w:val="en-GB"/>
        </w:rPr>
        <w:t>General information</w:t>
      </w:r>
      <w:r w:rsidRPr="00200A52">
        <w:rPr>
          <w:b/>
          <w:i/>
          <w:color w:val="0070C0"/>
          <w:u w:val="single"/>
          <w:lang w:val="en-GB"/>
        </w:rPr>
        <w:fldChar w:fldCharType="end"/>
      </w:r>
    </w:p>
    <w:p w14:paraId="15E529EE" w14:textId="77777777" w:rsidR="00200A52" w:rsidRPr="00200A52" w:rsidRDefault="00200A52" w:rsidP="00200A52">
      <w:pPr>
        <w:pStyle w:val="ListParagraph"/>
        <w:numPr>
          <w:ilvl w:val="0"/>
          <w:numId w:val="42"/>
        </w:numPr>
        <w:spacing w:line="240" w:lineRule="auto"/>
        <w:rPr>
          <w:b/>
          <w:i/>
          <w:color w:val="0070C0"/>
          <w:u w:val="single"/>
          <w:lang w:val="en-GB"/>
        </w:rPr>
      </w:pPr>
      <w:r w:rsidRPr="00200A52">
        <w:rPr>
          <w:b/>
          <w:i/>
          <w:color w:val="0070C0"/>
          <w:u w:val="single"/>
          <w:lang w:val="en-GB"/>
        </w:rPr>
        <w:fldChar w:fldCharType="begin"/>
      </w:r>
      <w:r w:rsidRPr="00200A52">
        <w:rPr>
          <w:b/>
          <w:i/>
          <w:color w:val="0070C0"/>
          <w:u w:val="single"/>
          <w:lang w:val="en-GB"/>
        </w:rPr>
        <w:instrText xml:space="preserve"> REF _Ref421267526 \h  \* MERGEFORMAT </w:instrText>
      </w:r>
      <w:r w:rsidRPr="00200A52">
        <w:rPr>
          <w:b/>
          <w:i/>
          <w:color w:val="0070C0"/>
          <w:u w:val="single"/>
          <w:lang w:val="en-GB"/>
        </w:rPr>
      </w:r>
      <w:r w:rsidRPr="00200A52">
        <w:rPr>
          <w:b/>
          <w:i/>
          <w:color w:val="0070C0"/>
          <w:u w:val="single"/>
          <w:lang w:val="en-GB"/>
        </w:rPr>
        <w:fldChar w:fldCharType="separate"/>
      </w:r>
      <w:r w:rsidRPr="00200A52">
        <w:rPr>
          <w:color w:val="0070C0"/>
          <w:u w:val="single"/>
          <w:lang w:val="en-GB"/>
        </w:rPr>
        <w:t>Gender Equality</w:t>
      </w:r>
      <w:r w:rsidRPr="00200A52">
        <w:rPr>
          <w:b/>
          <w:i/>
          <w:color w:val="0070C0"/>
          <w:u w:val="single"/>
          <w:lang w:val="en-GB"/>
        </w:rPr>
        <w:fldChar w:fldCharType="end"/>
      </w:r>
    </w:p>
    <w:p w14:paraId="11BD0572" w14:textId="77777777" w:rsidR="00200A52" w:rsidRPr="00200A52" w:rsidRDefault="00200A52" w:rsidP="00200A52">
      <w:pPr>
        <w:pStyle w:val="ListParagraph"/>
        <w:numPr>
          <w:ilvl w:val="0"/>
          <w:numId w:val="42"/>
        </w:numPr>
        <w:spacing w:line="240" w:lineRule="auto"/>
        <w:rPr>
          <w:b/>
          <w:i/>
          <w:color w:val="0070C0"/>
          <w:u w:val="single"/>
          <w:lang w:val="en-GB"/>
        </w:rPr>
      </w:pPr>
      <w:r w:rsidRPr="00200A52">
        <w:rPr>
          <w:b/>
          <w:i/>
          <w:color w:val="0070C0"/>
          <w:u w:val="single"/>
          <w:lang w:val="en-GB"/>
        </w:rPr>
        <w:fldChar w:fldCharType="begin"/>
      </w:r>
      <w:r w:rsidRPr="00200A52">
        <w:rPr>
          <w:b/>
          <w:i/>
          <w:color w:val="0070C0"/>
          <w:u w:val="single"/>
          <w:lang w:val="en-GB"/>
        </w:rPr>
        <w:instrText xml:space="preserve"> REF _Ref423445542 \h  \* MERGEFORMAT </w:instrText>
      </w:r>
      <w:r w:rsidRPr="00200A52">
        <w:rPr>
          <w:b/>
          <w:i/>
          <w:color w:val="0070C0"/>
          <w:u w:val="single"/>
          <w:lang w:val="en-GB"/>
        </w:rPr>
      </w:r>
      <w:r w:rsidRPr="00200A52">
        <w:rPr>
          <w:b/>
          <w:i/>
          <w:color w:val="0070C0"/>
          <w:u w:val="single"/>
          <w:lang w:val="en-GB"/>
        </w:rPr>
        <w:fldChar w:fldCharType="separate"/>
      </w:r>
      <w:r w:rsidRPr="00200A52">
        <w:rPr>
          <w:color w:val="0070C0"/>
          <w:u w:val="single"/>
          <w:lang w:val="en-GB"/>
        </w:rPr>
        <w:t>Race/ethnic origin</w:t>
      </w:r>
      <w:r w:rsidRPr="00200A52">
        <w:rPr>
          <w:b/>
          <w:i/>
          <w:color w:val="0070C0"/>
          <w:u w:val="single"/>
          <w:lang w:val="en-GB"/>
        </w:rPr>
        <w:fldChar w:fldCharType="end"/>
      </w:r>
    </w:p>
    <w:p w14:paraId="08D4727C" w14:textId="77777777" w:rsidR="00200A52" w:rsidRPr="00200A52" w:rsidRDefault="00200A52" w:rsidP="00200A52">
      <w:pPr>
        <w:pStyle w:val="ListParagraph"/>
        <w:numPr>
          <w:ilvl w:val="0"/>
          <w:numId w:val="42"/>
        </w:numPr>
        <w:spacing w:line="240" w:lineRule="auto"/>
        <w:rPr>
          <w:b/>
          <w:i/>
          <w:color w:val="0070C0"/>
          <w:u w:val="single"/>
          <w:lang w:val="en-GB"/>
        </w:rPr>
      </w:pPr>
      <w:r w:rsidRPr="00200A52">
        <w:rPr>
          <w:b/>
          <w:i/>
          <w:color w:val="0070C0"/>
          <w:u w:val="single"/>
          <w:lang w:val="en-GB"/>
        </w:rPr>
        <w:fldChar w:fldCharType="begin"/>
      </w:r>
      <w:r w:rsidRPr="00200A52">
        <w:rPr>
          <w:b/>
          <w:i/>
          <w:color w:val="0070C0"/>
          <w:u w:val="single"/>
          <w:lang w:val="en-GB"/>
        </w:rPr>
        <w:instrText xml:space="preserve"> REF _Ref423445543 \h  \* MERGEFORMAT </w:instrText>
      </w:r>
      <w:r w:rsidRPr="00200A52">
        <w:rPr>
          <w:b/>
          <w:i/>
          <w:color w:val="0070C0"/>
          <w:u w:val="single"/>
          <w:lang w:val="en-GB"/>
        </w:rPr>
      </w:r>
      <w:r w:rsidRPr="00200A52">
        <w:rPr>
          <w:b/>
          <w:i/>
          <w:color w:val="0070C0"/>
          <w:u w:val="single"/>
          <w:lang w:val="en-GB"/>
        </w:rPr>
        <w:fldChar w:fldCharType="separate"/>
      </w:r>
      <w:r w:rsidRPr="00200A52">
        <w:rPr>
          <w:color w:val="0070C0"/>
          <w:u w:val="single"/>
          <w:lang w:val="en-GB"/>
        </w:rPr>
        <w:t>Religion and Belief</w:t>
      </w:r>
      <w:r w:rsidRPr="00200A52">
        <w:rPr>
          <w:b/>
          <w:i/>
          <w:color w:val="0070C0"/>
          <w:u w:val="single"/>
          <w:lang w:val="en-GB"/>
        </w:rPr>
        <w:fldChar w:fldCharType="end"/>
      </w:r>
    </w:p>
    <w:p w14:paraId="03D0F457" w14:textId="5938B093" w:rsidR="00200A52" w:rsidRPr="00200A52" w:rsidRDefault="00200A52" w:rsidP="00200A52">
      <w:pPr>
        <w:pStyle w:val="ListParagraph"/>
        <w:numPr>
          <w:ilvl w:val="0"/>
          <w:numId w:val="42"/>
        </w:numPr>
        <w:spacing w:line="240" w:lineRule="auto"/>
        <w:rPr>
          <w:b/>
          <w:i/>
          <w:color w:val="0070C0"/>
          <w:u w:val="single"/>
          <w:lang w:val="en-GB"/>
        </w:rPr>
      </w:pPr>
      <w:r w:rsidRPr="00200A52">
        <w:rPr>
          <w:b/>
          <w:i/>
          <w:color w:val="0070C0"/>
          <w:u w:val="single"/>
          <w:lang w:val="en-GB"/>
        </w:rPr>
        <w:fldChar w:fldCharType="begin"/>
      </w:r>
      <w:r w:rsidRPr="00200A52">
        <w:rPr>
          <w:b/>
          <w:i/>
          <w:color w:val="0070C0"/>
          <w:u w:val="single"/>
          <w:lang w:val="en-GB"/>
        </w:rPr>
        <w:instrText xml:space="preserve"> REF _Ref423445544 \h  \* MERGEFORMAT </w:instrText>
      </w:r>
      <w:r w:rsidRPr="00200A52">
        <w:rPr>
          <w:b/>
          <w:i/>
          <w:color w:val="0070C0"/>
          <w:u w:val="single"/>
          <w:lang w:val="en-GB"/>
        </w:rPr>
      </w:r>
      <w:r w:rsidRPr="00200A52">
        <w:rPr>
          <w:b/>
          <w:i/>
          <w:color w:val="0070C0"/>
          <w:u w:val="single"/>
          <w:lang w:val="en-GB"/>
        </w:rPr>
        <w:fldChar w:fldCharType="separate"/>
      </w:r>
      <w:r w:rsidRPr="00200A52">
        <w:rPr>
          <w:color w:val="0070C0"/>
          <w:u w:val="single"/>
          <w:lang w:val="en-GB"/>
        </w:rPr>
        <w:t>Disability</w:t>
      </w:r>
      <w:r w:rsidRPr="00200A52">
        <w:rPr>
          <w:b/>
          <w:i/>
          <w:color w:val="0070C0"/>
          <w:u w:val="single"/>
          <w:lang w:val="en-GB"/>
        </w:rPr>
        <w:fldChar w:fldCharType="end"/>
      </w:r>
    </w:p>
    <w:p w14:paraId="14CDB2C0" w14:textId="3FA34F3D" w:rsidR="00200A52" w:rsidRPr="00646D95" w:rsidRDefault="00200A52" w:rsidP="000263B4">
      <w:pPr>
        <w:spacing w:line="240" w:lineRule="auto"/>
        <w:jc w:val="both"/>
        <w:rPr>
          <w:b/>
          <w:i/>
          <w:color w:val="0070C0"/>
          <w:sz w:val="28"/>
          <w:u w:val="single"/>
          <w:lang w:val="en-GB"/>
        </w:rPr>
      </w:pPr>
      <w:r w:rsidRPr="00646D95">
        <w:rPr>
          <w:b/>
          <w:i/>
          <w:color w:val="0070C0"/>
          <w:sz w:val="28"/>
          <w:u w:val="single"/>
          <w:lang w:val="en-GB"/>
        </w:rPr>
        <w:fldChar w:fldCharType="begin"/>
      </w:r>
      <w:r w:rsidRPr="00646D95">
        <w:rPr>
          <w:b/>
          <w:i/>
          <w:color w:val="0070C0"/>
          <w:sz w:val="28"/>
          <w:u w:val="single"/>
          <w:lang w:val="en-GB"/>
        </w:rPr>
        <w:instrText xml:space="preserve"> REF _Ref423445546 \h  \* MERGEFORMAT </w:instrText>
      </w:r>
      <w:r w:rsidRPr="00646D95">
        <w:rPr>
          <w:b/>
          <w:i/>
          <w:color w:val="0070C0"/>
          <w:sz w:val="28"/>
          <w:u w:val="single"/>
          <w:lang w:val="en-GB"/>
        </w:rPr>
      </w:r>
      <w:r w:rsidRPr="00646D95">
        <w:rPr>
          <w:b/>
          <w:i/>
          <w:color w:val="0070C0"/>
          <w:sz w:val="28"/>
          <w:u w:val="single"/>
          <w:lang w:val="en-GB"/>
        </w:rPr>
        <w:fldChar w:fldCharType="separate"/>
      </w:r>
      <w:r w:rsidRPr="00646D95">
        <w:rPr>
          <w:b/>
          <w:color w:val="0070C0"/>
          <w:sz w:val="28"/>
          <w:u w:val="single"/>
          <w:lang w:val="en-GB"/>
        </w:rPr>
        <w:t>Latest publications, funding opportunities and calls for proposals</w:t>
      </w:r>
      <w:r w:rsidRPr="00646D95">
        <w:rPr>
          <w:b/>
          <w:i/>
          <w:color w:val="0070C0"/>
          <w:sz w:val="28"/>
          <w:u w:val="single"/>
          <w:lang w:val="en-GB"/>
        </w:rPr>
        <w:fldChar w:fldCharType="end"/>
      </w:r>
    </w:p>
    <w:p w14:paraId="1639998E" w14:textId="77777777" w:rsidR="00200A52" w:rsidRPr="00200A52" w:rsidRDefault="00200A52" w:rsidP="00200A52">
      <w:pPr>
        <w:pStyle w:val="ListParagraph"/>
        <w:numPr>
          <w:ilvl w:val="0"/>
          <w:numId w:val="43"/>
        </w:numPr>
        <w:spacing w:line="240" w:lineRule="auto"/>
        <w:rPr>
          <w:b/>
          <w:i/>
          <w:color w:val="0070C0"/>
          <w:u w:val="single"/>
          <w:lang w:val="en-GB"/>
        </w:rPr>
      </w:pPr>
      <w:r w:rsidRPr="00200A52">
        <w:rPr>
          <w:b/>
          <w:i/>
          <w:color w:val="0070C0"/>
          <w:u w:val="single"/>
          <w:lang w:val="en-GB"/>
        </w:rPr>
        <w:fldChar w:fldCharType="begin"/>
      </w:r>
      <w:r w:rsidRPr="00200A52">
        <w:rPr>
          <w:b/>
          <w:i/>
          <w:color w:val="0070C0"/>
          <w:u w:val="single"/>
          <w:lang w:val="en-GB"/>
        </w:rPr>
        <w:instrText xml:space="preserve"> REF _Ref423445547 \h  \* MERGEFORMAT </w:instrText>
      </w:r>
      <w:r w:rsidRPr="00200A52">
        <w:rPr>
          <w:b/>
          <w:i/>
          <w:color w:val="0070C0"/>
          <w:u w:val="single"/>
          <w:lang w:val="en-GB"/>
        </w:rPr>
      </w:r>
      <w:r w:rsidRPr="00200A52">
        <w:rPr>
          <w:b/>
          <w:i/>
          <w:color w:val="0070C0"/>
          <w:u w:val="single"/>
          <w:lang w:val="en-GB"/>
        </w:rPr>
        <w:fldChar w:fldCharType="separate"/>
      </w:r>
      <w:r w:rsidRPr="00200A52">
        <w:rPr>
          <w:color w:val="0070C0"/>
          <w:u w:val="single"/>
          <w:lang w:val="en-GB"/>
        </w:rPr>
        <w:t>General information</w:t>
      </w:r>
      <w:r w:rsidRPr="00200A52">
        <w:rPr>
          <w:b/>
          <w:i/>
          <w:color w:val="0070C0"/>
          <w:u w:val="single"/>
          <w:lang w:val="en-GB"/>
        </w:rPr>
        <w:fldChar w:fldCharType="end"/>
      </w:r>
    </w:p>
    <w:p w14:paraId="3A92F263" w14:textId="77777777" w:rsidR="00200A52" w:rsidRPr="00200A52" w:rsidRDefault="00200A52" w:rsidP="00200A52">
      <w:pPr>
        <w:pStyle w:val="ListParagraph"/>
        <w:numPr>
          <w:ilvl w:val="0"/>
          <w:numId w:val="43"/>
        </w:numPr>
        <w:spacing w:line="240" w:lineRule="auto"/>
        <w:rPr>
          <w:b/>
          <w:i/>
          <w:color w:val="0070C0"/>
          <w:u w:val="single"/>
          <w:lang w:val="en-GB"/>
        </w:rPr>
      </w:pPr>
      <w:r w:rsidRPr="00200A52">
        <w:rPr>
          <w:b/>
          <w:i/>
          <w:color w:val="0070C0"/>
          <w:u w:val="single"/>
          <w:lang w:val="en-GB"/>
        </w:rPr>
        <w:fldChar w:fldCharType="begin"/>
      </w:r>
      <w:r w:rsidRPr="00200A52">
        <w:rPr>
          <w:b/>
          <w:i/>
          <w:color w:val="0070C0"/>
          <w:u w:val="single"/>
          <w:lang w:val="en-GB"/>
        </w:rPr>
        <w:instrText xml:space="preserve"> REF _Ref423445548 \h  \* MERGEFORMAT </w:instrText>
      </w:r>
      <w:r w:rsidRPr="00200A52">
        <w:rPr>
          <w:b/>
          <w:i/>
          <w:color w:val="0070C0"/>
          <w:u w:val="single"/>
          <w:lang w:val="en-GB"/>
        </w:rPr>
      </w:r>
      <w:r w:rsidRPr="00200A52">
        <w:rPr>
          <w:b/>
          <w:i/>
          <w:color w:val="0070C0"/>
          <w:u w:val="single"/>
          <w:lang w:val="en-GB"/>
        </w:rPr>
        <w:fldChar w:fldCharType="separate"/>
      </w:r>
      <w:r w:rsidRPr="00200A52">
        <w:rPr>
          <w:color w:val="0070C0"/>
          <w:u w:val="single"/>
          <w:lang w:val="en-GB"/>
        </w:rPr>
        <w:t>Gender Equality</w:t>
      </w:r>
      <w:r w:rsidRPr="00200A52">
        <w:rPr>
          <w:b/>
          <w:i/>
          <w:color w:val="0070C0"/>
          <w:u w:val="single"/>
          <w:lang w:val="en-GB"/>
        </w:rPr>
        <w:fldChar w:fldCharType="end"/>
      </w:r>
    </w:p>
    <w:p w14:paraId="6B734D3E" w14:textId="77777777" w:rsidR="00200A52" w:rsidRPr="00200A52" w:rsidRDefault="00200A52" w:rsidP="00200A52">
      <w:pPr>
        <w:pStyle w:val="ListParagraph"/>
        <w:numPr>
          <w:ilvl w:val="0"/>
          <w:numId w:val="43"/>
        </w:numPr>
        <w:spacing w:line="240" w:lineRule="auto"/>
        <w:rPr>
          <w:b/>
          <w:i/>
          <w:color w:val="0070C0"/>
          <w:u w:val="single"/>
          <w:lang w:val="en-GB"/>
        </w:rPr>
      </w:pPr>
      <w:r w:rsidRPr="00200A52">
        <w:rPr>
          <w:b/>
          <w:i/>
          <w:color w:val="0070C0"/>
          <w:u w:val="single"/>
          <w:lang w:val="en-GB"/>
        </w:rPr>
        <w:fldChar w:fldCharType="begin"/>
      </w:r>
      <w:r w:rsidRPr="00200A52">
        <w:rPr>
          <w:b/>
          <w:i/>
          <w:color w:val="0070C0"/>
          <w:u w:val="single"/>
          <w:lang w:val="en-GB"/>
        </w:rPr>
        <w:instrText xml:space="preserve"> REF _Ref423445549 \h  \* MERGEFORMAT </w:instrText>
      </w:r>
      <w:r w:rsidRPr="00200A52">
        <w:rPr>
          <w:b/>
          <w:i/>
          <w:color w:val="0070C0"/>
          <w:u w:val="single"/>
          <w:lang w:val="en-GB"/>
        </w:rPr>
      </w:r>
      <w:r w:rsidRPr="00200A52">
        <w:rPr>
          <w:b/>
          <w:i/>
          <w:color w:val="0070C0"/>
          <w:u w:val="single"/>
          <w:lang w:val="en-GB"/>
        </w:rPr>
        <w:fldChar w:fldCharType="separate"/>
      </w:r>
      <w:r w:rsidRPr="00200A52">
        <w:rPr>
          <w:color w:val="0070C0"/>
          <w:u w:val="single"/>
          <w:lang w:val="en-GB"/>
        </w:rPr>
        <w:t>Race/ethnic origin</w:t>
      </w:r>
      <w:r w:rsidRPr="00200A52">
        <w:rPr>
          <w:b/>
          <w:i/>
          <w:color w:val="0070C0"/>
          <w:u w:val="single"/>
          <w:lang w:val="en-GB"/>
        </w:rPr>
        <w:fldChar w:fldCharType="end"/>
      </w:r>
    </w:p>
    <w:p w14:paraId="5F1B3934" w14:textId="416745AD" w:rsidR="00200A52" w:rsidRPr="00200A52" w:rsidRDefault="00200A52" w:rsidP="00200A52">
      <w:pPr>
        <w:pStyle w:val="ListParagraph"/>
        <w:numPr>
          <w:ilvl w:val="0"/>
          <w:numId w:val="43"/>
        </w:numPr>
        <w:spacing w:line="240" w:lineRule="auto"/>
        <w:rPr>
          <w:b/>
          <w:i/>
          <w:color w:val="0070C0"/>
          <w:u w:val="single"/>
          <w:lang w:val="en-GB"/>
        </w:rPr>
      </w:pPr>
      <w:r w:rsidRPr="00200A52">
        <w:rPr>
          <w:b/>
          <w:i/>
          <w:color w:val="0070C0"/>
          <w:u w:val="single"/>
          <w:lang w:val="en-GB"/>
        </w:rPr>
        <w:fldChar w:fldCharType="begin"/>
      </w:r>
      <w:r w:rsidRPr="00200A52">
        <w:rPr>
          <w:b/>
          <w:i/>
          <w:color w:val="0070C0"/>
          <w:u w:val="single"/>
          <w:lang w:val="en-GB"/>
        </w:rPr>
        <w:instrText xml:space="preserve"> REF _Ref423445550 \h  \* MERGEFORMAT </w:instrText>
      </w:r>
      <w:r w:rsidRPr="00200A52">
        <w:rPr>
          <w:b/>
          <w:i/>
          <w:color w:val="0070C0"/>
          <w:u w:val="single"/>
          <w:lang w:val="en-GB"/>
        </w:rPr>
      </w:r>
      <w:r w:rsidRPr="00200A52">
        <w:rPr>
          <w:b/>
          <w:i/>
          <w:color w:val="0070C0"/>
          <w:u w:val="single"/>
          <w:lang w:val="en-GB"/>
        </w:rPr>
        <w:fldChar w:fldCharType="separate"/>
      </w:r>
      <w:r w:rsidRPr="00200A52">
        <w:rPr>
          <w:color w:val="0070C0"/>
          <w:u w:val="single"/>
          <w:lang w:val="en-GB"/>
        </w:rPr>
        <w:t>Age</w:t>
      </w:r>
      <w:r w:rsidRPr="00200A52">
        <w:rPr>
          <w:b/>
          <w:i/>
          <w:color w:val="0070C0"/>
          <w:u w:val="single"/>
          <w:lang w:val="en-GB"/>
        </w:rPr>
        <w:fldChar w:fldCharType="end"/>
      </w:r>
    </w:p>
    <w:p w14:paraId="4DFF51E8" w14:textId="7723A3F5" w:rsidR="00200A52" w:rsidRPr="00646D95" w:rsidRDefault="00200A52" w:rsidP="000263B4">
      <w:pPr>
        <w:spacing w:line="240" w:lineRule="auto"/>
        <w:jc w:val="both"/>
        <w:rPr>
          <w:b/>
          <w:color w:val="0070C0"/>
          <w:sz w:val="28"/>
          <w:u w:val="single"/>
          <w:lang w:val="en-GB"/>
        </w:rPr>
      </w:pPr>
      <w:r w:rsidRPr="00646D95">
        <w:rPr>
          <w:b/>
          <w:color w:val="0070C0"/>
          <w:sz w:val="28"/>
          <w:u w:val="single"/>
          <w:lang w:val="en-GB"/>
        </w:rPr>
        <w:fldChar w:fldCharType="begin"/>
      </w:r>
      <w:r w:rsidRPr="00646D95">
        <w:rPr>
          <w:b/>
          <w:color w:val="0070C0"/>
          <w:sz w:val="28"/>
          <w:u w:val="single"/>
          <w:lang w:val="en-GB"/>
        </w:rPr>
        <w:instrText xml:space="preserve"> REF _Ref423445551 \h  \* MERGEFORMAT </w:instrText>
      </w:r>
      <w:r w:rsidRPr="00646D95">
        <w:rPr>
          <w:b/>
          <w:color w:val="0070C0"/>
          <w:sz w:val="28"/>
          <w:u w:val="single"/>
          <w:lang w:val="en-GB"/>
        </w:rPr>
      </w:r>
      <w:r w:rsidRPr="00646D95">
        <w:rPr>
          <w:b/>
          <w:color w:val="0070C0"/>
          <w:sz w:val="28"/>
          <w:u w:val="single"/>
          <w:lang w:val="en-GB"/>
        </w:rPr>
        <w:fldChar w:fldCharType="separate"/>
      </w:r>
      <w:r w:rsidRPr="00646D95">
        <w:rPr>
          <w:b/>
          <w:color w:val="0070C0"/>
          <w:sz w:val="28"/>
          <w:u w:val="single"/>
          <w:lang w:val="en-GB"/>
        </w:rPr>
        <w:t>Recent case-law</w:t>
      </w:r>
      <w:r w:rsidRPr="00646D95">
        <w:rPr>
          <w:b/>
          <w:color w:val="0070C0"/>
          <w:sz w:val="28"/>
          <w:u w:val="single"/>
          <w:lang w:val="en-GB"/>
        </w:rPr>
        <w:fldChar w:fldCharType="end"/>
      </w:r>
    </w:p>
    <w:p w14:paraId="2435968E" w14:textId="56F61A2E" w:rsidR="00200A52" w:rsidRPr="00200A52" w:rsidRDefault="00200A52" w:rsidP="00200A52">
      <w:pPr>
        <w:pStyle w:val="ListParagraph"/>
        <w:numPr>
          <w:ilvl w:val="0"/>
          <w:numId w:val="44"/>
        </w:numPr>
        <w:spacing w:line="240" w:lineRule="auto"/>
        <w:jc w:val="both"/>
        <w:rPr>
          <w:b/>
          <w:i/>
          <w:color w:val="FF0000"/>
          <w:lang w:val="en-GB"/>
        </w:rPr>
      </w:pPr>
      <w:r w:rsidRPr="00200A52">
        <w:rPr>
          <w:b/>
          <w:i/>
          <w:color w:val="FF0000"/>
          <w:lang w:val="en-GB"/>
        </w:rPr>
        <w:fldChar w:fldCharType="begin"/>
      </w:r>
      <w:r w:rsidRPr="00200A52">
        <w:rPr>
          <w:b/>
          <w:i/>
          <w:color w:val="FF0000"/>
          <w:lang w:val="en-GB"/>
        </w:rPr>
        <w:instrText xml:space="preserve"> REF _Ref421267644 \h </w:instrText>
      </w:r>
      <w:r w:rsidRPr="00200A52">
        <w:rPr>
          <w:b/>
          <w:i/>
          <w:color w:val="FF0000"/>
          <w:lang w:val="en-GB"/>
        </w:rPr>
      </w:r>
      <w:r w:rsidRPr="00200A52">
        <w:rPr>
          <w:b/>
          <w:i/>
          <w:color w:val="FF0000"/>
          <w:lang w:val="en-GB"/>
        </w:rPr>
        <w:fldChar w:fldCharType="separate"/>
      </w:r>
      <w:r w:rsidRPr="00200A52">
        <w:rPr>
          <w:color w:val="0070C0"/>
          <w:u w:val="single"/>
          <w:lang w:val="en-GB"/>
        </w:rPr>
        <w:t>European Court of Human Rights</w:t>
      </w:r>
      <w:r w:rsidRPr="00200A52">
        <w:rPr>
          <w:lang w:val="en-GB"/>
        </w:rPr>
        <w:t xml:space="preserve"> (ECHR)</w:t>
      </w:r>
      <w:r w:rsidRPr="00200A52">
        <w:rPr>
          <w:b/>
          <w:i/>
          <w:color w:val="FF0000"/>
          <w:lang w:val="en-GB"/>
        </w:rPr>
        <w:fldChar w:fldCharType="end"/>
      </w:r>
    </w:p>
    <w:p w14:paraId="7CABA703" w14:textId="77777777" w:rsidR="00F93FE2" w:rsidRDefault="00F93FE2">
      <w:pPr>
        <w:rPr>
          <w:rFonts w:ascii="Tahoma" w:eastAsiaTheme="majorEastAsia" w:hAnsi="Tahoma" w:cstheme="majorBidi"/>
          <w:b/>
          <w:color w:val="2E74B5" w:themeColor="accent1" w:themeShade="BF"/>
          <w:sz w:val="32"/>
          <w:szCs w:val="32"/>
          <w:lang w:val="en-GB"/>
        </w:rPr>
      </w:pPr>
      <w:bookmarkStart w:id="0" w:name="_Toc418770742"/>
      <w:bookmarkStart w:id="1" w:name="_Ref418783893"/>
      <w:bookmarkStart w:id="2" w:name="_Ref418783894"/>
      <w:bookmarkStart w:id="3" w:name="_Ref421267367"/>
      <w:r>
        <w:rPr>
          <w:lang w:val="en-GB"/>
        </w:rPr>
        <w:br w:type="page"/>
      </w:r>
    </w:p>
    <w:p w14:paraId="040B29A2" w14:textId="3DA7CDA8" w:rsidR="001140DC" w:rsidRDefault="00922F1E" w:rsidP="00BB06A1">
      <w:pPr>
        <w:pStyle w:val="Heading1"/>
        <w:spacing w:line="240" w:lineRule="auto"/>
        <w:rPr>
          <w:lang w:val="en-GB"/>
        </w:rPr>
      </w:pPr>
      <w:bookmarkStart w:id="4" w:name="_Ref423445537"/>
      <w:r w:rsidRPr="006075A4">
        <w:rPr>
          <w:lang w:val="en-GB"/>
        </w:rPr>
        <w:lastRenderedPageBreak/>
        <w:t>Highlight</w:t>
      </w:r>
      <w:bookmarkEnd w:id="0"/>
      <w:bookmarkEnd w:id="1"/>
      <w:bookmarkEnd w:id="2"/>
      <w:bookmarkEnd w:id="3"/>
      <w:r w:rsidR="00BB06A1">
        <w:rPr>
          <w:lang w:val="en-GB"/>
        </w:rPr>
        <w:t>: Current state of play on the Horizontal Directive</w:t>
      </w:r>
      <w:bookmarkEnd w:id="4"/>
    </w:p>
    <w:p w14:paraId="43616600" w14:textId="77777777" w:rsidR="00F93FE2" w:rsidRPr="00F93FE2" w:rsidRDefault="00F93FE2" w:rsidP="00F93FE2">
      <w:pPr>
        <w:rPr>
          <w:lang w:val="en-GB"/>
        </w:rPr>
      </w:pPr>
    </w:p>
    <w:p w14:paraId="3B48D390" w14:textId="663FFA0E" w:rsidR="001140DC" w:rsidRDefault="00BB06A1" w:rsidP="000263B4">
      <w:pPr>
        <w:pStyle w:val="Heading2"/>
        <w:spacing w:line="240" w:lineRule="auto"/>
        <w:jc w:val="both"/>
        <w:rPr>
          <w:lang w:val="en-GB"/>
        </w:rPr>
      </w:pPr>
      <w:r>
        <w:rPr>
          <w:lang w:val="en-GB"/>
        </w:rPr>
        <w:t>Friday 26</w:t>
      </w:r>
      <w:r w:rsidRPr="00BB06A1">
        <w:rPr>
          <w:vertAlign w:val="superscript"/>
          <w:lang w:val="en-GB"/>
        </w:rPr>
        <w:t>th</w:t>
      </w:r>
      <w:r>
        <w:rPr>
          <w:lang w:val="en-GB"/>
        </w:rPr>
        <w:t xml:space="preserve"> June 2015: Meeting of the German Federal Anti-Discrimination Agency and its partners in support of the</w:t>
      </w:r>
      <w:r w:rsidR="00560F96">
        <w:rPr>
          <w:lang w:val="en-GB"/>
        </w:rPr>
        <w:t xml:space="preserve"> EU Equal Treatment</w:t>
      </w:r>
      <w:r>
        <w:rPr>
          <w:lang w:val="en-GB"/>
        </w:rPr>
        <w:t xml:space="preserve"> Directive</w:t>
      </w:r>
    </w:p>
    <w:p w14:paraId="0D086655" w14:textId="0F9CFB95" w:rsidR="00BB06A1" w:rsidRPr="00BB06A1" w:rsidRDefault="00EA0955" w:rsidP="00BB06A1">
      <w:pPr>
        <w:jc w:val="both"/>
        <w:rPr>
          <w:lang w:val="en-GB"/>
        </w:rPr>
      </w:pPr>
      <w:r>
        <w:rPr>
          <w:noProof/>
          <w:lang w:eastAsia="fr-BE"/>
        </w:rPr>
        <w:drawing>
          <wp:anchor distT="0" distB="0" distL="114300" distR="114300" simplePos="0" relativeHeight="251659264" behindDoc="0" locked="0" layoutInCell="1" allowOverlap="1" wp14:anchorId="42E9A545" wp14:editId="08010759">
            <wp:simplePos x="0" y="0"/>
            <wp:positionH relativeFrom="margin">
              <wp:align>right</wp:align>
            </wp:positionH>
            <wp:positionV relativeFrom="margin">
              <wp:posOffset>1162050</wp:posOffset>
            </wp:positionV>
            <wp:extent cx="2200275" cy="952500"/>
            <wp:effectExtent l="19050" t="19050" r="28575" b="19050"/>
            <wp:wrapSquare wrapText="bothSides"/>
            <wp:docPr id="2" name="Picture 2" descr=" (Click to enlar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lick to enlarge picture)"/>
                    <pic:cNvPicPr>
                      <a:picLocks noChangeAspect="1" noChangeArrowheads="1"/>
                    </pic:cNvPicPr>
                  </pic:nvPicPr>
                  <pic:blipFill rotWithShape="1">
                    <a:blip r:embed="rId10">
                      <a:extLst>
                        <a:ext uri="{28A0092B-C50C-407E-A947-70E740481C1C}">
                          <a14:useLocalDpi xmlns:a14="http://schemas.microsoft.com/office/drawing/2010/main" val="0"/>
                        </a:ext>
                      </a:extLst>
                    </a:blip>
                    <a:srcRect l="4638" t="12571" r="8985" b="13715"/>
                    <a:stretch/>
                  </pic:blipFill>
                  <pic:spPr bwMode="auto">
                    <a:xfrm>
                      <a:off x="0" y="0"/>
                      <a:ext cx="2200275" cy="9525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06A1">
        <w:rPr>
          <w:lang w:val="en-GB"/>
        </w:rPr>
        <w:br/>
      </w:r>
      <w:r w:rsidR="00BB06A1" w:rsidRPr="00BB06A1">
        <w:rPr>
          <w:lang w:val="en-GB"/>
        </w:rPr>
        <w:t xml:space="preserve">On 26th of June 2015, Equinet supported the initiative of the German Equality Body and Equinet Member </w:t>
      </w:r>
      <w:hyperlink r:id="rId11" w:history="1">
        <w:r w:rsidR="00BB06A1" w:rsidRPr="00BB06A1">
          <w:rPr>
            <w:rStyle w:val="Hyperlink"/>
            <w:lang w:val="en-GB"/>
          </w:rPr>
          <w:t>Federal Anti-discrimination Agency (FADA)</w:t>
        </w:r>
      </w:hyperlink>
      <w:r w:rsidR="00BB06A1" w:rsidRPr="00BB06A1">
        <w:rPr>
          <w:lang w:val="en-GB"/>
        </w:rPr>
        <w:t xml:space="preserve"> to raise public awareness on the so-called </w:t>
      </w:r>
      <w:r w:rsidR="00BB06A1" w:rsidRPr="00BB06A1">
        <w:rPr>
          <w:b/>
          <w:lang w:val="en-GB"/>
        </w:rPr>
        <w:t>Horizontal Directive</w:t>
      </w:r>
      <w:r w:rsidR="00BB06A1" w:rsidRPr="00BB06A1">
        <w:rPr>
          <w:lang w:val="en-GB"/>
        </w:rPr>
        <w:t xml:space="preserve"> and to call on the German Federal Government </w:t>
      </w:r>
      <w:r w:rsidR="00BB06A1" w:rsidRPr="00BB06A1">
        <w:rPr>
          <w:b/>
          <w:lang w:val="en-GB"/>
        </w:rPr>
        <w:t>to take actions towards unblocking the Directive’s proposal in the EU Council.</w:t>
      </w:r>
      <w:r w:rsidRPr="00EA0955">
        <w:rPr>
          <w:noProof/>
          <w:lang w:val="en-US" w:eastAsia="fr-BE"/>
        </w:rPr>
        <w:t xml:space="preserve"> </w:t>
      </w:r>
    </w:p>
    <w:p w14:paraId="46868A79" w14:textId="7A4630BE" w:rsidR="00BB06A1" w:rsidRDefault="006F2180" w:rsidP="00BB06A1">
      <w:pPr>
        <w:jc w:val="both"/>
        <w:rPr>
          <w:lang w:val="en-GB"/>
        </w:rPr>
      </w:pPr>
      <w:r>
        <w:rPr>
          <w:lang w:val="en-GB"/>
        </w:rPr>
        <w:t xml:space="preserve">At the meeting, Christine </w:t>
      </w:r>
      <w:proofErr w:type="spellStart"/>
      <w:r>
        <w:rPr>
          <w:lang w:val="en-GB"/>
        </w:rPr>
        <w:t>Lüders</w:t>
      </w:r>
      <w:proofErr w:type="spellEnd"/>
      <w:r>
        <w:rPr>
          <w:lang w:val="en-GB"/>
        </w:rPr>
        <w:t xml:space="preserve">, head of FADA, </w:t>
      </w:r>
      <w:r w:rsidR="00BB06A1" w:rsidRPr="00BB06A1">
        <w:rPr>
          <w:lang w:val="en-GB"/>
        </w:rPr>
        <w:t>gathered representatives of German NGOs and European NGO networks to exchange information about the current political situation in relation to the proposal of the Horizontal Directive and to discuss actions that are needed to move the legislative process towards the adoption of the Directive.</w:t>
      </w:r>
    </w:p>
    <w:p w14:paraId="6A1E20B9" w14:textId="77777777" w:rsidR="00EA0955" w:rsidRDefault="00BB06A1" w:rsidP="00EA0955">
      <w:pPr>
        <w:pStyle w:val="NoSpacing"/>
        <w:numPr>
          <w:ilvl w:val="0"/>
          <w:numId w:val="35"/>
        </w:numPr>
        <w:rPr>
          <w:lang w:val="en-GB"/>
        </w:rPr>
      </w:pPr>
      <w:r w:rsidRPr="00EA0955">
        <w:rPr>
          <w:lang w:val="en-GB"/>
        </w:rPr>
        <w:t xml:space="preserve">More information about the meeting can be found on </w:t>
      </w:r>
      <w:hyperlink r:id="rId12" w:history="1">
        <w:proofErr w:type="spellStart"/>
        <w:r w:rsidRPr="00EA0955">
          <w:rPr>
            <w:rStyle w:val="Hyperlink"/>
            <w:lang w:val="en-GB"/>
          </w:rPr>
          <w:t>Equinet’s</w:t>
        </w:r>
        <w:proofErr w:type="spellEnd"/>
        <w:r w:rsidRPr="00EA0955">
          <w:rPr>
            <w:rStyle w:val="Hyperlink"/>
            <w:lang w:val="en-GB"/>
          </w:rPr>
          <w:t xml:space="preserve"> website</w:t>
        </w:r>
      </w:hyperlink>
      <w:r w:rsidRPr="00EA0955">
        <w:rPr>
          <w:lang w:val="en-GB"/>
        </w:rPr>
        <w:t xml:space="preserve">. </w:t>
      </w:r>
    </w:p>
    <w:p w14:paraId="645F8C3C" w14:textId="77777777" w:rsidR="00EA0955" w:rsidRDefault="00EA0955" w:rsidP="00EA0955">
      <w:pPr>
        <w:pStyle w:val="NoSpacing"/>
        <w:numPr>
          <w:ilvl w:val="0"/>
          <w:numId w:val="35"/>
        </w:numPr>
        <w:rPr>
          <w:lang w:val="en-GB"/>
        </w:rPr>
      </w:pPr>
      <w:r w:rsidRPr="00EA0955">
        <w:rPr>
          <w:lang w:val="en-GB"/>
        </w:rPr>
        <w:t xml:space="preserve">Read </w:t>
      </w:r>
      <w:r w:rsidRPr="00EA0955">
        <w:rPr>
          <w:lang w:val="en-US"/>
        </w:rPr>
        <w:t xml:space="preserve">Christine </w:t>
      </w:r>
      <w:proofErr w:type="spellStart"/>
      <w:r w:rsidRPr="00EA0955">
        <w:rPr>
          <w:lang w:val="en-US"/>
        </w:rPr>
        <w:t>Lüders</w:t>
      </w:r>
      <w:proofErr w:type="spellEnd"/>
      <w:r w:rsidRPr="00EA0955">
        <w:rPr>
          <w:lang w:val="en-US"/>
        </w:rPr>
        <w:t xml:space="preserve">’ (Head of the FADA) op-ed “Germany stands alone” in </w:t>
      </w:r>
      <w:hyperlink r:id="rId13" w:history="1">
        <w:r w:rsidRPr="00EA0955">
          <w:rPr>
            <w:rStyle w:val="Hyperlink"/>
            <w:lang w:val="en-US"/>
          </w:rPr>
          <w:t>Die Welt</w:t>
        </w:r>
      </w:hyperlink>
      <w:r w:rsidRPr="00EA0955">
        <w:rPr>
          <w:lang w:val="en-US"/>
        </w:rPr>
        <w:t xml:space="preserve"> (in German) and </w:t>
      </w:r>
      <w:hyperlink r:id="rId14" w:history="1">
        <w:r w:rsidRPr="00EA0955">
          <w:rPr>
            <w:rStyle w:val="Hyperlink"/>
            <w:lang w:val="en-US"/>
          </w:rPr>
          <w:t>Equinet summary</w:t>
        </w:r>
      </w:hyperlink>
      <w:r w:rsidRPr="00EA0955">
        <w:rPr>
          <w:lang w:val="en-US"/>
        </w:rPr>
        <w:t xml:space="preserve"> of the article</w:t>
      </w:r>
    </w:p>
    <w:p w14:paraId="776A6EE2" w14:textId="4093B37D" w:rsidR="00EA0955" w:rsidRPr="00E85A47" w:rsidRDefault="00EA0955" w:rsidP="00EA0955">
      <w:pPr>
        <w:pStyle w:val="NoSpacing"/>
        <w:numPr>
          <w:ilvl w:val="0"/>
          <w:numId w:val="35"/>
        </w:numPr>
        <w:rPr>
          <w:lang w:val="en-GB"/>
        </w:rPr>
      </w:pPr>
      <w:r w:rsidRPr="00EA0955">
        <w:rPr>
          <w:lang w:val="en-US"/>
        </w:rPr>
        <w:t xml:space="preserve">Read </w:t>
      </w:r>
      <w:hyperlink r:id="rId15" w:history="1">
        <w:proofErr w:type="spellStart"/>
        <w:r w:rsidRPr="00EA0955">
          <w:rPr>
            <w:rStyle w:val="Hyperlink"/>
            <w:lang w:val="en-US"/>
          </w:rPr>
          <w:t>Equinet’s</w:t>
        </w:r>
        <w:proofErr w:type="spellEnd"/>
        <w:r w:rsidRPr="00EA0955">
          <w:rPr>
            <w:rStyle w:val="Hyperlink"/>
            <w:lang w:val="en-US"/>
          </w:rPr>
          <w:t xml:space="preserve"> note for members</w:t>
        </w:r>
      </w:hyperlink>
      <w:r w:rsidRPr="00EA0955">
        <w:rPr>
          <w:lang w:val="en-US"/>
        </w:rPr>
        <w:t xml:space="preserve"> on the Horizontal Directive</w:t>
      </w:r>
    </w:p>
    <w:p w14:paraId="59A376DA" w14:textId="066BBDB7" w:rsidR="00E85A47" w:rsidRPr="006F2180" w:rsidRDefault="00E85A47" w:rsidP="00EA0955">
      <w:pPr>
        <w:pStyle w:val="NoSpacing"/>
        <w:numPr>
          <w:ilvl w:val="0"/>
          <w:numId w:val="35"/>
        </w:numPr>
        <w:rPr>
          <w:lang w:val="en-GB"/>
        </w:rPr>
      </w:pPr>
      <w:r>
        <w:rPr>
          <w:lang w:val="en-US"/>
        </w:rPr>
        <w:t xml:space="preserve">Transcript of Anne Gaspard’s speech is available </w:t>
      </w:r>
      <w:hyperlink r:id="rId16" w:history="1">
        <w:r w:rsidRPr="00E85A47">
          <w:rPr>
            <w:rStyle w:val="Hyperlink"/>
            <w:lang w:val="en-US"/>
          </w:rPr>
          <w:t>here</w:t>
        </w:r>
      </w:hyperlink>
      <w:r>
        <w:rPr>
          <w:lang w:val="en-US"/>
        </w:rPr>
        <w:t xml:space="preserve"> (in English and German). </w:t>
      </w:r>
    </w:p>
    <w:p w14:paraId="5435EAAB" w14:textId="77777777" w:rsidR="006F2180" w:rsidRDefault="006F2180" w:rsidP="006F2180">
      <w:pPr>
        <w:pStyle w:val="NoSpacing"/>
        <w:rPr>
          <w:lang w:val="en-US"/>
        </w:rPr>
      </w:pPr>
    </w:p>
    <w:p w14:paraId="3378737F" w14:textId="2D3AD59F" w:rsidR="006F2180" w:rsidRPr="00EA0955" w:rsidRDefault="006F2180" w:rsidP="006F2180">
      <w:pPr>
        <w:pStyle w:val="NoSpacing"/>
        <w:jc w:val="center"/>
        <w:rPr>
          <w:lang w:val="en-GB"/>
        </w:rPr>
      </w:pPr>
      <w:r>
        <w:rPr>
          <w:noProof/>
          <w:lang w:eastAsia="fr-BE"/>
        </w:rPr>
        <w:drawing>
          <wp:inline distT="0" distB="0" distL="0" distR="0" wp14:anchorId="4521ED8F" wp14:editId="5E5F7D5B">
            <wp:extent cx="4629150" cy="2070493"/>
            <wp:effectExtent l="19050" t="19050" r="19050" b="25400"/>
            <wp:docPr id="4" name="Picture 4" descr="  (Click to enlarg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lick to enlarge picture)"/>
                    <pic:cNvPicPr>
                      <a:picLocks noChangeAspect="1" noChangeArrowheads="1"/>
                    </pic:cNvPicPr>
                  </pic:nvPicPr>
                  <pic:blipFill rotWithShape="1">
                    <a:blip r:embed="rId17">
                      <a:extLst>
                        <a:ext uri="{28A0092B-C50C-407E-A947-70E740481C1C}">
                          <a14:useLocalDpi xmlns:a14="http://schemas.microsoft.com/office/drawing/2010/main" val="0"/>
                        </a:ext>
                      </a:extLst>
                    </a:blip>
                    <a:srcRect t="11864" b="28571"/>
                    <a:stretch/>
                  </pic:blipFill>
                  <pic:spPr bwMode="auto">
                    <a:xfrm>
                      <a:off x="0" y="0"/>
                      <a:ext cx="4638708" cy="207476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5560B83" w14:textId="290CD9EC" w:rsidR="00EA0955" w:rsidRDefault="00EA0955" w:rsidP="00EA0955">
      <w:pPr>
        <w:spacing w:line="256" w:lineRule="auto"/>
        <w:rPr>
          <w:lang w:val="en-US"/>
        </w:rPr>
      </w:pPr>
    </w:p>
    <w:p w14:paraId="7D598624" w14:textId="1769DE21" w:rsidR="00EA0955" w:rsidRPr="007424A5" w:rsidRDefault="007424A5" w:rsidP="00560F96">
      <w:pPr>
        <w:jc w:val="both"/>
        <w:rPr>
          <w:rFonts w:asciiTheme="majorHAnsi" w:eastAsiaTheme="majorEastAsia" w:hAnsiTheme="majorHAnsi" w:cstheme="majorBidi"/>
          <w:b/>
          <w:color w:val="BF8F00" w:themeColor="accent4" w:themeShade="BF"/>
          <w:sz w:val="26"/>
          <w:szCs w:val="26"/>
          <w:lang w:val="en-US"/>
        </w:rPr>
      </w:pPr>
      <w:r>
        <w:rPr>
          <w:noProof/>
          <w:lang w:eastAsia="fr-BE"/>
        </w:rPr>
        <w:drawing>
          <wp:anchor distT="0" distB="0" distL="114300" distR="114300" simplePos="0" relativeHeight="251661312" behindDoc="0" locked="0" layoutInCell="1" allowOverlap="1" wp14:anchorId="6E47D221" wp14:editId="30D59351">
            <wp:simplePos x="0" y="0"/>
            <wp:positionH relativeFrom="margin">
              <wp:align>right</wp:align>
            </wp:positionH>
            <wp:positionV relativeFrom="margin">
              <wp:posOffset>7190740</wp:posOffset>
            </wp:positionV>
            <wp:extent cx="1898015" cy="990600"/>
            <wp:effectExtent l="19050" t="19050" r="26035" b="19050"/>
            <wp:wrapSquare wrapText="bothSides"/>
            <wp:docPr id="5" name="Picture 5" descr="http://www.ilga-europe.org/sites/default/files/equality-for-all-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lga-europe.org/sites/default/files/equality-for-all-logo.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015" cy="99060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00547B85" w:rsidRPr="00547B85">
        <w:rPr>
          <w:rFonts w:asciiTheme="majorHAnsi" w:eastAsiaTheme="majorEastAsia" w:hAnsiTheme="majorHAnsi" w:cstheme="majorBidi"/>
          <w:b/>
          <w:color w:val="BF8F00" w:themeColor="accent4" w:themeShade="BF"/>
          <w:sz w:val="26"/>
          <w:szCs w:val="26"/>
          <w:lang w:val="en-US"/>
        </w:rPr>
        <w:t xml:space="preserve">“Equality for All”, the Coalition of 10 European Non-Governmental </w:t>
      </w:r>
      <w:proofErr w:type="spellStart"/>
      <w:r w:rsidR="00547B85" w:rsidRPr="00547B85">
        <w:rPr>
          <w:rFonts w:asciiTheme="majorHAnsi" w:eastAsiaTheme="majorEastAsia" w:hAnsiTheme="majorHAnsi" w:cstheme="majorBidi"/>
          <w:b/>
          <w:color w:val="BF8F00" w:themeColor="accent4" w:themeShade="BF"/>
          <w:sz w:val="26"/>
          <w:szCs w:val="26"/>
          <w:lang w:val="en-US"/>
        </w:rPr>
        <w:t>O</w:t>
      </w:r>
      <w:r w:rsidR="00EF051C">
        <w:rPr>
          <w:rFonts w:asciiTheme="majorHAnsi" w:eastAsiaTheme="majorEastAsia" w:hAnsiTheme="majorHAnsi" w:cstheme="majorBidi"/>
          <w:b/>
          <w:color w:val="BF8F00" w:themeColor="accent4" w:themeShade="BF"/>
          <w:sz w:val="26"/>
          <w:szCs w:val="26"/>
          <w:lang w:val="en-US"/>
        </w:rPr>
        <w:t>rganisations’</w:t>
      </w:r>
      <w:proofErr w:type="spellEnd"/>
      <w:r w:rsidR="00EF051C">
        <w:rPr>
          <w:rFonts w:asciiTheme="majorHAnsi" w:eastAsiaTheme="majorEastAsia" w:hAnsiTheme="majorHAnsi" w:cstheme="majorBidi"/>
          <w:b/>
          <w:color w:val="BF8F00" w:themeColor="accent4" w:themeShade="BF"/>
          <w:sz w:val="26"/>
          <w:szCs w:val="26"/>
          <w:lang w:val="en-US"/>
        </w:rPr>
        <w:t xml:space="preserve"> (NGOs) Coalition </w:t>
      </w:r>
      <w:r w:rsidR="00547B85" w:rsidRPr="00547B85">
        <w:rPr>
          <w:rFonts w:asciiTheme="majorHAnsi" w:eastAsiaTheme="majorEastAsia" w:hAnsiTheme="majorHAnsi" w:cstheme="majorBidi"/>
          <w:b/>
          <w:color w:val="BF8F00" w:themeColor="accent4" w:themeShade="BF"/>
          <w:sz w:val="26"/>
          <w:szCs w:val="26"/>
          <w:lang w:val="en-US"/>
        </w:rPr>
        <w:t>publishes joint statement “EU equal treatment law: the time is now!”</w:t>
      </w:r>
      <w:r>
        <w:rPr>
          <w:rFonts w:asciiTheme="majorHAnsi" w:eastAsiaTheme="majorEastAsia" w:hAnsiTheme="majorHAnsi" w:cstheme="majorBidi"/>
          <w:b/>
          <w:color w:val="BF8F00" w:themeColor="accent4" w:themeShade="BF"/>
          <w:sz w:val="26"/>
          <w:szCs w:val="26"/>
          <w:lang w:val="en-US"/>
        </w:rPr>
        <w:tab/>
      </w:r>
      <w:r>
        <w:rPr>
          <w:rFonts w:asciiTheme="majorHAnsi" w:eastAsiaTheme="majorEastAsia" w:hAnsiTheme="majorHAnsi" w:cstheme="majorBidi"/>
          <w:b/>
          <w:color w:val="BF8F00" w:themeColor="accent4" w:themeShade="BF"/>
          <w:sz w:val="26"/>
          <w:szCs w:val="26"/>
          <w:lang w:val="en-US"/>
        </w:rPr>
        <w:br/>
      </w:r>
      <w:r w:rsidR="00560F96">
        <w:rPr>
          <w:lang w:val="en-US"/>
        </w:rPr>
        <w:br/>
        <w:t xml:space="preserve">In June 2015, 10 European NGOs published a joint statement to call on the Council of the European Union to adopt the Horizontal Directive. </w:t>
      </w:r>
    </w:p>
    <w:p w14:paraId="57B40A28" w14:textId="272C8881" w:rsidR="00EA0955" w:rsidRPr="00EA0955" w:rsidRDefault="00560F96" w:rsidP="00E85A47">
      <w:pPr>
        <w:jc w:val="both"/>
        <w:rPr>
          <w:lang w:val="en-US"/>
        </w:rPr>
      </w:pPr>
      <w:r>
        <w:rPr>
          <w:lang w:val="en-US"/>
        </w:rPr>
        <w:t xml:space="preserve">The statement can be found </w:t>
      </w:r>
      <w:hyperlink r:id="rId19" w:history="1">
        <w:r w:rsidRPr="00560F96">
          <w:rPr>
            <w:rStyle w:val="Hyperlink"/>
            <w:lang w:val="en-US"/>
          </w:rPr>
          <w:t>here</w:t>
        </w:r>
      </w:hyperlink>
      <w:r>
        <w:rPr>
          <w:lang w:val="en-US"/>
        </w:rPr>
        <w:t xml:space="preserve">. </w:t>
      </w:r>
    </w:p>
    <w:p w14:paraId="3826F7AE" w14:textId="77777777" w:rsidR="00A73FA9" w:rsidRDefault="00A73FA9" w:rsidP="000263B4">
      <w:pPr>
        <w:pBdr>
          <w:bottom w:val="dotted" w:sz="36" w:space="1" w:color="auto"/>
        </w:pBdr>
        <w:spacing w:line="240" w:lineRule="auto"/>
        <w:rPr>
          <w:lang w:val="en-US"/>
        </w:rPr>
      </w:pPr>
    </w:p>
    <w:p w14:paraId="49B10814" w14:textId="77777777" w:rsidR="00E85A47" w:rsidRPr="00560F96" w:rsidRDefault="00E85A47" w:rsidP="000263B4">
      <w:pPr>
        <w:pBdr>
          <w:bottom w:val="dotted" w:sz="36" w:space="1" w:color="auto"/>
        </w:pBdr>
        <w:spacing w:line="240" w:lineRule="auto"/>
        <w:rPr>
          <w:lang w:val="en-US"/>
        </w:rPr>
      </w:pPr>
    </w:p>
    <w:p w14:paraId="49F8ACD8" w14:textId="4355F7F0" w:rsidR="00A73FA9" w:rsidRPr="006075A4" w:rsidRDefault="00A73FA9" w:rsidP="006F2180">
      <w:pPr>
        <w:pStyle w:val="Heading1"/>
        <w:spacing w:line="240" w:lineRule="auto"/>
        <w:rPr>
          <w:lang w:val="en-GB"/>
        </w:rPr>
      </w:pPr>
      <w:bookmarkStart w:id="5" w:name="_Toc418770746"/>
      <w:bookmarkStart w:id="6" w:name="_Ref418784288"/>
      <w:bookmarkStart w:id="7" w:name="_Ref421267472"/>
      <w:bookmarkStart w:id="8" w:name="_Ref423445538"/>
      <w:r w:rsidRPr="006075A4">
        <w:rPr>
          <w:lang w:val="en-GB"/>
        </w:rPr>
        <w:lastRenderedPageBreak/>
        <w:t>Thematic Policy Developments</w:t>
      </w:r>
      <w:bookmarkEnd w:id="5"/>
      <w:bookmarkEnd w:id="6"/>
      <w:bookmarkEnd w:id="7"/>
      <w:bookmarkEnd w:id="8"/>
    </w:p>
    <w:p w14:paraId="640BC41E" w14:textId="77777777" w:rsidR="00A73FA9" w:rsidRPr="006075A4" w:rsidRDefault="00A73FA9" w:rsidP="000263B4">
      <w:pPr>
        <w:spacing w:line="240" w:lineRule="auto"/>
        <w:rPr>
          <w:lang w:val="en-GB"/>
        </w:rPr>
      </w:pPr>
    </w:p>
    <w:p w14:paraId="04448C9E" w14:textId="77777777" w:rsidR="00A50089" w:rsidRDefault="00C842B1" w:rsidP="000263B4">
      <w:pPr>
        <w:pStyle w:val="Heading2"/>
        <w:spacing w:line="240" w:lineRule="auto"/>
        <w:rPr>
          <w:lang w:val="en-GB"/>
        </w:rPr>
      </w:pPr>
      <w:bookmarkStart w:id="9" w:name="_Ref421267521"/>
      <w:bookmarkStart w:id="10" w:name="_Toc418770747"/>
      <w:bookmarkStart w:id="11" w:name="_Ref418784309"/>
      <w:r w:rsidRPr="006075A4">
        <w:rPr>
          <w:lang w:val="en-GB"/>
        </w:rPr>
        <w:t>General information</w:t>
      </w:r>
      <w:bookmarkEnd w:id="9"/>
    </w:p>
    <w:p w14:paraId="576C8921" w14:textId="1CA89EEC" w:rsidR="00680C14" w:rsidRPr="00680C14" w:rsidRDefault="00680C14" w:rsidP="00680C14">
      <w:pPr>
        <w:rPr>
          <w:b/>
          <w:sz w:val="24"/>
          <w:lang w:val="en-GB"/>
        </w:rPr>
      </w:pPr>
      <w:r>
        <w:rPr>
          <w:lang w:val="en-GB"/>
        </w:rPr>
        <w:br/>
      </w:r>
      <w:r w:rsidRPr="00680C14">
        <w:rPr>
          <w:b/>
          <w:sz w:val="24"/>
          <w:lang w:val="en-GB"/>
        </w:rPr>
        <w:t xml:space="preserve">European Parliament: Creation of a new </w:t>
      </w:r>
      <w:r w:rsidR="00392620">
        <w:rPr>
          <w:b/>
          <w:sz w:val="24"/>
          <w:lang w:val="en-GB"/>
        </w:rPr>
        <w:t>f</w:t>
      </w:r>
      <w:r w:rsidRPr="00680C14">
        <w:rPr>
          <w:b/>
          <w:sz w:val="24"/>
          <w:lang w:val="en-GB"/>
        </w:rPr>
        <w:t>ar-</w:t>
      </w:r>
      <w:r w:rsidR="00392620">
        <w:rPr>
          <w:b/>
          <w:sz w:val="24"/>
          <w:lang w:val="en-GB"/>
        </w:rPr>
        <w:t>right political g</w:t>
      </w:r>
      <w:r w:rsidRPr="00680C14">
        <w:rPr>
          <w:b/>
          <w:sz w:val="24"/>
          <w:lang w:val="en-GB"/>
        </w:rPr>
        <w:t>roup</w:t>
      </w:r>
    </w:p>
    <w:p w14:paraId="393BD13C" w14:textId="71B3E887" w:rsidR="00680C14" w:rsidRDefault="00680C14" w:rsidP="00680C14">
      <w:pPr>
        <w:jc w:val="both"/>
        <w:rPr>
          <w:lang w:val="en-GB"/>
        </w:rPr>
      </w:pPr>
      <w:r>
        <w:rPr>
          <w:lang w:val="en-GB"/>
        </w:rPr>
        <w:t>On 15</w:t>
      </w:r>
      <w:r w:rsidRPr="00680C14">
        <w:rPr>
          <w:vertAlign w:val="superscript"/>
          <w:lang w:val="en-GB"/>
        </w:rPr>
        <w:t>th</w:t>
      </w:r>
      <w:r>
        <w:rPr>
          <w:lang w:val="en-GB"/>
        </w:rPr>
        <w:t xml:space="preserve"> June 2015, French Natio</w:t>
      </w:r>
      <w:r w:rsidR="00392620">
        <w:rPr>
          <w:lang w:val="en-GB"/>
        </w:rPr>
        <w:t xml:space="preserve">nal Front leader Marine Le Pen </w:t>
      </w:r>
      <w:r>
        <w:rPr>
          <w:lang w:val="en-GB"/>
        </w:rPr>
        <w:t xml:space="preserve">announced the creation of the </w:t>
      </w:r>
      <w:r w:rsidR="00392620">
        <w:rPr>
          <w:lang w:val="en-GB"/>
        </w:rPr>
        <w:t>far-r</w:t>
      </w:r>
      <w:r>
        <w:rPr>
          <w:lang w:val="en-GB"/>
        </w:rPr>
        <w:t xml:space="preserve">ight Anti-EU European Parliament </w:t>
      </w:r>
      <w:r w:rsidR="00191140">
        <w:rPr>
          <w:lang w:val="en-GB"/>
        </w:rPr>
        <w:t>p</w:t>
      </w:r>
      <w:r>
        <w:rPr>
          <w:lang w:val="en-GB"/>
        </w:rPr>
        <w:t xml:space="preserve">olitical </w:t>
      </w:r>
      <w:r w:rsidR="00191140">
        <w:rPr>
          <w:lang w:val="en-GB"/>
        </w:rPr>
        <w:t>g</w:t>
      </w:r>
      <w:r>
        <w:rPr>
          <w:lang w:val="en-GB"/>
        </w:rPr>
        <w:t xml:space="preserve">roup </w:t>
      </w:r>
      <w:hyperlink r:id="rId20" w:history="1">
        <w:r w:rsidRPr="00680C14">
          <w:rPr>
            <w:rStyle w:val="Hyperlink"/>
            <w:lang w:val="en-GB"/>
          </w:rPr>
          <w:t>Europe of Nations and Freedom</w:t>
        </w:r>
      </w:hyperlink>
      <w:r>
        <w:rPr>
          <w:lang w:val="en-GB"/>
        </w:rPr>
        <w:t xml:space="preserve">. The group is made up of 37 Members of the European Parliament (MEPs) from </w:t>
      </w:r>
      <w:r w:rsidRPr="00E744FA">
        <w:rPr>
          <w:b/>
          <w:lang w:val="en-GB"/>
        </w:rPr>
        <w:t>France</w:t>
      </w:r>
      <w:r>
        <w:rPr>
          <w:lang w:val="en-GB"/>
        </w:rPr>
        <w:t xml:space="preserve"> (National Front), the </w:t>
      </w:r>
      <w:r w:rsidRPr="00E744FA">
        <w:rPr>
          <w:b/>
          <w:lang w:val="en-GB"/>
        </w:rPr>
        <w:t>Netherlands</w:t>
      </w:r>
      <w:r>
        <w:rPr>
          <w:lang w:val="en-GB"/>
        </w:rPr>
        <w:t xml:space="preserve"> (</w:t>
      </w:r>
      <w:proofErr w:type="spellStart"/>
      <w:r w:rsidRPr="00680C14">
        <w:rPr>
          <w:lang w:val="en-GB"/>
        </w:rPr>
        <w:t>Partij</w:t>
      </w:r>
      <w:proofErr w:type="spellEnd"/>
      <w:r w:rsidRPr="00680C14">
        <w:rPr>
          <w:lang w:val="en-GB"/>
        </w:rPr>
        <w:t xml:space="preserve"> </w:t>
      </w:r>
      <w:proofErr w:type="spellStart"/>
      <w:r w:rsidRPr="00680C14">
        <w:rPr>
          <w:lang w:val="en-GB"/>
        </w:rPr>
        <w:t>voor</w:t>
      </w:r>
      <w:proofErr w:type="spellEnd"/>
      <w:r w:rsidRPr="00680C14">
        <w:rPr>
          <w:lang w:val="en-GB"/>
        </w:rPr>
        <w:t xml:space="preserve"> de </w:t>
      </w:r>
      <w:proofErr w:type="spellStart"/>
      <w:r w:rsidRPr="00680C14">
        <w:rPr>
          <w:lang w:val="en-GB"/>
        </w:rPr>
        <w:t>Vrijheid</w:t>
      </w:r>
      <w:proofErr w:type="spellEnd"/>
      <w:r>
        <w:rPr>
          <w:lang w:val="en-GB"/>
        </w:rPr>
        <w:t xml:space="preserve">), the </w:t>
      </w:r>
      <w:r w:rsidRPr="00E744FA">
        <w:rPr>
          <w:b/>
          <w:lang w:val="en-GB"/>
        </w:rPr>
        <w:t xml:space="preserve">United-Kingdom </w:t>
      </w:r>
      <w:r>
        <w:rPr>
          <w:lang w:val="en-GB"/>
        </w:rPr>
        <w:t>(UKIP),</w:t>
      </w:r>
      <w:r w:rsidRPr="00E744FA">
        <w:rPr>
          <w:b/>
          <w:lang w:val="en-GB"/>
        </w:rPr>
        <w:t xml:space="preserve"> Poland </w:t>
      </w:r>
      <w:r>
        <w:rPr>
          <w:lang w:val="en-GB"/>
        </w:rPr>
        <w:t>(</w:t>
      </w:r>
      <w:proofErr w:type="spellStart"/>
      <w:r w:rsidRPr="00680C14">
        <w:rPr>
          <w:lang w:val="en-GB"/>
        </w:rPr>
        <w:t>Kongres</w:t>
      </w:r>
      <w:proofErr w:type="spellEnd"/>
      <w:r w:rsidRPr="00680C14">
        <w:rPr>
          <w:lang w:val="en-GB"/>
        </w:rPr>
        <w:t xml:space="preserve"> </w:t>
      </w:r>
      <w:proofErr w:type="spellStart"/>
      <w:r w:rsidRPr="00680C14">
        <w:rPr>
          <w:lang w:val="en-GB"/>
        </w:rPr>
        <w:t>Nowej</w:t>
      </w:r>
      <w:proofErr w:type="spellEnd"/>
      <w:r w:rsidRPr="00680C14">
        <w:rPr>
          <w:lang w:val="en-GB"/>
        </w:rPr>
        <w:t xml:space="preserve"> </w:t>
      </w:r>
      <w:proofErr w:type="spellStart"/>
      <w:r w:rsidRPr="00680C14">
        <w:rPr>
          <w:lang w:val="en-GB"/>
        </w:rPr>
        <w:t>Prawicy</w:t>
      </w:r>
      <w:proofErr w:type="spellEnd"/>
      <w:r>
        <w:rPr>
          <w:lang w:val="en-GB"/>
        </w:rPr>
        <w:t>),</w:t>
      </w:r>
      <w:r w:rsidRPr="00E744FA">
        <w:rPr>
          <w:b/>
          <w:lang w:val="en-GB"/>
        </w:rPr>
        <w:t xml:space="preserve"> Italy </w:t>
      </w:r>
      <w:r>
        <w:rPr>
          <w:lang w:val="en-GB"/>
        </w:rPr>
        <w:t>(</w:t>
      </w:r>
      <w:proofErr w:type="spellStart"/>
      <w:r>
        <w:rPr>
          <w:lang w:val="en-GB"/>
        </w:rPr>
        <w:t>Lega</w:t>
      </w:r>
      <w:proofErr w:type="spellEnd"/>
      <w:r>
        <w:rPr>
          <w:lang w:val="en-GB"/>
        </w:rPr>
        <w:t xml:space="preserve"> Nord), </w:t>
      </w:r>
      <w:r w:rsidRPr="00E744FA">
        <w:rPr>
          <w:b/>
          <w:lang w:val="en-GB"/>
        </w:rPr>
        <w:t>Austria</w:t>
      </w:r>
      <w:r>
        <w:rPr>
          <w:lang w:val="en-GB"/>
        </w:rPr>
        <w:t xml:space="preserve"> (</w:t>
      </w:r>
      <w:proofErr w:type="spellStart"/>
      <w:r w:rsidRPr="00680C14">
        <w:rPr>
          <w:lang w:val="en-GB"/>
        </w:rPr>
        <w:t>Freiheitliche</w:t>
      </w:r>
      <w:proofErr w:type="spellEnd"/>
      <w:r w:rsidRPr="00680C14">
        <w:rPr>
          <w:lang w:val="en-GB"/>
        </w:rPr>
        <w:t xml:space="preserve"> </w:t>
      </w:r>
      <w:proofErr w:type="spellStart"/>
      <w:r w:rsidRPr="00680C14">
        <w:rPr>
          <w:lang w:val="en-GB"/>
        </w:rPr>
        <w:t>Partei</w:t>
      </w:r>
      <w:proofErr w:type="spellEnd"/>
      <w:r w:rsidRPr="00680C14">
        <w:rPr>
          <w:lang w:val="en-GB"/>
        </w:rPr>
        <w:t xml:space="preserve"> </w:t>
      </w:r>
      <w:proofErr w:type="spellStart"/>
      <w:r w:rsidRPr="00680C14">
        <w:rPr>
          <w:lang w:val="en-GB"/>
        </w:rPr>
        <w:t>Österreichs</w:t>
      </w:r>
      <w:proofErr w:type="spellEnd"/>
      <w:r>
        <w:rPr>
          <w:lang w:val="en-GB"/>
        </w:rPr>
        <w:t xml:space="preserve">) and </w:t>
      </w:r>
      <w:r w:rsidRPr="00E744FA">
        <w:rPr>
          <w:b/>
          <w:lang w:val="en-GB"/>
        </w:rPr>
        <w:t>Belgium</w:t>
      </w:r>
      <w:r>
        <w:rPr>
          <w:lang w:val="en-GB"/>
        </w:rPr>
        <w:t xml:space="preserve"> (</w:t>
      </w:r>
      <w:proofErr w:type="spellStart"/>
      <w:r>
        <w:rPr>
          <w:lang w:val="en-GB"/>
        </w:rPr>
        <w:t>Vlaams</w:t>
      </w:r>
      <w:proofErr w:type="spellEnd"/>
      <w:r>
        <w:rPr>
          <w:lang w:val="en-GB"/>
        </w:rPr>
        <w:t xml:space="preserve"> </w:t>
      </w:r>
      <w:proofErr w:type="spellStart"/>
      <w:r>
        <w:rPr>
          <w:lang w:val="en-GB"/>
        </w:rPr>
        <w:t>Belang</w:t>
      </w:r>
      <w:proofErr w:type="spellEnd"/>
      <w:r>
        <w:rPr>
          <w:lang w:val="en-GB"/>
        </w:rPr>
        <w:t xml:space="preserve">). </w:t>
      </w:r>
    </w:p>
    <w:p w14:paraId="181BC1D9" w14:textId="77777777" w:rsidR="00E64FAC" w:rsidRDefault="00E64FAC" w:rsidP="00680C14">
      <w:pPr>
        <w:jc w:val="both"/>
        <w:rPr>
          <w:b/>
          <w:sz w:val="24"/>
          <w:lang w:val="en-GB"/>
        </w:rPr>
      </w:pPr>
    </w:p>
    <w:p w14:paraId="3DC77493" w14:textId="2AB0D8CD" w:rsidR="00F2409A" w:rsidRPr="00F2409A" w:rsidRDefault="0075385A" w:rsidP="00680C14">
      <w:pPr>
        <w:jc w:val="both"/>
        <w:rPr>
          <w:b/>
          <w:sz w:val="24"/>
          <w:lang w:val="en-GB"/>
        </w:rPr>
      </w:pPr>
      <w:r w:rsidRPr="00F2409A">
        <w:rPr>
          <w:b/>
          <w:sz w:val="24"/>
          <w:lang w:val="en-GB"/>
        </w:rPr>
        <w:t xml:space="preserve">European </w:t>
      </w:r>
      <w:r w:rsidR="00F2409A" w:rsidRPr="00F2409A">
        <w:rPr>
          <w:b/>
          <w:sz w:val="24"/>
          <w:lang w:val="en-GB"/>
        </w:rPr>
        <w:t xml:space="preserve">Commission replies to European Parliament’s </w:t>
      </w:r>
      <w:r w:rsidR="00E64FAC">
        <w:rPr>
          <w:b/>
          <w:sz w:val="24"/>
          <w:lang w:val="en-GB"/>
        </w:rPr>
        <w:t xml:space="preserve">written </w:t>
      </w:r>
      <w:r w:rsidR="00F2409A" w:rsidRPr="00F2409A">
        <w:rPr>
          <w:b/>
          <w:sz w:val="24"/>
          <w:lang w:val="en-GB"/>
        </w:rPr>
        <w:t>question on clear standards for equality bodies</w:t>
      </w:r>
    </w:p>
    <w:p w14:paraId="0522218F" w14:textId="1092E2F7" w:rsidR="0075385A" w:rsidRDefault="00F2409A" w:rsidP="00680C14">
      <w:pPr>
        <w:jc w:val="both"/>
        <w:rPr>
          <w:lang w:val="en-GB"/>
        </w:rPr>
      </w:pPr>
      <w:r>
        <w:rPr>
          <w:lang w:val="en-GB"/>
        </w:rPr>
        <w:t xml:space="preserve">In April 2015, Members of the European Parliament </w:t>
      </w:r>
      <w:hyperlink r:id="rId21" w:history="1">
        <w:r w:rsidRPr="00E64FAC">
          <w:rPr>
            <w:rStyle w:val="Hyperlink"/>
            <w:lang w:val="en-GB"/>
          </w:rPr>
          <w:t>Jean Lambert</w:t>
        </w:r>
      </w:hyperlink>
      <w:r>
        <w:rPr>
          <w:lang w:val="en-GB"/>
        </w:rPr>
        <w:t xml:space="preserve"> </w:t>
      </w:r>
      <w:r w:rsidR="00E64FAC">
        <w:rPr>
          <w:lang w:val="en-GB"/>
        </w:rPr>
        <w:t xml:space="preserve">(UK) </w:t>
      </w:r>
      <w:r>
        <w:rPr>
          <w:lang w:val="en-GB"/>
        </w:rPr>
        <w:t xml:space="preserve">and </w:t>
      </w:r>
      <w:hyperlink r:id="rId22" w:history="1">
        <w:r w:rsidRPr="00E64FAC">
          <w:rPr>
            <w:rStyle w:val="Hyperlink"/>
            <w:lang w:val="en-GB"/>
          </w:rPr>
          <w:t xml:space="preserve">Ulrike </w:t>
        </w:r>
        <w:proofErr w:type="spellStart"/>
        <w:r w:rsidRPr="00E64FAC">
          <w:rPr>
            <w:rStyle w:val="Hyperlink"/>
            <w:lang w:val="en-GB"/>
          </w:rPr>
          <w:t>Lunacek</w:t>
        </w:r>
        <w:proofErr w:type="spellEnd"/>
      </w:hyperlink>
      <w:r>
        <w:rPr>
          <w:lang w:val="en-GB"/>
        </w:rPr>
        <w:t xml:space="preserve"> </w:t>
      </w:r>
      <w:r w:rsidR="00E64FAC">
        <w:rPr>
          <w:lang w:val="en-GB"/>
        </w:rPr>
        <w:t xml:space="preserve">(Austria) </w:t>
      </w:r>
      <w:r>
        <w:rPr>
          <w:lang w:val="en-GB"/>
        </w:rPr>
        <w:t xml:space="preserve">addressed the following </w:t>
      </w:r>
      <w:r w:rsidR="00E64FAC">
        <w:rPr>
          <w:lang w:val="en-GB"/>
        </w:rPr>
        <w:t xml:space="preserve">written </w:t>
      </w:r>
      <w:r>
        <w:rPr>
          <w:lang w:val="en-GB"/>
        </w:rPr>
        <w:t xml:space="preserve">question to the European Commission: </w:t>
      </w:r>
    </w:p>
    <w:p w14:paraId="2FC6A0EE" w14:textId="52B671FA" w:rsidR="00F2409A" w:rsidRPr="00F2409A" w:rsidRDefault="00F2409A" w:rsidP="00F2409A">
      <w:pPr>
        <w:shd w:val="clear" w:color="auto" w:fill="D9D9D9" w:themeFill="background1" w:themeFillShade="D9"/>
        <w:jc w:val="both"/>
        <w:rPr>
          <w:lang w:val="en-GB"/>
        </w:rPr>
      </w:pPr>
      <w:r w:rsidRPr="00F2409A">
        <w:rPr>
          <w:lang w:val="en-GB"/>
        </w:rPr>
        <w:t>Recent Council co</w:t>
      </w:r>
      <w:r>
        <w:rPr>
          <w:lang w:val="en-GB"/>
        </w:rPr>
        <w:t>nclusions on Roma Integration</w:t>
      </w:r>
      <w:r w:rsidRPr="00F2409A">
        <w:rPr>
          <w:lang w:val="en-GB"/>
        </w:rPr>
        <w:t xml:space="preserve"> recommended that Member States should ‘support the work and institutional capacity of bodies intended to promote equal treatment by granting them adequate resources’. </w:t>
      </w:r>
      <w:r>
        <w:rPr>
          <w:lang w:val="en-GB"/>
        </w:rPr>
        <w:t>The Commission’s joint report</w:t>
      </w:r>
      <w:r w:rsidRPr="00F2409A">
        <w:rPr>
          <w:lang w:val="en-GB"/>
        </w:rPr>
        <w:t xml:space="preserve"> on the application of Council Directives 2000/43/EC and 2000/78/EC concludes that ‘strengthening the role of the national equality bodies as watchdogs for equality can make a crucial contribution to more effective implementation and application of the directives’.</w:t>
      </w:r>
    </w:p>
    <w:p w14:paraId="34B7A2EA" w14:textId="77777777" w:rsidR="00F2409A" w:rsidRPr="00F2409A" w:rsidRDefault="00F2409A" w:rsidP="00F2409A">
      <w:pPr>
        <w:shd w:val="clear" w:color="auto" w:fill="D9D9D9" w:themeFill="background1" w:themeFillShade="D9"/>
        <w:jc w:val="both"/>
        <w:rPr>
          <w:lang w:val="en-GB"/>
        </w:rPr>
      </w:pPr>
      <w:r w:rsidRPr="00F2409A">
        <w:rPr>
          <w:lang w:val="en-GB"/>
        </w:rPr>
        <w:t>In the absence of clear, legally binding standards for the independence and effectiveness of Member States' equality bodies, what criteria does the Commission take into account in its assessments and in deciding, including for the purposes of infringement procedures, whether a national equality body is in practice able to, and indeed does, fulfil the tasks required under the EU equal treatment directives?</w:t>
      </w:r>
    </w:p>
    <w:p w14:paraId="126BE242" w14:textId="6D13CAC3" w:rsidR="00F2409A" w:rsidRDefault="00F2409A" w:rsidP="00F2409A">
      <w:pPr>
        <w:shd w:val="clear" w:color="auto" w:fill="D9D9D9" w:themeFill="background1" w:themeFillShade="D9"/>
        <w:jc w:val="both"/>
        <w:rPr>
          <w:lang w:val="en-GB"/>
        </w:rPr>
      </w:pPr>
      <w:r w:rsidRPr="00F2409A">
        <w:rPr>
          <w:lang w:val="en-GB"/>
        </w:rPr>
        <w:t>In the EU accession process it is clear that the Commission looks closely at the independence and internal capacity of accession countries' national equality bodies, as has recently been the case with Croatia(3). Can it explain the discrepancy between the scrutiny of accession countries equality bodies and the lack of clear, legally binding standards for the equality bodies of Member States?</w:t>
      </w:r>
    </w:p>
    <w:p w14:paraId="34907C41" w14:textId="4BE78276" w:rsidR="00680C14" w:rsidRDefault="00F2409A" w:rsidP="00680C14">
      <w:pPr>
        <w:rPr>
          <w:lang w:val="en-GB"/>
        </w:rPr>
      </w:pPr>
      <w:r>
        <w:rPr>
          <w:lang w:val="en-GB"/>
        </w:rPr>
        <w:t>On 19</w:t>
      </w:r>
      <w:r w:rsidRPr="00F2409A">
        <w:rPr>
          <w:vertAlign w:val="superscript"/>
          <w:lang w:val="en-GB"/>
        </w:rPr>
        <w:t>th</w:t>
      </w:r>
      <w:r>
        <w:rPr>
          <w:lang w:val="en-GB"/>
        </w:rPr>
        <w:t xml:space="preserve"> June 2015, the European Commission communicated its reply to the European Parliament:</w:t>
      </w:r>
    </w:p>
    <w:p w14:paraId="1BCA3374" w14:textId="5C266811" w:rsidR="000030A3" w:rsidRPr="000030A3" w:rsidRDefault="000030A3" w:rsidP="000030A3">
      <w:pPr>
        <w:widowControl w:val="0"/>
        <w:shd w:val="clear" w:color="auto" w:fill="E2EFD9" w:themeFill="accent6" w:themeFillTint="33"/>
        <w:jc w:val="both"/>
        <w:rPr>
          <w:noProof/>
          <w:lang w:val="en-US"/>
        </w:rPr>
      </w:pPr>
      <w:r w:rsidRPr="000030A3">
        <w:rPr>
          <w:noProof/>
          <w:lang w:val="en-US"/>
        </w:rPr>
        <w:t>Directives 2006/54/EC, 2004/113/EC and 2000/43/EC require Member States to have equality bodies covering discrimination on grounds of sex and racial or ethnic origin.  The Directives require these bodies to (i) provide independent assistance to victims of discrimination in pursuing the complaints of discrimination; (ii) conduct independent surveys concerning discrimination; and (iii) publish independent reports and make recommendations on any issue related to such discrimination.  It is these requirements that the Commission takes into account in assessing Member States' compliance.</w:t>
      </w:r>
    </w:p>
    <w:p w14:paraId="3724A190" w14:textId="77777777" w:rsidR="000030A3" w:rsidRPr="000030A3" w:rsidRDefault="000030A3" w:rsidP="000030A3">
      <w:pPr>
        <w:widowControl w:val="0"/>
        <w:shd w:val="clear" w:color="auto" w:fill="E2EFD9" w:themeFill="accent6" w:themeFillTint="33"/>
        <w:jc w:val="both"/>
        <w:rPr>
          <w:noProof/>
          <w:lang w:val="en-US"/>
        </w:rPr>
      </w:pPr>
      <w:r w:rsidRPr="000030A3">
        <w:rPr>
          <w:noProof/>
          <w:lang w:val="en-US"/>
        </w:rPr>
        <w:t xml:space="preserve">The Commission has strictly monitored the correct transposition of these Directives as regards the equality bodies since these bodies, acting as watchdogs for equality, play a core role in ensuring effective implementation and application of these Directives. The Commission has contacted a number of Member States to inquire about their conformity with these requirements.  Last year infringements proceedings were pursued against Finland and Slovenia. Finland was referred to the Court of Justice by the Commission due to this matter but the problem has been successfully resolved in their new legislation and, following this, the </w:t>
      </w:r>
      <w:r w:rsidRPr="000030A3">
        <w:rPr>
          <w:noProof/>
          <w:lang w:val="en-US"/>
        </w:rPr>
        <w:lastRenderedPageBreak/>
        <w:t xml:space="preserve">Commission decided on 29 April 2015 to withdraw this matter from the Court. </w:t>
      </w:r>
    </w:p>
    <w:p w14:paraId="073D77B7" w14:textId="77777777" w:rsidR="000030A3" w:rsidRPr="000030A3" w:rsidRDefault="000030A3" w:rsidP="000030A3">
      <w:pPr>
        <w:widowControl w:val="0"/>
        <w:shd w:val="clear" w:color="auto" w:fill="E2EFD9" w:themeFill="accent6" w:themeFillTint="33"/>
        <w:jc w:val="both"/>
        <w:rPr>
          <w:noProof/>
          <w:lang w:val="en-US"/>
        </w:rPr>
      </w:pPr>
      <w:r w:rsidRPr="000030A3">
        <w:rPr>
          <w:noProof/>
          <w:lang w:val="en-US"/>
        </w:rPr>
        <w:t>In the same way the Commission strictly monitors the implementation of EU law in countries seeking to accede to the EU.</w:t>
      </w:r>
    </w:p>
    <w:p w14:paraId="55E6F397" w14:textId="2EC99001" w:rsidR="00E64FAC" w:rsidRPr="001F2EE2" w:rsidRDefault="00E64FAC" w:rsidP="00680C14">
      <w:pPr>
        <w:rPr>
          <w:lang w:val="en-US"/>
        </w:rPr>
      </w:pPr>
      <w:r>
        <w:rPr>
          <w:lang w:val="en-US"/>
        </w:rPr>
        <w:t xml:space="preserve">The question and answer can be found on the </w:t>
      </w:r>
      <w:hyperlink r:id="rId23" w:history="1">
        <w:r w:rsidRPr="00E64FAC">
          <w:rPr>
            <w:rStyle w:val="Hyperlink"/>
            <w:lang w:val="en-US"/>
          </w:rPr>
          <w:t>European Parliament’s website</w:t>
        </w:r>
      </w:hyperlink>
      <w:r>
        <w:rPr>
          <w:lang w:val="en-US"/>
        </w:rPr>
        <w:t xml:space="preserve">. </w:t>
      </w:r>
      <w:r w:rsidR="001F2EE2">
        <w:rPr>
          <w:lang w:val="en-US"/>
        </w:rPr>
        <w:br/>
      </w:r>
    </w:p>
    <w:p w14:paraId="1F9C57F8" w14:textId="6417310C" w:rsidR="00F2409A" w:rsidRPr="00E64FAC" w:rsidRDefault="00646F8C" w:rsidP="00680C14">
      <w:pPr>
        <w:rPr>
          <w:b/>
          <w:sz w:val="24"/>
          <w:lang w:val="en-US"/>
        </w:rPr>
      </w:pPr>
      <w:r w:rsidRPr="00E64FAC">
        <w:rPr>
          <w:b/>
          <w:sz w:val="24"/>
          <w:lang w:val="en-US"/>
        </w:rPr>
        <w:t>European Parliament: the LIBE Committee held hearing for FRA Director Candidates</w:t>
      </w:r>
    </w:p>
    <w:p w14:paraId="57AEEAB1" w14:textId="1E1B7A93" w:rsidR="00873E02" w:rsidRDefault="00E64FAC" w:rsidP="00873E02">
      <w:pPr>
        <w:jc w:val="both"/>
        <w:rPr>
          <w:lang w:val="en-US"/>
        </w:rPr>
      </w:pPr>
      <w:r>
        <w:rPr>
          <w:lang w:val="en-US"/>
        </w:rPr>
        <w:t>On 25</w:t>
      </w:r>
      <w:r w:rsidRPr="00E64FAC">
        <w:rPr>
          <w:vertAlign w:val="superscript"/>
          <w:lang w:val="en-US"/>
        </w:rPr>
        <w:t>th</w:t>
      </w:r>
      <w:r>
        <w:rPr>
          <w:lang w:val="en-US"/>
        </w:rPr>
        <w:t xml:space="preserve"> June, 3 candidates </w:t>
      </w:r>
      <w:r w:rsidR="00873E02">
        <w:rPr>
          <w:lang w:val="en-US"/>
        </w:rPr>
        <w:t>for the position of FRA Director faced questions from the LIBE Committee. The three candidates are</w:t>
      </w:r>
      <w:r w:rsidR="00873E02" w:rsidRPr="00873E02">
        <w:rPr>
          <w:lang w:val="en-US"/>
        </w:rPr>
        <w:t xml:space="preserve"> </w:t>
      </w:r>
      <w:r w:rsidR="00873E02">
        <w:rPr>
          <w:lang w:val="en-US"/>
        </w:rPr>
        <w:t>Michael O’Flaherty (I</w:t>
      </w:r>
      <w:r w:rsidR="00DE4771">
        <w:rPr>
          <w:lang w:val="en-US"/>
        </w:rPr>
        <w:t>reland</w:t>
      </w:r>
      <w:r w:rsidR="00873E02">
        <w:rPr>
          <w:lang w:val="en-US"/>
        </w:rPr>
        <w:t xml:space="preserve"> – UN Human Rights Council Member), </w:t>
      </w:r>
      <w:proofErr w:type="spellStart"/>
      <w:r w:rsidR="00873E02">
        <w:rPr>
          <w:lang w:val="en-US"/>
        </w:rPr>
        <w:t>Lousewies</w:t>
      </w:r>
      <w:proofErr w:type="spellEnd"/>
      <w:r w:rsidR="00873E02">
        <w:rPr>
          <w:lang w:val="en-US"/>
        </w:rPr>
        <w:t xml:space="preserve"> van der </w:t>
      </w:r>
      <w:proofErr w:type="spellStart"/>
      <w:r w:rsidR="00873E02">
        <w:rPr>
          <w:lang w:val="en-US"/>
        </w:rPr>
        <w:t>Laan</w:t>
      </w:r>
      <w:proofErr w:type="spellEnd"/>
      <w:r w:rsidR="00873E02">
        <w:rPr>
          <w:lang w:val="en-US"/>
        </w:rPr>
        <w:t xml:space="preserve"> (N</w:t>
      </w:r>
      <w:r w:rsidR="00DE4771">
        <w:rPr>
          <w:lang w:val="en-US"/>
        </w:rPr>
        <w:t>etherlands</w:t>
      </w:r>
      <w:r w:rsidR="00191140">
        <w:rPr>
          <w:lang w:val="en-US"/>
        </w:rPr>
        <w:t xml:space="preserve"> – ICC and former MEP) and </w:t>
      </w:r>
      <w:proofErr w:type="spellStart"/>
      <w:r w:rsidR="00191140">
        <w:rPr>
          <w:lang w:val="en-US"/>
        </w:rPr>
        <w:t>Ilze</w:t>
      </w:r>
      <w:proofErr w:type="spellEnd"/>
      <w:r w:rsidR="00873E02">
        <w:rPr>
          <w:lang w:val="en-US"/>
        </w:rPr>
        <w:t xml:space="preserve"> Brands </w:t>
      </w:r>
      <w:proofErr w:type="spellStart"/>
      <w:r w:rsidR="00873E02">
        <w:rPr>
          <w:lang w:val="en-US"/>
        </w:rPr>
        <w:t>Kehris</w:t>
      </w:r>
      <w:proofErr w:type="spellEnd"/>
      <w:r w:rsidR="00873E02">
        <w:rPr>
          <w:lang w:val="en-US"/>
        </w:rPr>
        <w:t xml:space="preserve"> (L</w:t>
      </w:r>
      <w:r w:rsidR="00DE4771">
        <w:rPr>
          <w:lang w:val="en-US"/>
        </w:rPr>
        <w:t>atvia</w:t>
      </w:r>
      <w:r w:rsidR="00873E02">
        <w:rPr>
          <w:lang w:val="en-US"/>
        </w:rPr>
        <w:t xml:space="preserve"> – Former Head of Latvian NHRI).</w:t>
      </w:r>
    </w:p>
    <w:p w14:paraId="6F592AE9" w14:textId="299A0761" w:rsidR="00BB06A1" w:rsidRPr="00873E02" w:rsidRDefault="00873E02" w:rsidP="00873E02">
      <w:pPr>
        <w:jc w:val="both"/>
        <w:rPr>
          <w:lang w:val="en-US"/>
        </w:rPr>
      </w:pPr>
      <w:r>
        <w:rPr>
          <w:lang w:val="en-US"/>
        </w:rPr>
        <w:t xml:space="preserve">FRA’s Management Board is then expected to appoint the director on 24-25 September 2015. </w:t>
      </w:r>
    </w:p>
    <w:p w14:paraId="1FD19623" w14:textId="77777777" w:rsidR="0034362B" w:rsidRPr="00866A41" w:rsidRDefault="0034362B" w:rsidP="00C45003">
      <w:pPr>
        <w:pBdr>
          <w:bottom w:val="dashSmallGap" w:sz="4" w:space="1" w:color="auto"/>
        </w:pBdr>
        <w:spacing w:line="240" w:lineRule="auto"/>
        <w:jc w:val="both"/>
        <w:rPr>
          <w:rFonts w:ascii="Calibri" w:eastAsia="Calibri" w:hAnsi="Calibri" w:cs="Times New Roman"/>
          <w:lang w:val="en-US"/>
        </w:rPr>
      </w:pPr>
    </w:p>
    <w:p w14:paraId="1519D042" w14:textId="77777777" w:rsidR="00873E02" w:rsidRDefault="00C842B1" w:rsidP="00873E02">
      <w:pPr>
        <w:pStyle w:val="Heading2"/>
        <w:spacing w:line="240" w:lineRule="auto"/>
        <w:rPr>
          <w:lang w:val="en-GB"/>
        </w:rPr>
      </w:pPr>
      <w:bookmarkStart w:id="12" w:name="_Ref421267526"/>
      <w:r w:rsidRPr="006075A4">
        <w:rPr>
          <w:lang w:val="en-GB"/>
        </w:rPr>
        <w:t>Gender Equality</w:t>
      </w:r>
      <w:bookmarkEnd w:id="12"/>
    </w:p>
    <w:p w14:paraId="477D8124" w14:textId="6A7B5D56" w:rsidR="002A391A" w:rsidRDefault="00873E02" w:rsidP="002A391A">
      <w:pPr>
        <w:jc w:val="both"/>
        <w:rPr>
          <w:b/>
          <w:sz w:val="24"/>
          <w:lang w:val="en-US"/>
        </w:rPr>
      </w:pPr>
      <w:r>
        <w:rPr>
          <w:rFonts w:asciiTheme="majorHAnsi" w:eastAsiaTheme="majorEastAsia" w:hAnsiTheme="majorHAnsi" w:cstheme="majorBidi"/>
          <w:b/>
          <w:color w:val="BF8F00" w:themeColor="accent4" w:themeShade="BF"/>
          <w:sz w:val="26"/>
          <w:szCs w:val="26"/>
          <w:lang w:val="en-GB"/>
        </w:rPr>
        <w:br/>
      </w:r>
      <w:r w:rsidR="002A391A" w:rsidRPr="00454A9F">
        <w:rPr>
          <w:b/>
          <w:sz w:val="24"/>
          <w:lang w:val="en-US"/>
        </w:rPr>
        <w:t xml:space="preserve">The European Commission </w:t>
      </w:r>
      <w:r w:rsidR="007424A5">
        <w:rPr>
          <w:b/>
          <w:sz w:val="24"/>
          <w:lang w:val="en-US"/>
        </w:rPr>
        <w:t>withdraws</w:t>
      </w:r>
      <w:r w:rsidR="002A391A" w:rsidRPr="00454A9F">
        <w:rPr>
          <w:b/>
          <w:sz w:val="24"/>
          <w:lang w:val="en-US"/>
        </w:rPr>
        <w:t xml:space="preserve"> the proposal of recast Maternity Leave Directive</w:t>
      </w:r>
    </w:p>
    <w:p w14:paraId="2CD4CEAD" w14:textId="444D99D2" w:rsidR="002A391A" w:rsidRDefault="00454A9F" w:rsidP="00B95FB2">
      <w:pPr>
        <w:jc w:val="both"/>
        <w:rPr>
          <w:lang w:val="en-US"/>
        </w:rPr>
      </w:pPr>
      <w:r w:rsidRPr="00454A9F">
        <w:rPr>
          <w:lang w:val="en-US"/>
        </w:rPr>
        <w:t>On 1</w:t>
      </w:r>
      <w:r w:rsidRPr="00454A9F">
        <w:rPr>
          <w:vertAlign w:val="superscript"/>
          <w:lang w:val="en-US"/>
        </w:rPr>
        <w:t>st</w:t>
      </w:r>
      <w:r w:rsidRPr="00454A9F">
        <w:rPr>
          <w:lang w:val="en-US"/>
        </w:rPr>
        <w:t xml:space="preserve"> July, the European Commission announced </w:t>
      </w:r>
      <w:r w:rsidR="007424A5">
        <w:rPr>
          <w:lang w:val="en-US"/>
        </w:rPr>
        <w:t xml:space="preserve">the withdrawal of the draft Maternity Leave Directive due to the lack of progress by the Council of the European Union. On the same occasion, it was </w:t>
      </w:r>
      <w:r w:rsidR="00B95FB2">
        <w:rPr>
          <w:lang w:val="en-US"/>
        </w:rPr>
        <w:t>confirmed that “</w:t>
      </w:r>
      <w:r w:rsidR="00B95FB2" w:rsidRPr="00B95FB2">
        <w:rPr>
          <w:i/>
          <w:lang w:val="en-US"/>
        </w:rPr>
        <w:t>The Commission will present a broader initiative which will continue to promote the objectives of the previous proposal and provide minimum protection. The new initiative will take account of the developments in society over the past decade and use the best mix of available policy tools to deliver results as effectively as possible</w:t>
      </w:r>
      <w:r w:rsidR="00B95FB2">
        <w:rPr>
          <w:lang w:val="en-US"/>
        </w:rPr>
        <w:t xml:space="preserve"> (…) </w:t>
      </w:r>
      <w:r w:rsidR="00B95FB2" w:rsidRPr="00B95FB2">
        <w:rPr>
          <w:i/>
          <w:lang w:val="en-US"/>
        </w:rPr>
        <w:t>Be</w:t>
      </w:r>
      <w:bookmarkStart w:id="13" w:name="_GoBack"/>
      <w:bookmarkEnd w:id="13"/>
      <w:r w:rsidR="00B95FB2" w:rsidRPr="00B95FB2">
        <w:rPr>
          <w:i/>
          <w:lang w:val="en-US"/>
        </w:rPr>
        <w:t>fore the withdrawal becomes effective, the Commission will set out its ideas for a new approach in the form of a roadmap towards a new initiative. A public consultation will allow a wide range of stakeholders, in particular the social partners, to contribute their views and ideas. The new initiative will be part of the Commission's Work Programme for 2016</w:t>
      </w:r>
      <w:r w:rsidR="00B95FB2" w:rsidRPr="00B95FB2">
        <w:rPr>
          <w:lang w:val="en-US"/>
        </w:rPr>
        <w:t>.</w:t>
      </w:r>
      <w:r w:rsidR="00B95FB2">
        <w:rPr>
          <w:lang w:val="en-US"/>
        </w:rPr>
        <w:t>”</w:t>
      </w:r>
    </w:p>
    <w:p w14:paraId="5EA96254" w14:textId="2AFA670C" w:rsidR="007424A5" w:rsidRDefault="007424A5" w:rsidP="00873E02">
      <w:pPr>
        <w:rPr>
          <w:lang w:val="en-US"/>
        </w:rPr>
      </w:pPr>
      <w:r>
        <w:rPr>
          <w:lang w:val="en-US"/>
        </w:rPr>
        <w:t xml:space="preserve">The press release is available </w:t>
      </w:r>
      <w:hyperlink r:id="rId24" w:history="1">
        <w:r w:rsidRPr="007424A5">
          <w:rPr>
            <w:rStyle w:val="Hyperlink"/>
            <w:lang w:val="en-US"/>
          </w:rPr>
          <w:t>here</w:t>
        </w:r>
      </w:hyperlink>
      <w:r>
        <w:rPr>
          <w:lang w:val="en-US"/>
        </w:rPr>
        <w:t xml:space="preserve">. </w:t>
      </w:r>
    </w:p>
    <w:p w14:paraId="225F057D" w14:textId="11E9C170" w:rsidR="007424A5" w:rsidRPr="00454A9F" w:rsidRDefault="007424A5" w:rsidP="00C67DA2">
      <w:pPr>
        <w:jc w:val="both"/>
        <w:rPr>
          <w:lang w:val="en-US"/>
        </w:rPr>
      </w:pPr>
      <w:r w:rsidRPr="007424A5">
        <w:rPr>
          <w:b/>
          <w:i/>
          <w:lang w:val="en-US"/>
        </w:rPr>
        <w:t>Background information:</w:t>
      </w:r>
      <w:r>
        <w:rPr>
          <w:lang w:val="en-US"/>
        </w:rPr>
        <w:t xml:space="preserve"> </w:t>
      </w:r>
      <w:r w:rsidRPr="00B33A99">
        <w:rPr>
          <w:lang w:val="en-US"/>
        </w:rPr>
        <w:t>In</w:t>
      </w:r>
      <w:r>
        <w:rPr>
          <w:lang w:val="en-US"/>
        </w:rPr>
        <w:t xml:space="preserve"> 2008, the European Commission </w:t>
      </w:r>
      <w:r w:rsidRPr="00B33A99">
        <w:rPr>
          <w:lang w:val="en-US"/>
        </w:rPr>
        <w:t xml:space="preserve">introduced a </w:t>
      </w:r>
      <w:hyperlink r:id="rId25" w:history="1">
        <w:r w:rsidRPr="00B33A99">
          <w:rPr>
            <w:rStyle w:val="Hyperlink"/>
            <w:lang w:val="en-US"/>
          </w:rPr>
          <w:t>proposal</w:t>
        </w:r>
      </w:hyperlink>
      <w:r w:rsidRPr="00B33A99">
        <w:rPr>
          <w:lang w:val="en-US"/>
        </w:rPr>
        <w:t xml:space="preserve"> to revise the </w:t>
      </w:r>
      <w:r w:rsidRPr="00B33A99">
        <w:rPr>
          <w:b/>
          <w:lang w:val="en-US"/>
        </w:rPr>
        <w:t>1992 EU Maternity Leave Directive</w:t>
      </w:r>
      <w:r w:rsidRPr="00B33A99">
        <w:rPr>
          <w:lang w:val="en-US"/>
        </w:rPr>
        <w:t xml:space="preserve">. In 2010, the proposal </w:t>
      </w:r>
      <w:r>
        <w:rPr>
          <w:lang w:val="en-US"/>
        </w:rPr>
        <w:t>was</w:t>
      </w:r>
      <w:r w:rsidRPr="00B33A99">
        <w:rPr>
          <w:lang w:val="en-US"/>
        </w:rPr>
        <w:t xml:space="preserve"> adopted in its first reading by the European Parliament. Since then, </w:t>
      </w:r>
      <w:r w:rsidRPr="00B33A99">
        <w:rPr>
          <w:b/>
          <w:lang w:val="en-US"/>
        </w:rPr>
        <w:t xml:space="preserve">the negotiations </w:t>
      </w:r>
      <w:r>
        <w:rPr>
          <w:b/>
          <w:lang w:val="en-US"/>
        </w:rPr>
        <w:t>were</w:t>
      </w:r>
      <w:r w:rsidRPr="00B33A99">
        <w:rPr>
          <w:b/>
          <w:lang w:val="en-US"/>
        </w:rPr>
        <w:t xml:space="preserve"> blocked at Council of the EU level</w:t>
      </w:r>
      <w:r w:rsidRPr="00B33A99">
        <w:rPr>
          <w:lang w:val="en-US"/>
        </w:rPr>
        <w:t xml:space="preserve"> by several Member States. </w:t>
      </w:r>
      <w:r>
        <w:rPr>
          <w:lang w:val="en-US"/>
        </w:rPr>
        <w:t>In December 2014, the European Commission announced that, i</w:t>
      </w:r>
      <w:r w:rsidRPr="00B33A99">
        <w:rPr>
          <w:lang w:val="en-US"/>
        </w:rPr>
        <w:t xml:space="preserve">f no agreement </w:t>
      </w:r>
      <w:r>
        <w:rPr>
          <w:lang w:val="en-US"/>
        </w:rPr>
        <w:t xml:space="preserve">was </w:t>
      </w:r>
      <w:r w:rsidRPr="00B33A99">
        <w:rPr>
          <w:lang w:val="en-US"/>
        </w:rPr>
        <w:t>reach</w:t>
      </w:r>
      <w:r>
        <w:rPr>
          <w:lang w:val="en-US"/>
        </w:rPr>
        <w:t>ed by June 2015, it</w:t>
      </w:r>
      <w:r w:rsidRPr="00B33A99">
        <w:rPr>
          <w:lang w:val="en-US"/>
        </w:rPr>
        <w:t xml:space="preserve"> will </w:t>
      </w:r>
      <w:r w:rsidRPr="00B33A99">
        <w:rPr>
          <w:b/>
          <w:lang w:val="en-US"/>
        </w:rPr>
        <w:t>withdraw the initial proposal</w:t>
      </w:r>
      <w:r w:rsidRPr="00B33A99">
        <w:rPr>
          <w:lang w:val="en-US"/>
        </w:rPr>
        <w:t xml:space="preserve"> from the EU legislative process. </w:t>
      </w:r>
      <w:hyperlink r:id="rId26" w:history="1">
        <w:r w:rsidRPr="00B33A99">
          <w:rPr>
            <w:rStyle w:val="Hyperlink"/>
            <w:lang w:val="en-US"/>
          </w:rPr>
          <w:t>EU civil society organisations</w:t>
        </w:r>
      </w:hyperlink>
      <w:r>
        <w:rPr>
          <w:lang w:val="en-US"/>
        </w:rPr>
        <w:t xml:space="preserve"> </w:t>
      </w:r>
      <w:r w:rsidRPr="00B33A99">
        <w:rPr>
          <w:lang w:val="en-US"/>
        </w:rPr>
        <w:t xml:space="preserve">strongly </w:t>
      </w:r>
      <w:proofErr w:type="spellStart"/>
      <w:r w:rsidRPr="00B33A99">
        <w:rPr>
          <w:lang w:val="en-US"/>
        </w:rPr>
        <w:t>mobilised</w:t>
      </w:r>
      <w:proofErr w:type="spellEnd"/>
      <w:r w:rsidRPr="00B33A99">
        <w:rPr>
          <w:lang w:val="en-US"/>
        </w:rPr>
        <w:t xml:space="preserve"> to avoid such withdrawal. </w:t>
      </w:r>
    </w:p>
    <w:p w14:paraId="3AA24B33" w14:textId="34D00ECE" w:rsidR="001F2EE2" w:rsidRDefault="001F2EE2" w:rsidP="00873E02">
      <w:pPr>
        <w:rPr>
          <w:b/>
          <w:sz w:val="24"/>
          <w:lang w:val="en-US"/>
        </w:rPr>
      </w:pPr>
      <w:r>
        <w:rPr>
          <w:b/>
          <w:sz w:val="24"/>
          <w:lang w:val="en-US"/>
        </w:rPr>
        <w:t xml:space="preserve">Reminder: </w:t>
      </w:r>
      <w:r w:rsidR="00786E99">
        <w:rPr>
          <w:b/>
          <w:sz w:val="24"/>
          <w:lang w:val="en-US"/>
        </w:rPr>
        <w:t>Public Consultation – Equality between Women and Men in the EU (Deadline: 21 July 2015)</w:t>
      </w:r>
    </w:p>
    <w:p w14:paraId="4AD61ECA" w14:textId="3F009208" w:rsidR="001F2EE2" w:rsidRDefault="00786E99" w:rsidP="00786E99">
      <w:pPr>
        <w:jc w:val="both"/>
        <w:rPr>
          <w:lang w:val="en-US"/>
        </w:rPr>
      </w:pPr>
      <w:r>
        <w:rPr>
          <w:lang w:val="en-US"/>
        </w:rPr>
        <w:t xml:space="preserve">Following the </w:t>
      </w:r>
      <w:hyperlink r:id="rId27" w:history="1">
        <w:r>
          <w:rPr>
            <w:rStyle w:val="Hyperlink"/>
            <w:lang w:val="en-US"/>
          </w:rPr>
          <w:t>Forum on Future of Gender Equality</w:t>
        </w:r>
      </w:hyperlink>
      <w:r>
        <w:rPr>
          <w:lang w:val="en-US"/>
        </w:rPr>
        <w:t xml:space="preserve"> which was held in April 2015 in Brussels, the European Commission has launched </w:t>
      </w:r>
      <w:r>
        <w:rPr>
          <w:b/>
          <w:lang w:val="en-US"/>
        </w:rPr>
        <w:t>a call for public consultation</w:t>
      </w:r>
      <w:r>
        <w:rPr>
          <w:lang w:val="en-US"/>
        </w:rPr>
        <w:t xml:space="preserve"> on the topic of equality between men and women. The objective of the consultation is to collect the views of the </w:t>
      </w:r>
      <w:r w:rsidR="00191140">
        <w:rPr>
          <w:lang w:val="en-US"/>
        </w:rPr>
        <w:t>general</w:t>
      </w:r>
      <w:r>
        <w:rPr>
          <w:lang w:val="en-US"/>
        </w:rPr>
        <w:t xml:space="preserve"> public in the context of the preparation of the Commission’s policy on equality between women and men after 2015. </w:t>
      </w:r>
      <w:r>
        <w:rPr>
          <w:b/>
          <w:lang w:val="en-US"/>
        </w:rPr>
        <w:t>Equality Bodies are listed among consultation target groups</w:t>
      </w:r>
      <w:r>
        <w:rPr>
          <w:lang w:val="en-US"/>
        </w:rPr>
        <w:t xml:space="preserve">. To participate in the consultation, complete the </w:t>
      </w:r>
      <w:hyperlink r:id="rId28" w:history="1">
        <w:r>
          <w:rPr>
            <w:rStyle w:val="Hyperlink"/>
            <w:color w:val="0563C1"/>
            <w:lang w:val="en-US"/>
          </w:rPr>
          <w:t>questionnaire</w:t>
        </w:r>
      </w:hyperlink>
      <w:r>
        <w:rPr>
          <w:lang w:val="en-US"/>
        </w:rPr>
        <w:t xml:space="preserve"> by </w:t>
      </w:r>
      <w:r>
        <w:rPr>
          <w:b/>
          <w:lang w:val="en-US"/>
        </w:rPr>
        <w:t>21 July 2015</w:t>
      </w:r>
      <w:r>
        <w:rPr>
          <w:lang w:val="en-US"/>
        </w:rPr>
        <w:t xml:space="preserve">. Read more </w:t>
      </w:r>
      <w:hyperlink r:id="rId29" w:history="1">
        <w:r>
          <w:rPr>
            <w:rStyle w:val="Hyperlink"/>
            <w:color w:val="0563C1"/>
            <w:lang w:val="en-US"/>
          </w:rPr>
          <w:t>here</w:t>
        </w:r>
      </w:hyperlink>
      <w:r>
        <w:rPr>
          <w:lang w:val="en-US"/>
        </w:rPr>
        <w:t>.</w:t>
      </w:r>
      <w:r>
        <w:rPr>
          <w:lang w:val="en-US"/>
        </w:rPr>
        <w:tab/>
      </w:r>
    </w:p>
    <w:p w14:paraId="4FAEAA8C" w14:textId="77777777" w:rsidR="00C67DA2" w:rsidRDefault="00C67DA2" w:rsidP="00786E99">
      <w:pPr>
        <w:jc w:val="both"/>
        <w:rPr>
          <w:b/>
          <w:sz w:val="24"/>
          <w:lang w:val="en-US"/>
        </w:rPr>
      </w:pPr>
    </w:p>
    <w:p w14:paraId="57867176" w14:textId="0CD7BA5C" w:rsidR="002060E1" w:rsidRPr="000D0A4F" w:rsidRDefault="000D0A4F" w:rsidP="00786E99">
      <w:pPr>
        <w:jc w:val="both"/>
        <w:rPr>
          <w:b/>
          <w:sz w:val="24"/>
          <w:lang w:val="en-US"/>
        </w:rPr>
      </w:pPr>
      <w:r w:rsidRPr="000D0A4F">
        <w:rPr>
          <w:b/>
          <w:sz w:val="24"/>
          <w:lang w:val="en-US"/>
        </w:rPr>
        <w:t>European Parliament adopts report on the EU strategy for equality between women and men post-2015</w:t>
      </w:r>
    </w:p>
    <w:p w14:paraId="2CB254E9" w14:textId="13E36775" w:rsidR="000D0A4F" w:rsidRDefault="000D0A4F" w:rsidP="00786E99">
      <w:pPr>
        <w:jc w:val="both"/>
        <w:rPr>
          <w:b/>
          <w:sz w:val="24"/>
          <w:lang w:val="en-US"/>
        </w:rPr>
      </w:pPr>
      <w:r>
        <w:rPr>
          <w:lang w:val="en-US"/>
        </w:rPr>
        <w:t>In June 2015, Memb</w:t>
      </w:r>
      <w:r w:rsidR="00191140">
        <w:rPr>
          <w:lang w:val="en-US"/>
        </w:rPr>
        <w:t xml:space="preserve">ers of the European Parliament </w:t>
      </w:r>
      <w:r>
        <w:rPr>
          <w:lang w:val="en-US"/>
        </w:rPr>
        <w:t xml:space="preserve">adopted a </w:t>
      </w:r>
      <w:hyperlink r:id="rId30" w:history="1">
        <w:r w:rsidRPr="000D0A4F">
          <w:rPr>
            <w:rStyle w:val="Hyperlink"/>
            <w:lang w:val="en-US"/>
          </w:rPr>
          <w:t>report on the f</w:t>
        </w:r>
        <w:r w:rsidR="00454A9F">
          <w:rPr>
            <w:rStyle w:val="Hyperlink"/>
            <w:lang w:val="en-US"/>
          </w:rPr>
          <w:t>uture EU Strategy for Equality b</w:t>
        </w:r>
        <w:r w:rsidRPr="000D0A4F">
          <w:rPr>
            <w:rStyle w:val="Hyperlink"/>
            <w:lang w:val="en-US"/>
          </w:rPr>
          <w:t xml:space="preserve">etween </w:t>
        </w:r>
        <w:r w:rsidR="006122BE">
          <w:rPr>
            <w:rStyle w:val="Hyperlink"/>
            <w:lang w:val="en-US"/>
          </w:rPr>
          <w:t xml:space="preserve">Women </w:t>
        </w:r>
        <w:r w:rsidRPr="000D0A4F">
          <w:rPr>
            <w:rStyle w:val="Hyperlink"/>
            <w:lang w:val="en-US"/>
          </w:rPr>
          <w:t>and Men</w:t>
        </w:r>
      </w:hyperlink>
      <w:r>
        <w:rPr>
          <w:lang w:val="en-US"/>
        </w:rPr>
        <w:t xml:space="preserve">. The current strategy will come to an end at the end of the year. The European Parliament Report calls on the European Commission to adopt a strong Gender Equality Strategy 2016 – 2020. The report also includes references to multiple discrimination and includes references to </w:t>
      </w:r>
      <w:r w:rsidRPr="000D0A4F">
        <w:rPr>
          <w:lang w:val="en-US"/>
        </w:rPr>
        <w:t>women with disabilities, migrant and ethnic minority women, Roma women, older women, single mothers and LGBTI</w:t>
      </w:r>
      <w:r>
        <w:rPr>
          <w:lang w:val="en-US"/>
        </w:rPr>
        <w:t xml:space="preserve">. </w:t>
      </w:r>
    </w:p>
    <w:p w14:paraId="6010703F" w14:textId="28C8499C" w:rsidR="00873E02" w:rsidRPr="00873E02" w:rsidRDefault="00873E02" w:rsidP="00873E02">
      <w:pPr>
        <w:rPr>
          <w:b/>
          <w:lang w:val="en-US"/>
        </w:rPr>
      </w:pPr>
      <w:r w:rsidRPr="00873E02">
        <w:rPr>
          <w:b/>
          <w:sz w:val="24"/>
          <w:lang w:val="en-US"/>
        </w:rPr>
        <w:t xml:space="preserve">European Parliament – </w:t>
      </w:r>
      <w:r>
        <w:rPr>
          <w:b/>
          <w:sz w:val="24"/>
          <w:lang w:val="en-US"/>
        </w:rPr>
        <w:t xml:space="preserve">FEMM </w:t>
      </w:r>
      <w:r w:rsidRPr="00873E02">
        <w:rPr>
          <w:b/>
          <w:sz w:val="24"/>
          <w:lang w:val="en-US"/>
        </w:rPr>
        <w:t xml:space="preserve">Committee: </w:t>
      </w:r>
      <w:r w:rsidR="000D0A4F">
        <w:rPr>
          <w:b/>
          <w:sz w:val="24"/>
          <w:lang w:val="en-US"/>
        </w:rPr>
        <w:t>New Study</w:t>
      </w:r>
      <w:r w:rsidRPr="00873E02">
        <w:rPr>
          <w:b/>
          <w:sz w:val="24"/>
          <w:lang w:val="en-US"/>
        </w:rPr>
        <w:t xml:space="preserve"> on Gender Budgeting</w:t>
      </w:r>
    </w:p>
    <w:p w14:paraId="205AE3F8" w14:textId="17C26D71" w:rsidR="00602677" w:rsidRDefault="00602677" w:rsidP="00873E02">
      <w:pPr>
        <w:jc w:val="both"/>
        <w:rPr>
          <w:lang w:val="en-US"/>
        </w:rPr>
      </w:pPr>
      <w:r w:rsidRPr="009C21C3">
        <w:rPr>
          <w:lang w:val="en-US"/>
        </w:rPr>
        <w:t xml:space="preserve">The European Parliament’s </w:t>
      </w:r>
      <w:r w:rsidR="00873E02" w:rsidRPr="009C21C3">
        <w:rPr>
          <w:lang w:val="en-US"/>
        </w:rPr>
        <w:t>Committee</w:t>
      </w:r>
      <w:r w:rsidRPr="009C21C3">
        <w:rPr>
          <w:lang w:val="en-US"/>
        </w:rPr>
        <w:t xml:space="preserve"> on Women’s Rights and Gender Equality </w:t>
      </w:r>
      <w:r w:rsidR="00873E02">
        <w:rPr>
          <w:lang w:val="en-US"/>
        </w:rPr>
        <w:t xml:space="preserve">(FEMM) </w:t>
      </w:r>
      <w:r w:rsidRPr="009C21C3">
        <w:rPr>
          <w:lang w:val="en-US"/>
        </w:rPr>
        <w:t xml:space="preserve">published a </w:t>
      </w:r>
      <w:hyperlink r:id="rId31" w:history="1">
        <w:r w:rsidRPr="000D0A4F">
          <w:rPr>
            <w:rStyle w:val="Hyperlink"/>
            <w:color w:val="4472C4" w:themeColor="accent5"/>
            <w:lang w:val="en-US"/>
          </w:rPr>
          <w:t>draft report</w:t>
        </w:r>
      </w:hyperlink>
      <w:r w:rsidRPr="009C21C3">
        <w:rPr>
          <w:lang w:val="en-US"/>
        </w:rPr>
        <w:t xml:space="preserve"> calling on the Committee on Budgets </w:t>
      </w:r>
      <w:r w:rsidR="00873E02">
        <w:rPr>
          <w:lang w:val="en-US"/>
        </w:rPr>
        <w:t xml:space="preserve">(BUDG) </w:t>
      </w:r>
      <w:r w:rsidRPr="009C21C3">
        <w:rPr>
          <w:lang w:val="en-US"/>
        </w:rPr>
        <w:t xml:space="preserve">to </w:t>
      </w:r>
      <w:r w:rsidR="0025098C" w:rsidRPr="009C21C3">
        <w:rPr>
          <w:lang w:val="en-US"/>
        </w:rPr>
        <w:t xml:space="preserve">integrate gender equality within its annual budgetary </w:t>
      </w:r>
      <w:proofErr w:type="gramStart"/>
      <w:r w:rsidR="0025098C" w:rsidRPr="009C21C3">
        <w:rPr>
          <w:lang w:val="en-US"/>
        </w:rPr>
        <w:t>procedures</w:t>
      </w:r>
      <w:proofErr w:type="gramEnd"/>
      <w:r w:rsidR="0025098C" w:rsidRPr="009C21C3">
        <w:rPr>
          <w:lang w:val="en-US"/>
        </w:rPr>
        <w:t>. According to the report</w:t>
      </w:r>
      <w:r w:rsidR="00873E02">
        <w:rPr>
          <w:lang w:val="en-US"/>
        </w:rPr>
        <w:t xml:space="preserve">, </w:t>
      </w:r>
      <w:r w:rsidR="0025098C" w:rsidRPr="009C21C3">
        <w:rPr>
          <w:lang w:val="en-US"/>
        </w:rPr>
        <w:t xml:space="preserve">EU funding should sustainably support programmes dedicated to tackling gender stereotypes, violence against women, women’s entrepreneurship. The report also calls for setting up a monitoring </w:t>
      </w:r>
      <w:r w:rsidR="000D0A4F" w:rsidRPr="009C21C3">
        <w:rPr>
          <w:lang w:val="en-US"/>
        </w:rPr>
        <w:t>center</w:t>
      </w:r>
      <w:r w:rsidR="0025098C" w:rsidRPr="009C21C3">
        <w:rPr>
          <w:lang w:val="en-US"/>
        </w:rPr>
        <w:t xml:space="preserve"> on gender violence </w:t>
      </w:r>
      <w:r w:rsidR="00873E02" w:rsidRPr="009C21C3">
        <w:rPr>
          <w:lang w:val="en-US"/>
        </w:rPr>
        <w:t>within</w:t>
      </w:r>
      <w:r w:rsidR="00873E02">
        <w:rPr>
          <w:lang w:val="en-US"/>
        </w:rPr>
        <w:t xml:space="preserve"> the</w:t>
      </w:r>
      <w:r w:rsidR="0025098C" w:rsidRPr="009C21C3">
        <w:rPr>
          <w:lang w:val="en-US"/>
        </w:rPr>
        <w:t xml:space="preserve"> European Institute for Gender Equality</w:t>
      </w:r>
      <w:r w:rsidR="009C21C3" w:rsidRPr="009C21C3">
        <w:rPr>
          <w:lang w:val="en-US"/>
        </w:rPr>
        <w:t xml:space="preserve"> (EIGE).</w:t>
      </w:r>
      <w:r w:rsidR="0025098C" w:rsidRPr="009C21C3">
        <w:rPr>
          <w:lang w:val="en-US"/>
        </w:rPr>
        <w:t xml:space="preserve"> </w:t>
      </w:r>
    </w:p>
    <w:p w14:paraId="05A62F8A" w14:textId="5DF1E844" w:rsidR="001F2EE2" w:rsidRPr="001F2EE2" w:rsidRDefault="001F2EE2" w:rsidP="00873E02">
      <w:pPr>
        <w:jc w:val="both"/>
        <w:rPr>
          <w:b/>
          <w:sz w:val="24"/>
          <w:lang w:val="en-US"/>
        </w:rPr>
      </w:pPr>
      <w:r w:rsidRPr="001F2EE2">
        <w:rPr>
          <w:b/>
          <w:sz w:val="24"/>
          <w:lang w:val="en-US"/>
        </w:rPr>
        <w:t>European Parliament – FEMM Committee: Draft Report on the EU Strategic Framework on Health and Safety at Work 2014-2020</w:t>
      </w:r>
    </w:p>
    <w:p w14:paraId="1FFA9EB5" w14:textId="6A72B256" w:rsidR="00C558BD" w:rsidRPr="000D0A4F" w:rsidRDefault="009C21C3" w:rsidP="000D0A4F">
      <w:pPr>
        <w:pBdr>
          <w:bottom w:val="dashSmallGap" w:sz="4" w:space="1" w:color="auto"/>
        </w:pBdr>
        <w:jc w:val="both"/>
        <w:rPr>
          <w:lang w:val="en-US"/>
        </w:rPr>
      </w:pPr>
      <w:r w:rsidRPr="009C21C3">
        <w:rPr>
          <w:lang w:val="en-US"/>
        </w:rPr>
        <w:t xml:space="preserve">The European Parliament’s </w:t>
      </w:r>
      <w:r w:rsidR="002060E1" w:rsidRPr="009C21C3">
        <w:rPr>
          <w:lang w:val="en-US"/>
        </w:rPr>
        <w:t>Committee</w:t>
      </w:r>
      <w:r w:rsidRPr="009C21C3">
        <w:rPr>
          <w:lang w:val="en-US"/>
        </w:rPr>
        <w:t xml:space="preserve"> on Women’s Rights and Gender Equality published </w:t>
      </w:r>
      <w:hyperlink r:id="rId32" w:history="1">
        <w:r w:rsidRPr="00583803">
          <w:rPr>
            <w:rStyle w:val="Hyperlink"/>
            <w:lang w:val="en-US"/>
          </w:rPr>
          <w:t>a draft report</w:t>
        </w:r>
      </w:hyperlink>
      <w:r w:rsidRPr="009C21C3">
        <w:rPr>
          <w:lang w:val="en-US"/>
        </w:rPr>
        <w:t xml:space="preserve"> cal</w:t>
      </w:r>
      <w:r>
        <w:rPr>
          <w:lang w:val="en-US"/>
        </w:rPr>
        <w:t>ling on the Committee on Employment and S</w:t>
      </w:r>
      <w:r w:rsidR="006122BE">
        <w:rPr>
          <w:lang w:val="en-US"/>
        </w:rPr>
        <w:t xml:space="preserve">ocial Affairs in the context of </w:t>
      </w:r>
      <w:r w:rsidRPr="009C21C3">
        <w:rPr>
          <w:lang w:val="en-US"/>
        </w:rPr>
        <w:t>the EU Strategic Framework on Health and Safety at Work 2014-2020</w:t>
      </w:r>
      <w:r w:rsidR="00583803">
        <w:rPr>
          <w:lang w:val="en-US"/>
        </w:rPr>
        <w:t>. The report urges further developments within the European Commission in relation to</w:t>
      </w:r>
      <w:r w:rsidR="006122BE">
        <w:rPr>
          <w:lang w:val="en-US"/>
        </w:rPr>
        <w:t xml:space="preserve"> the</w:t>
      </w:r>
      <w:r w:rsidR="00583803">
        <w:rPr>
          <w:lang w:val="en-US"/>
        </w:rPr>
        <w:t xml:space="preserve"> Maternity Leave Directive and protection of women’s health </w:t>
      </w:r>
      <w:r w:rsidR="006122BE">
        <w:rPr>
          <w:lang w:val="en-US"/>
        </w:rPr>
        <w:t xml:space="preserve">in the </w:t>
      </w:r>
      <w:r w:rsidR="00583803">
        <w:rPr>
          <w:lang w:val="en-US"/>
        </w:rPr>
        <w:t>workplace (in particular the exposure to toxic substances, increasing number of musculoskeletal diseases and</w:t>
      </w:r>
      <w:r w:rsidR="006122BE">
        <w:rPr>
          <w:lang w:val="en-US"/>
        </w:rPr>
        <w:t xml:space="preserve"> the</w:t>
      </w:r>
      <w:r w:rsidR="00583803">
        <w:rPr>
          <w:lang w:val="en-US"/>
        </w:rPr>
        <w:t xml:space="preserve"> integration of gender dimension within risk </w:t>
      </w:r>
      <w:r w:rsidR="002060E1">
        <w:rPr>
          <w:lang w:val="en-US"/>
        </w:rPr>
        <w:t>assessments</w:t>
      </w:r>
      <w:r w:rsidR="00583803">
        <w:rPr>
          <w:lang w:val="en-US"/>
        </w:rPr>
        <w:t>).</w:t>
      </w:r>
      <w:r>
        <w:rPr>
          <w:lang w:val="en-US"/>
        </w:rPr>
        <w:t xml:space="preserve"> </w:t>
      </w:r>
      <w:r w:rsidR="000D0A4F">
        <w:rPr>
          <w:lang w:val="en-US"/>
        </w:rPr>
        <w:tab/>
      </w:r>
      <w:r w:rsidR="000D0A4F">
        <w:rPr>
          <w:lang w:val="en-US"/>
        </w:rPr>
        <w:br/>
      </w:r>
    </w:p>
    <w:p w14:paraId="6B9351C6" w14:textId="3999A303" w:rsidR="00786E99" w:rsidRDefault="00F93FE2" w:rsidP="00F93FE2">
      <w:pPr>
        <w:pStyle w:val="Heading2"/>
        <w:rPr>
          <w:lang w:val="en-GB"/>
        </w:rPr>
      </w:pPr>
      <w:bookmarkStart w:id="14" w:name="_Ref423445542"/>
      <w:bookmarkStart w:id="15" w:name="_Toc418770748"/>
      <w:bookmarkStart w:id="16" w:name="_Ref418784315"/>
      <w:bookmarkStart w:id="17" w:name="_Ref418784316"/>
      <w:bookmarkEnd w:id="10"/>
      <w:bookmarkEnd w:id="11"/>
      <w:r>
        <w:rPr>
          <w:lang w:val="en-GB"/>
        </w:rPr>
        <w:t>Race/ethnic origin</w:t>
      </w:r>
      <w:bookmarkEnd w:id="14"/>
      <w:r w:rsidR="00786E99">
        <w:rPr>
          <w:lang w:val="en-GB"/>
        </w:rPr>
        <w:br/>
      </w:r>
    </w:p>
    <w:p w14:paraId="731FB24F" w14:textId="25AF6F9E" w:rsidR="00786E99" w:rsidRDefault="006C1EA1" w:rsidP="002060E1">
      <w:pPr>
        <w:jc w:val="both"/>
        <w:rPr>
          <w:b/>
          <w:sz w:val="24"/>
          <w:lang w:val="en-GB"/>
        </w:rPr>
      </w:pPr>
      <w:r>
        <w:rPr>
          <w:b/>
          <w:sz w:val="24"/>
          <w:lang w:val="en-GB"/>
        </w:rPr>
        <w:t xml:space="preserve">The </w:t>
      </w:r>
      <w:r w:rsidR="00786E99" w:rsidRPr="00786E99">
        <w:rPr>
          <w:b/>
          <w:sz w:val="24"/>
          <w:lang w:val="en-GB"/>
        </w:rPr>
        <w:t>European Commission</w:t>
      </w:r>
      <w:r>
        <w:rPr>
          <w:b/>
          <w:sz w:val="24"/>
          <w:lang w:val="en-GB"/>
        </w:rPr>
        <w:t xml:space="preserve"> takes stock of the progress made by EU Member States to promote Roma integration</w:t>
      </w:r>
    </w:p>
    <w:p w14:paraId="560F6B47" w14:textId="724DBB1D" w:rsidR="00786E99" w:rsidRDefault="00786E99" w:rsidP="006C1EA1">
      <w:pPr>
        <w:jc w:val="both"/>
        <w:rPr>
          <w:lang w:val="en-GB"/>
        </w:rPr>
      </w:pPr>
      <w:r w:rsidRPr="00786E99">
        <w:rPr>
          <w:lang w:val="en-GB"/>
        </w:rPr>
        <w:t xml:space="preserve">According to the </w:t>
      </w:r>
      <w:hyperlink r:id="rId33" w:history="1">
        <w:r w:rsidRPr="006C1EA1">
          <w:rPr>
            <w:rStyle w:val="Hyperlink"/>
            <w:lang w:val="en-GB"/>
          </w:rPr>
          <w:t>201</w:t>
        </w:r>
        <w:r w:rsidR="006C1EA1" w:rsidRPr="006C1EA1">
          <w:rPr>
            <w:rStyle w:val="Hyperlink"/>
            <w:lang w:val="en-GB"/>
          </w:rPr>
          <w:t>5</w:t>
        </w:r>
        <w:r w:rsidRPr="006C1EA1">
          <w:rPr>
            <w:rStyle w:val="Hyperlink"/>
            <w:lang w:val="en-GB"/>
          </w:rPr>
          <w:t xml:space="preserve"> European Commission Annual Report</w:t>
        </w:r>
        <w:r w:rsidR="006C1EA1" w:rsidRPr="006C1EA1">
          <w:rPr>
            <w:rStyle w:val="Hyperlink"/>
            <w:lang w:val="en-GB"/>
          </w:rPr>
          <w:t xml:space="preserve"> on </w:t>
        </w:r>
        <w:r w:rsidR="002060E1">
          <w:rPr>
            <w:rStyle w:val="Hyperlink"/>
            <w:lang w:val="en-GB"/>
          </w:rPr>
          <w:t>National Roma Integration Strategies</w:t>
        </w:r>
      </w:hyperlink>
      <w:r w:rsidRPr="00786E99">
        <w:rPr>
          <w:lang w:val="en-GB"/>
        </w:rPr>
        <w:t>,</w:t>
      </w:r>
      <w:r>
        <w:rPr>
          <w:lang w:val="en-GB"/>
        </w:rPr>
        <w:t xml:space="preserve"> in spite of progress made by EU Member States to promote Roma integration, more efforts are necessary. </w:t>
      </w:r>
      <w:r w:rsidR="006C1EA1">
        <w:rPr>
          <w:lang w:val="en-GB"/>
        </w:rPr>
        <w:t xml:space="preserve">In a </w:t>
      </w:r>
      <w:hyperlink r:id="rId34" w:history="1">
        <w:r w:rsidR="006C1EA1" w:rsidRPr="002060E1">
          <w:rPr>
            <w:rStyle w:val="Hyperlink"/>
            <w:lang w:val="en-GB"/>
          </w:rPr>
          <w:t>factsheet</w:t>
        </w:r>
      </w:hyperlink>
      <w:r w:rsidR="006C1EA1">
        <w:rPr>
          <w:lang w:val="en-GB"/>
        </w:rPr>
        <w:t xml:space="preserve"> </w:t>
      </w:r>
      <w:r w:rsidR="002060E1">
        <w:rPr>
          <w:lang w:val="en-GB"/>
        </w:rPr>
        <w:t>summarising the report</w:t>
      </w:r>
      <w:r w:rsidR="006C1EA1">
        <w:rPr>
          <w:lang w:val="en-GB"/>
        </w:rPr>
        <w:t xml:space="preserve">, the European Commission summarises the key steps </w:t>
      </w:r>
      <w:r w:rsidR="002A391A">
        <w:rPr>
          <w:lang w:val="en-GB"/>
        </w:rPr>
        <w:t>that</w:t>
      </w:r>
      <w:r w:rsidR="006C1EA1">
        <w:rPr>
          <w:lang w:val="en-GB"/>
        </w:rPr>
        <w:t xml:space="preserve"> have been taken by the European Union to improve the efficiency of the </w:t>
      </w:r>
      <w:r w:rsidR="002A391A">
        <w:rPr>
          <w:lang w:val="en-GB"/>
        </w:rPr>
        <w:t>EU Funds for Roma inclusion. It also</w:t>
      </w:r>
      <w:r w:rsidR="002060E1">
        <w:rPr>
          <w:lang w:val="en-GB"/>
        </w:rPr>
        <w:t xml:space="preserve"> addresses recommendations to EU Member States to improve the implementation of National Roma Integration Strategies. </w:t>
      </w:r>
    </w:p>
    <w:p w14:paraId="43DD2073" w14:textId="77777777" w:rsidR="002060E1" w:rsidRPr="002060E1" w:rsidRDefault="002060E1" w:rsidP="002060E1">
      <w:pPr>
        <w:jc w:val="both"/>
        <w:rPr>
          <w:b/>
          <w:sz w:val="24"/>
          <w:lang w:val="en-GB"/>
        </w:rPr>
      </w:pPr>
      <w:r w:rsidRPr="002060E1">
        <w:rPr>
          <w:b/>
          <w:sz w:val="24"/>
          <w:lang w:val="en-GB"/>
        </w:rPr>
        <w:t>Council of Europe recommends Slovakia to define ambitious targets to improve social inclusion of Roma and persons with disabilities</w:t>
      </w:r>
    </w:p>
    <w:p w14:paraId="3C9460A2" w14:textId="61D9C7F8" w:rsidR="00A975CF" w:rsidRPr="002060E1" w:rsidRDefault="002060E1" w:rsidP="002060E1">
      <w:pPr>
        <w:pBdr>
          <w:bottom w:val="dashSmallGap" w:sz="4" w:space="1" w:color="auto"/>
        </w:pBdr>
        <w:jc w:val="both"/>
        <w:rPr>
          <w:rFonts w:cs="Arial"/>
          <w:shd w:val="clear" w:color="auto" w:fill="FFFFFF"/>
          <w:lang w:val="en-US"/>
        </w:rPr>
      </w:pPr>
      <w:r>
        <w:rPr>
          <w:lang w:val="en-GB"/>
        </w:rPr>
        <w:t>Following a country visit to Slovakia,</w:t>
      </w:r>
      <w:r w:rsidRPr="002060E1">
        <w:rPr>
          <w:lang w:val="en-GB"/>
        </w:rPr>
        <w:t xml:space="preserve"> Nils </w:t>
      </w:r>
      <w:proofErr w:type="spellStart"/>
      <w:r w:rsidRPr="002060E1">
        <w:rPr>
          <w:lang w:val="en-GB"/>
        </w:rPr>
        <w:t>Muižnieks</w:t>
      </w:r>
      <w:proofErr w:type="spellEnd"/>
      <w:r w:rsidRPr="002060E1">
        <w:rPr>
          <w:lang w:val="en-GB"/>
        </w:rPr>
        <w:t>, Council of Europe Commissioner for Human Rights</w:t>
      </w:r>
      <w:r>
        <w:rPr>
          <w:lang w:val="en-GB"/>
        </w:rPr>
        <w:t xml:space="preserve"> declared: </w:t>
      </w:r>
      <w:r w:rsidRPr="002060E1">
        <w:rPr>
          <w:rFonts w:cs="Arial"/>
          <w:shd w:val="clear" w:color="auto" w:fill="FFFFFF"/>
          <w:lang w:val="en-US"/>
        </w:rPr>
        <w:t xml:space="preserve">“Although Slovakia has taken important measures to advance its human rights agenda, much more ambitious targets need to be set for eradicating the social exclusion and </w:t>
      </w:r>
      <w:proofErr w:type="spellStart"/>
      <w:r w:rsidRPr="002060E1">
        <w:rPr>
          <w:rFonts w:cs="Arial"/>
          <w:shd w:val="clear" w:color="auto" w:fill="FFFFFF"/>
          <w:lang w:val="en-US"/>
        </w:rPr>
        <w:t>marginalisation</w:t>
      </w:r>
      <w:proofErr w:type="spellEnd"/>
      <w:r w:rsidRPr="002060E1">
        <w:rPr>
          <w:rFonts w:cs="Arial"/>
          <w:shd w:val="clear" w:color="auto" w:fill="FFFFFF"/>
          <w:lang w:val="en-US"/>
        </w:rPr>
        <w:t xml:space="preserve"> of Roma and persons with disabilities. Also much more should be done to reinforce the effectiveness of the existing nati</w:t>
      </w:r>
      <w:r>
        <w:rPr>
          <w:rFonts w:cs="Arial"/>
          <w:shd w:val="clear" w:color="auto" w:fill="FFFFFF"/>
          <w:lang w:val="en-US"/>
        </w:rPr>
        <w:t xml:space="preserve">onal human rights institutions”. More information are available </w:t>
      </w:r>
      <w:hyperlink r:id="rId35" w:history="1">
        <w:r w:rsidRPr="002060E1">
          <w:rPr>
            <w:rStyle w:val="Hyperlink"/>
            <w:rFonts w:cs="Arial"/>
            <w:shd w:val="clear" w:color="auto" w:fill="FFFFFF"/>
            <w:lang w:val="en-US"/>
          </w:rPr>
          <w:t>here</w:t>
        </w:r>
      </w:hyperlink>
      <w:r>
        <w:rPr>
          <w:rFonts w:cs="Arial"/>
          <w:shd w:val="clear" w:color="auto" w:fill="FFFFFF"/>
          <w:lang w:val="en-US"/>
        </w:rPr>
        <w:t xml:space="preserve">. </w:t>
      </w:r>
      <w:bookmarkEnd w:id="15"/>
      <w:bookmarkEnd w:id="16"/>
      <w:bookmarkEnd w:id="17"/>
      <w:r>
        <w:rPr>
          <w:rFonts w:cs="Arial"/>
          <w:shd w:val="clear" w:color="auto" w:fill="FFFFFF"/>
          <w:lang w:val="en-US"/>
        </w:rPr>
        <w:tab/>
      </w:r>
      <w:r w:rsidR="0034362B" w:rsidRPr="006075A4">
        <w:rPr>
          <w:lang w:val="en-GB"/>
        </w:rPr>
        <w:br/>
      </w:r>
    </w:p>
    <w:p w14:paraId="18ED389B" w14:textId="77777777" w:rsidR="000D0A4F" w:rsidRDefault="004A7771" w:rsidP="000263B4">
      <w:pPr>
        <w:pStyle w:val="Heading2"/>
        <w:spacing w:line="240" w:lineRule="auto"/>
        <w:rPr>
          <w:lang w:val="en-GB"/>
        </w:rPr>
      </w:pPr>
      <w:bookmarkStart w:id="18" w:name="_Toc418770749"/>
      <w:bookmarkStart w:id="19" w:name="_Ref418784327"/>
      <w:bookmarkStart w:id="20" w:name="_Ref421267533"/>
      <w:bookmarkStart w:id="21" w:name="_Ref423445543"/>
      <w:r w:rsidRPr="006075A4">
        <w:rPr>
          <w:lang w:val="en-GB"/>
        </w:rPr>
        <w:t>Religion and Belief</w:t>
      </w:r>
      <w:bookmarkEnd w:id="18"/>
      <w:bookmarkEnd w:id="19"/>
      <w:bookmarkEnd w:id="20"/>
      <w:bookmarkEnd w:id="21"/>
    </w:p>
    <w:p w14:paraId="4D09D322" w14:textId="77777777" w:rsidR="000D0A4F" w:rsidRDefault="000D0A4F" w:rsidP="000263B4">
      <w:pPr>
        <w:pStyle w:val="Heading2"/>
        <w:spacing w:line="240" w:lineRule="auto"/>
        <w:rPr>
          <w:lang w:val="en-GB"/>
        </w:rPr>
      </w:pPr>
    </w:p>
    <w:p w14:paraId="0CF5A555" w14:textId="2B720456" w:rsidR="000D0A4F" w:rsidRDefault="000D0A4F" w:rsidP="000D0A4F">
      <w:pPr>
        <w:rPr>
          <w:b/>
          <w:sz w:val="24"/>
          <w:lang w:val="en-GB"/>
        </w:rPr>
      </w:pPr>
      <w:r w:rsidRPr="000D0A4F">
        <w:rPr>
          <w:b/>
          <w:sz w:val="24"/>
          <w:lang w:val="en-GB"/>
        </w:rPr>
        <w:t>The European Commission holds annual high-level meeting with religious leaders</w:t>
      </w:r>
    </w:p>
    <w:p w14:paraId="776112E7" w14:textId="27D297BE" w:rsidR="00EB2CCC" w:rsidRDefault="00D64501" w:rsidP="00D64501">
      <w:pPr>
        <w:jc w:val="both"/>
        <w:rPr>
          <w:lang w:val="en-GB"/>
        </w:rPr>
      </w:pPr>
      <w:r w:rsidRPr="00D64501">
        <w:rPr>
          <w:lang w:val="en-GB"/>
        </w:rPr>
        <w:t xml:space="preserve">The First Vice-President of the European Commission </w:t>
      </w:r>
      <w:proofErr w:type="spellStart"/>
      <w:r w:rsidRPr="00D64501">
        <w:rPr>
          <w:lang w:val="en-GB"/>
        </w:rPr>
        <w:t>Frans</w:t>
      </w:r>
      <w:proofErr w:type="spellEnd"/>
      <w:r w:rsidRPr="00D64501">
        <w:rPr>
          <w:lang w:val="en-GB"/>
        </w:rPr>
        <w:t xml:space="preserve"> Timmermans </w:t>
      </w:r>
      <w:r w:rsidR="002A391A">
        <w:rPr>
          <w:lang w:val="en-GB"/>
        </w:rPr>
        <w:t>recently</w:t>
      </w:r>
      <w:r w:rsidRPr="00D64501">
        <w:rPr>
          <w:lang w:val="en-GB"/>
        </w:rPr>
        <w:t xml:space="preserve"> hosted the </w:t>
      </w:r>
      <w:hyperlink r:id="rId36" w:history="1">
        <w:r w:rsidRPr="00D64501">
          <w:rPr>
            <w:rStyle w:val="Hyperlink"/>
            <w:lang w:val="en-GB"/>
          </w:rPr>
          <w:t>2015 annual high-level meeting with religious leaders</w:t>
        </w:r>
      </w:hyperlink>
      <w:r w:rsidR="002A391A">
        <w:rPr>
          <w:lang w:val="en-GB"/>
        </w:rPr>
        <w:t xml:space="preserve">. The meeting </w:t>
      </w:r>
      <w:r w:rsidRPr="00D64501">
        <w:rPr>
          <w:lang w:val="en-GB"/>
        </w:rPr>
        <w:t>gathered 15 religious leaders</w:t>
      </w:r>
      <w:r>
        <w:rPr>
          <w:lang w:val="en-GB"/>
        </w:rPr>
        <w:t xml:space="preserve"> </w:t>
      </w:r>
      <w:r w:rsidRPr="00D64501">
        <w:rPr>
          <w:lang w:val="en-GB"/>
        </w:rPr>
        <w:t>from Christian, Jewish, Muslim, Hindu, Buddhist and Mormon communities</w:t>
      </w:r>
      <w:r>
        <w:rPr>
          <w:lang w:val="en-GB"/>
        </w:rPr>
        <w:t>. According to the European Commission, “h</w:t>
      </w:r>
      <w:r w:rsidRPr="00D64501">
        <w:rPr>
          <w:lang w:val="en-GB"/>
        </w:rPr>
        <w:t>igh-level meetings and working level discussions are held regularly between the European Commission and churches and religious associations and communities as well as philosophical and non-confessional organisations."</w:t>
      </w:r>
    </w:p>
    <w:p w14:paraId="7BBE0509" w14:textId="162D6BBE" w:rsidR="00E72B45" w:rsidRPr="00E72B45" w:rsidRDefault="00E72B45" w:rsidP="00D64501">
      <w:pPr>
        <w:jc w:val="both"/>
        <w:rPr>
          <w:b/>
          <w:bCs/>
          <w:sz w:val="24"/>
          <w:lang w:val="en-US"/>
        </w:rPr>
      </w:pPr>
      <w:r w:rsidRPr="00E72B45">
        <w:rPr>
          <w:b/>
          <w:bCs/>
          <w:sz w:val="24"/>
          <w:lang w:val="en-US"/>
        </w:rPr>
        <w:t xml:space="preserve">The European Commission </w:t>
      </w:r>
      <w:r w:rsidR="002A391A">
        <w:rPr>
          <w:b/>
          <w:bCs/>
          <w:sz w:val="24"/>
          <w:lang w:val="en-US"/>
        </w:rPr>
        <w:t>plans</w:t>
      </w:r>
      <w:r w:rsidRPr="00E72B45">
        <w:rPr>
          <w:b/>
          <w:bCs/>
          <w:sz w:val="24"/>
          <w:lang w:val="en-US"/>
        </w:rPr>
        <w:t xml:space="preserve"> the first Annual Colloquium on Fundamental Rights in the EU </w:t>
      </w:r>
      <w:r>
        <w:rPr>
          <w:b/>
          <w:bCs/>
          <w:sz w:val="24"/>
          <w:lang w:val="en-US"/>
        </w:rPr>
        <w:t>on religious discrimination</w:t>
      </w:r>
    </w:p>
    <w:p w14:paraId="2B898179" w14:textId="551428FE" w:rsidR="00E72B45" w:rsidRPr="00E72B45" w:rsidRDefault="00E72B45" w:rsidP="00D64501">
      <w:pPr>
        <w:jc w:val="both"/>
        <w:rPr>
          <w:lang w:val="en-GB"/>
        </w:rPr>
      </w:pPr>
      <w:r>
        <w:rPr>
          <w:b/>
          <w:bCs/>
          <w:lang w:val="en-US"/>
        </w:rPr>
        <w:t>On 1</w:t>
      </w:r>
      <w:r>
        <w:rPr>
          <w:b/>
          <w:bCs/>
          <w:vertAlign w:val="superscript"/>
          <w:lang w:val="en-US"/>
        </w:rPr>
        <w:t>st</w:t>
      </w:r>
      <w:r>
        <w:rPr>
          <w:b/>
          <w:bCs/>
          <w:lang w:val="en-US"/>
        </w:rPr>
        <w:t xml:space="preserve"> and 2</w:t>
      </w:r>
      <w:r>
        <w:rPr>
          <w:b/>
          <w:bCs/>
          <w:vertAlign w:val="superscript"/>
          <w:lang w:val="en-US"/>
        </w:rPr>
        <w:t>nd</w:t>
      </w:r>
      <w:r>
        <w:rPr>
          <w:b/>
          <w:bCs/>
          <w:lang w:val="en-US"/>
        </w:rPr>
        <w:t xml:space="preserve"> October 2015</w:t>
      </w:r>
      <w:r>
        <w:rPr>
          <w:lang w:val="en-US"/>
        </w:rPr>
        <w:t xml:space="preserve">, the First Vice-President of the European Commission, </w:t>
      </w:r>
      <w:proofErr w:type="spellStart"/>
      <w:r>
        <w:rPr>
          <w:lang w:val="en-US"/>
        </w:rPr>
        <w:t>Frans</w:t>
      </w:r>
      <w:proofErr w:type="spellEnd"/>
      <w:r>
        <w:rPr>
          <w:lang w:val="en-US"/>
        </w:rPr>
        <w:t xml:space="preserve"> Timmermans, in cooperation with the EU Commissioner for Justice, Consumers and Gender Equality, </w:t>
      </w:r>
      <w:proofErr w:type="spellStart"/>
      <w:r>
        <w:rPr>
          <w:lang w:val="en-US"/>
        </w:rPr>
        <w:t>Věra</w:t>
      </w:r>
      <w:proofErr w:type="spellEnd"/>
      <w:r>
        <w:rPr>
          <w:lang w:val="en-US"/>
        </w:rPr>
        <w:t xml:space="preserve"> </w:t>
      </w:r>
      <w:proofErr w:type="spellStart"/>
      <w:r>
        <w:rPr>
          <w:lang w:val="en-US"/>
        </w:rPr>
        <w:t>Jourová</w:t>
      </w:r>
      <w:proofErr w:type="spellEnd"/>
      <w:r>
        <w:rPr>
          <w:lang w:val="en-US"/>
        </w:rPr>
        <w:t xml:space="preserve">, will host </w:t>
      </w:r>
      <w:r w:rsidRPr="00E72B45">
        <w:rPr>
          <w:bCs/>
          <w:lang w:val="en-US"/>
        </w:rPr>
        <w:t>the first Annual Colloquium on Fundamental Rights in the EU. This year, the Colloquium will focus on</w:t>
      </w:r>
      <w:r>
        <w:rPr>
          <w:b/>
          <w:bCs/>
          <w:lang w:val="en-US"/>
        </w:rPr>
        <w:t xml:space="preserve"> “Tolerance and respect: preventing and combating anti-Semitic and anti-Muslim hatred in Europe”. </w:t>
      </w:r>
      <w:r w:rsidRPr="00E72B45">
        <w:rPr>
          <w:bCs/>
          <w:lang w:val="en-US"/>
        </w:rPr>
        <w:t xml:space="preserve">More information </w:t>
      </w:r>
      <w:r>
        <w:rPr>
          <w:bCs/>
          <w:lang w:val="en-US"/>
        </w:rPr>
        <w:t xml:space="preserve">and </w:t>
      </w:r>
      <w:r w:rsidR="002A391A">
        <w:rPr>
          <w:bCs/>
          <w:lang w:val="en-US"/>
        </w:rPr>
        <w:t xml:space="preserve">the </w:t>
      </w:r>
      <w:r>
        <w:rPr>
          <w:bCs/>
          <w:lang w:val="en-US"/>
        </w:rPr>
        <w:t xml:space="preserve">draft programme </w:t>
      </w:r>
      <w:r w:rsidRPr="00E72B45">
        <w:rPr>
          <w:bCs/>
          <w:lang w:val="en-US"/>
        </w:rPr>
        <w:t xml:space="preserve">can be found </w:t>
      </w:r>
      <w:hyperlink r:id="rId37" w:history="1">
        <w:r w:rsidRPr="00E72B45">
          <w:rPr>
            <w:rStyle w:val="Hyperlink"/>
            <w:bCs/>
            <w:lang w:val="en-US"/>
          </w:rPr>
          <w:t>here</w:t>
        </w:r>
      </w:hyperlink>
      <w:r w:rsidRPr="00E72B45">
        <w:rPr>
          <w:bCs/>
          <w:lang w:val="en-US"/>
        </w:rPr>
        <w:t>.</w:t>
      </w:r>
    </w:p>
    <w:p w14:paraId="298670E3" w14:textId="77777777" w:rsidR="0034362B" w:rsidRPr="006075A4" w:rsidRDefault="0034362B" w:rsidP="00C45003">
      <w:pPr>
        <w:pBdr>
          <w:bottom w:val="dashSmallGap" w:sz="4" w:space="1" w:color="auto"/>
        </w:pBdr>
        <w:spacing w:line="240" w:lineRule="auto"/>
        <w:jc w:val="both"/>
        <w:rPr>
          <w:lang w:val="en-GB"/>
        </w:rPr>
      </w:pPr>
    </w:p>
    <w:p w14:paraId="7CB0F721" w14:textId="77777777" w:rsidR="00D64501" w:rsidRDefault="004A7771" w:rsidP="000263B4">
      <w:pPr>
        <w:pStyle w:val="Heading2"/>
        <w:spacing w:line="240" w:lineRule="auto"/>
        <w:rPr>
          <w:lang w:val="en-GB"/>
        </w:rPr>
      </w:pPr>
      <w:bookmarkStart w:id="22" w:name="_Toc418770750"/>
      <w:bookmarkStart w:id="23" w:name="_Ref418784334"/>
      <w:bookmarkStart w:id="24" w:name="_Ref421267538"/>
      <w:bookmarkStart w:id="25" w:name="_Ref423445544"/>
      <w:r w:rsidRPr="006075A4">
        <w:rPr>
          <w:lang w:val="en-GB"/>
        </w:rPr>
        <w:t>Disability</w:t>
      </w:r>
      <w:bookmarkEnd w:id="22"/>
      <w:bookmarkEnd w:id="23"/>
      <w:bookmarkEnd w:id="24"/>
      <w:bookmarkEnd w:id="25"/>
    </w:p>
    <w:p w14:paraId="6E1A61D8" w14:textId="77777777" w:rsidR="00D64501" w:rsidRDefault="00D64501" w:rsidP="000263B4">
      <w:pPr>
        <w:pStyle w:val="Heading2"/>
        <w:spacing w:line="240" w:lineRule="auto"/>
        <w:rPr>
          <w:lang w:val="en-GB"/>
        </w:rPr>
      </w:pPr>
    </w:p>
    <w:p w14:paraId="2EDE97F1" w14:textId="3549DEC2" w:rsidR="00013771" w:rsidRDefault="00013771" w:rsidP="00D64501">
      <w:pPr>
        <w:jc w:val="both"/>
        <w:rPr>
          <w:rFonts w:cs="Arial"/>
          <w:b/>
          <w:sz w:val="24"/>
          <w:szCs w:val="20"/>
          <w:shd w:val="clear" w:color="auto" w:fill="FFFFFF"/>
          <w:lang w:val="en-US"/>
        </w:rPr>
      </w:pPr>
      <w:r w:rsidRPr="00C67DA2">
        <w:rPr>
          <w:rFonts w:cs="Arial"/>
          <w:b/>
          <w:sz w:val="24"/>
          <w:szCs w:val="20"/>
          <w:shd w:val="clear" w:color="auto" w:fill="FFFFFF"/>
          <w:lang w:val="en-US"/>
        </w:rPr>
        <w:t xml:space="preserve">The European Commission </w:t>
      </w:r>
      <w:r w:rsidR="00C67DA2" w:rsidRPr="00C67DA2">
        <w:rPr>
          <w:rFonts w:cs="Arial"/>
          <w:b/>
          <w:sz w:val="24"/>
          <w:szCs w:val="20"/>
          <w:shd w:val="clear" w:color="auto" w:fill="FFFFFF"/>
          <w:lang w:val="en-US"/>
        </w:rPr>
        <w:t>launches</w:t>
      </w:r>
      <w:r w:rsidRPr="00C67DA2">
        <w:rPr>
          <w:rFonts w:cs="Arial"/>
          <w:b/>
          <w:sz w:val="24"/>
          <w:szCs w:val="20"/>
          <w:shd w:val="clear" w:color="auto" w:fill="FFFFFF"/>
          <w:lang w:val="en-US"/>
        </w:rPr>
        <w:t xml:space="preserve"> the European </w:t>
      </w:r>
      <w:r w:rsidR="008C2D88">
        <w:rPr>
          <w:rFonts w:cs="Arial"/>
          <w:b/>
          <w:sz w:val="24"/>
          <w:szCs w:val="20"/>
          <w:shd w:val="clear" w:color="auto" w:fill="FFFFFF"/>
          <w:lang w:val="en-US"/>
        </w:rPr>
        <w:t>Mobility</w:t>
      </w:r>
      <w:r w:rsidRPr="00C67DA2">
        <w:rPr>
          <w:rFonts w:cs="Arial"/>
          <w:b/>
          <w:sz w:val="24"/>
          <w:szCs w:val="20"/>
          <w:shd w:val="clear" w:color="auto" w:fill="FFFFFF"/>
          <w:lang w:val="en-US"/>
        </w:rPr>
        <w:t xml:space="preserve"> Card</w:t>
      </w:r>
    </w:p>
    <w:p w14:paraId="2C77BF22" w14:textId="77D45A00" w:rsidR="00013771" w:rsidRDefault="00C67DA2" w:rsidP="00D64501">
      <w:pPr>
        <w:jc w:val="both"/>
        <w:rPr>
          <w:rFonts w:cs="Arial"/>
          <w:szCs w:val="20"/>
          <w:shd w:val="clear" w:color="auto" w:fill="FFFFFF"/>
          <w:lang w:val="en-US"/>
        </w:rPr>
      </w:pPr>
      <w:r w:rsidRPr="00C67DA2">
        <w:rPr>
          <w:rFonts w:cs="Arial"/>
          <w:szCs w:val="20"/>
          <w:shd w:val="clear" w:color="auto" w:fill="FFFFFF"/>
          <w:lang w:val="en-US"/>
        </w:rPr>
        <w:t>On 30</w:t>
      </w:r>
      <w:r w:rsidRPr="00C67DA2">
        <w:rPr>
          <w:rFonts w:cs="Arial"/>
          <w:szCs w:val="20"/>
          <w:shd w:val="clear" w:color="auto" w:fill="FFFFFF"/>
          <w:vertAlign w:val="superscript"/>
          <w:lang w:val="en-US"/>
        </w:rPr>
        <w:t>th</w:t>
      </w:r>
      <w:r w:rsidRPr="00C67DA2">
        <w:rPr>
          <w:rFonts w:cs="Arial"/>
          <w:szCs w:val="20"/>
          <w:shd w:val="clear" w:color="auto" w:fill="FFFFFF"/>
          <w:lang w:val="en-US"/>
        </w:rPr>
        <w:t xml:space="preserve"> June, EU Commissioner for Employment, Social Affairs, Skills and Labour Mobility </w:t>
      </w:r>
      <w:r>
        <w:rPr>
          <w:rFonts w:cs="Arial"/>
          <w:szCs w:val="20"/>
          <w:shd w:val="clear" w:color="auto" w:fill="FFFFFF"/>
          <w:lang w:val="en-US"/>
        </w:rPr>
        <w:t xml:space="preserve">announced the upcoming launch of the call for tenders to </w:t>
      </w:r>
      <w:r w:rsidR="008C2D88">
        <w:rPr>
          <w:rFonts w:cs="Arial"/>
          <w:szCs w:val="20"/>
          <w:shd w:val="clear" w:color="auto" w:fill="FFFFFF"/>
          <w:lang w:val="en-US"/>
        </w:rPr>
        <w:t xml:space="preserve">set up the European Mobility Card system. The European Mobility Card will allow persons with disabilities to travel more easily from one EU country to another. They will benefit from the same reductions in the areas of culture, leisure, sport and transport under the conditions offered in their countries. </w:t>
      </w:r>
    </w:p>
    <w:p w14:paraId="288D9AAD" w14:textId="4440C5B9" w:rsidR="008C2D88" w:rsidRPr="00C67DA2" w:rsidRDefault="008C2D88" w:rsidP="00D64501">
      <w:pPr>
        <w:jc w:val="both"/>
        <w:rPr>
          <w:rFonts w:cs="Arial"/>
          <w:szCs w:val="20"/>
          <w:shd w:val="clear" w:color="auto" w:fill="FFFFFF"/>
          <w:lang w:val="en-US"/>
        </w:rPr>
      </w:pPr>
      <w:r>
        <w:rPr>
          <w:rFonts w:cs="Arial"/>
          <w:szCs w:val="20"/>
          <w:shd w:val="clear" w:color="auto" w:fill="FFFFFF"/>
          <w:lang w:val="en-US"/>
        </w:rPr>
        <w:t>More information about the European Mobility Card is available</w:t>
      </w:r>
      <w:r w:rsidRPr="008C2D88">
        <w:rPr>
          <w:rFonts w:cs="Arial"/>
          <w:szCs w:val="20"/>
          <w:shd w:val="clear" w:color="auto" w:fill="FFFFFF"/>
          <w:lang w:val="en-US"/>
        </w:rPr>
        <w:t xml:space="preserve"> </w:t>
      </w:r>
      <w:hyperlink r:id="rId38" w:history="1">
        <w:r w:rsidR="00885F8A">
          <w:rPr>
            <w:rStyle w:val="Hyperlink"/>
            <w:rFonts w:cs="Arial"/>
            <w:szCs w:val="20"/>
            <w:shd w:val="clear" w:color="auto" w:fill="FFFFFF"/>
            <w:lang w:val="en-US"/>
          </w:rPr>
          <w:t xml:space="preserve">on the European Disability Forum's website. </w:t>
        </w:r>
      </w:hyperlink>
    </w:p>
    <w:p w14:paraId="05287BAE" w14:textId="55FB1D36" w:rsidR="00D64501" w:rsidRPr="00D64501" w:rsidRDefault="00D64501" w:rsidP="00D64501">
      <w:pPr>
        <w:jc w:val="both"/>
        <w:rPr>
          <w:rStyle w:val="apple-converted-space"/>
          <w:rFonts w:cs="Arial"/>
          <w:b/>
          <w:sz w:val="24"/>
          <w:szCs w:val="20"/>
          <w:shd w:val="clear" w:color="auto" w:fill="FFFFFF"/>
          <w:lang w:val="en-US"/>
        </w:rPr>
      </w:pPr>
      <w:r w:rsidRPr="00D64501">
        <w:rPr>
          <w:rFonts w:cs="Arial"/>
          <w:b/>
          <w:sz w:val="24"/>
          <w:szCs w:val="20"/>
          <w:shd w:val="clear" w:color="auto" w:fill="FFFFFF"/>
          <w:lang w:val="en-US"/>
        </w:rPr>
        <w:t>The European Commission published its replies to the UN Committee on the Rights of Persons with Disabilities</w:t>
      </w:r>
      <w:r w:rsidRPr="00D64501">
        <w:rPr>
          <w:rStyle w:val="apple-converted-space"/>
          <w:rFonts w:cs="Arial"/>
          <w:b/>
          <w:sz w:val="24"/>
          <w:szCs w:val="20"/>
          <w:shd w:val="clear" w:color="auto" w:fill="FFFFFF"/>
          <w:lang w:val="en-US"/>
        </w:rPr>
        <w:t> </w:t>
      </w:r>
    </w:p>
    <w:p w14:paraId="613A1BA6" w14:textId="0D87C299" w:rsidR="00E91D96" w:rsidRPr="00E72B45" w:rsidRDefault="00D64501" w:rsidP="00E72B45">
      <w:pPr>
        <w:jc w:val="both"/>
        <w:rPr>
          <w:rFonts w:cs="Arial"/>
          <w:szCs w:val="20"/>
          <w:shd w:val="clear" w:color="auto" w:fill="FFFFFF"/>
          <w:lang w:val="en-US"/>
        </w:rPr>
      </w:pPr>
      <w:r w:rsidRPr="00D64501">
        <w:rPr>
          <w:rStyle w:val="apple-converted-space"/>
          <w:rFonts w:cs="Arial"/>
          <w:szCs w:val="20"/>
          <w:shd w:val="clear" w:color="auto" w:fill="FFFFFF"/>
          <w:lang w:val="en-US"/>
        </w:rPr>
        <w:t>On 22</w:t>
      </w:r>
      <w:r w:rsidRPr="00D64501">
        <w:rPr>
          <w:rStyle w:val="apple-converted-space"/>
          <w:rFonts w:cs="Arial"/>
          <w:szCs w:val="20"/>
          <w:shd w:val="clear" w:color="auto" w:fill="FFFFFF"/>
          <w:vertAlign w:val="superscript"/>
          <w:lang w:val="en-US"/>
        </w:rPr>
        <w:t>nd</w:t>
      </w:r>
      <w:r w:rsidRPr="00D64501">
        <w:rPr>
          <w:rStyle w:val="apple-converted-space"/>
          <w:rFonts w:cs="Arial"/>
          <w:szCs w:val="20"/>
          <w:shd w:val="clear" w:color="auto" w:fill="FFFFFF"/>
          <w:lang w:val="en-US"/>
        </w:rPr>
        <w:t xml:space="preserve"> June 2015, the European Commission published </w:t>
      </w:r>
      <w:hyperlink r:id="rId39" w:history="1">
        <w:r w:rsidRPr="00D64501">
          <w:rPr>
            <w:rStyle w:val="Hyperlink"/>
            <w:rFonts w:cs="Arial"/>
            <w:szCs w:val="20"/>
            <w:shd w:val="clear" w:color="auto" w:fill="FFFFFF"/>
            <w:lang w:val="en-US"/>
          </w:rPr>
          <w:t xml:space="preserve">its replies to </w:t>
        </w:r>
        <w:r w:rsidR="002A391A">
          <w:rPr>
            <w:rStyle w:val="Hyperlink"/>
            <w:rFonts w:cs="Arial"/>
            <w:szCs w:val="20"/>
            <w:shd w:val="clear" w:color="auto" w:fill="FFFFFF"/>
            <w:lang w:val="en-US"/>
          </w:rPr>
          <w:t xml:space="preserve">the </w:t>
        </w:r>
        <w:r w:rsidRPr="00D64501">
          <w:rPr>
            <w:rStyle w:val="Hyperlink"/>
            <w:rFonts w:cs="Arial"/>
            <w:szCs w:val="20"/>
            <w:shd w:val="clear" w:color="auto" w:fill="FFFFFF"/>
            <w:lang w:val="en-US"/>
          </w:rPr>
          <w:t>list of issues</w:t>
        </w:r>
      </w:hyperlink>
      <w:r>
        <w:rPr>
          <w:rStyle w:val="apple-converted-space"/>
          <w:rFonts w:cs="Arial"/>
          <w:szCs w:val="20"/>
          <w:shd w:val="clear" w:color="auto" w:fill="FFFFFF"/>
          <w:lang w:val="en-US"/>
        </w:rPr>
        <w:t xml:space="preserve"> addressed by the UN Committee on the Rights of Persons with Disabilities. The replies prepared by the EU will serve as a basis to the dialogue between the EU and the UN Committee (27-28 August 2015, Geneva) in the context of the review of the implementation of the UN Convention for the Rights of Persons with Disabilities by the EU. </w:t>
      </w:r>
    </w:p>
    <w:p w14:paraId="4F6ACAC3" w14:textId="77777777" w:rsidR="001B5AEC" w:rsidRPr="006075A4" w:rsidRDefault="001B5AEC" w:rsidP="000263B4">
      <w:pPr>
        <w:pBdr>
          <w:bottom w:val="dotted" w:sz="36" w:space="1" w:color="auto"/>
        </w:pBdr>
        <w:spacing w:line="240" w:lineRule="auto"/>
        <w:rPr>
          <w:lang w:val="en-GB"/>
        </w:rPr>
      </w:pPr>
    </w:p>
    <w:p w14:paraId="0D439E6D" w14:textId="741D7572" w:rsidR="004A7771" w:rsidRPr="006075A4" w:rsidRDefault="00E91D96" w:rsidP="000263B4">
      <w:pPr>
        <w:pStyle w:val="Heading1"/>
        <w:spacing w:line="240" w:lineRule="auto"/>
        <w:rPr>
          <w:lang w:val="en-GB"/>
        </w:rPr>
      </w:pPr>
      <w:bookmarkStart w:id="26" w:name="_Toc418770751"/>
      <w:bookmarkStart w:id="27" w:name="_Ref418784342"/>
      <w:bookmarkStart w:id="28" w:name="_Ref421267554"/>
      <w:bookmarkStart w:id="29" w:name="_Ref423445546"/>
      <w:r w:rsidRPr="006075A4">
        <w:rPr>
          <w:lang w:val="en-GB"/>
        </w:rPr>
        <w:t>Latest publications, funding opportunities and calls for proposals</w:t>
      </w:r>
      <w:bookmarkEnd w:id="26"/>
      <w:bookmarkEnd w:id="27"/>
      <w:bookmarkEnd w:id="28"/>
      <w:bookmarkEnd w:id="29"/>
    </w:p>
    <w:p w14:paraId="7BE4DE86" w14:textId="5B08BE30" w:rsidR="00566380" w:rsidRPr="006075A4" w:rsidRDefault="00566380" w:rsidP="000263B4">
      <w:pPr>
        <w:pStyle w:val="Heading2"/>
        <w:spacing w:line="240" w:lineRule="auto"/>
        <w:rPr>
          <w:lang w:val="en-GB"/>
        </w:rPr>
      </w:pPr>
    </w:p>
    <w:p w14:paraId="61156CED" w14:textId="7BCB1408" w:rsidR="00304143" w:rsidRDefault="00F93FE2" w:rsidP="00F93FE2">
      <w:pPr>
        <w:pStyle w:val="Heading2"/>
        <w:spacing w:line="240" w:lineRule="auto"/>
        <w:rPr>
          <w:lang w:val="en-GB"/>
        </w:rPr>
      </w:pPr>
      <w:bookmarkStart w:id="30" w:name="_Ref423445547"/>
      <w:r w:rsidRPr="006075A4">
        <w:rPr>
          <w:lang w:val="en-GB"/>
        </w:rPr>
        <w:t>General information</w:t>
      </w:r>
      <w:bookmarkEnd w:id="30"/>
      <w:r w:rsidR="00304143">
        <w:rPr>
          <w:lang w:val="en-GB"/>
        </w:rPr>
        <w:br/>
      </w:r>
    </w:p>
    <w:p w14:paraId="4D2EC388" w14:textId="34AF2A1F" w:rsidR="00304143" w:rsidRPr="00304143" w:rsidRDefault="00304143" w:rsidP="00304143">
      <w:pPr>
        <w:pStyle w:val="ListParagraph"/>
        <w:numPr>
          <w:ilvl w:val="0"/>
          <w:numId w:val="37"/>
        </w:numPr>
        <w:rPr>
          <w:b/>
          <w:lang w:val="en-GB"/>
        </w:rPr>
      </w:pPr>
      <w:r w:rsidRPr="00304143">
        <w:rPr>
          <w:b/>
          <w:lang w:val="en-GB"/>
        </w:rPr>
        <w:t>Fundamental Rights Agency of the EU (FRA):</w:t>
      </w:r>
      <w:r w:rsidRPr="00304143">
        <w:rPr>
          <w:lang w:val="en-GB"/>
        </w:rPr>
        <w:t xml:space="preserve"> </w:t>
      </w:r>
      <w:hyperlink r:id="rId40" w:history="1">
        <w:r w:rsidRPr="00304143">
          <w:rPr>
            <w:rStyle w:val="Hyperlink"/>
            <w:lang w:val="en-GB"/>
          </w:rPr>
          <w:t xml:space="preserve">publication of </w:t>
        </w:r>
        <w:r>
          <w:rPr>
            <w:rStyle w:val="Hyperlink"/>
            <w:lang w:val="en-GB"/>
          </w:rPr>
          <w:t>FRA’s</w:t>
        </w:r>
        <w:r w:rsidRPr="00304143">
          <w:rPr>
            <w:rStyle w:val="Hyperlink"/>
            <w:lang w:val="en-GB"/>
          </w:rPr>
          <w:t xml:space="preserve"> </w:t>
        </w:r>
        <w:r w:rsidRPr="00304143">
          <w:rPr>
            <w:rStyle w:val="Hyperlink"/>
            <w:b/>
            <w:lang w:val="en-GB"/>
          </w:rPr>
          <w:t>2014 Annual Report</w:t>
        </w:r>
      </w:hyperlink>
    </w:p>
    <w:p w14:paraId="010EF3DC" w14:textId="6A8723C3" w:rsidR="00304143" w:rsidRDefault="00304143" w:rsidP="00304143">
      <w:pPr>
        <w:jc w:val="both"/>
        <w:rPr>
          <w:lang w:val="en-GB"/>
        </w:rPr>
      </w:pPr>
      <w:r>
        <w:rPr>
          <w:lang w:val="en-GB"/>
        </w:rPr>
        <w:t xml:space="preserve">The report highlights several policy and legal achievements made by EU Member States in the field of fundamental rights and equality. However, many issues remain alarming, in particular in relation to migration, social exclusion, poverty of children and emerging xenophobic speech by certain political parties. </w:t>
      </w:r>
    </w:p>
    <w:p w14:paraId="5D73F2AA" w14:textId="27915FD6" w:rsidR="00304143" w:rsidRPr="00304143" w:rsidRDefault="00304143" w:rsidP="00C45003">
      <w:pPr>
        <w:pStyle w:val="ListParagraph"/>
        <w:numPr>
          <w:ilvl w:val="0"/>
          <w:numId w:val="37"/>
        </w:numPr>
        <w:jc w:val="both"/>
        <w:rPr>
          <w:lang w:val="en-US"/>
        </w:rPr>
      </w:pPr>
      <w:r w:rsidRPr="00304143">
        <w:rPr>
          <w:b/>
          <w:lang w:val="en-US"/>
        </w:rPr>
        <w:t>Fundamental Rights Agency of the EU (FRA):</w:t>
      </w:r>
      <w:r>
        <w:rPr>
          <w:lang w:val="en-US"/>
        </w:rPr>
        <w:t xml:space="preserve"> </w:t>
      </w:r>
      <w:hyperlink r:id="rId41" w:history="1">
        <w:r w:rsidRPr="00304143">
          <w:rPr>
            <w:rStyle w:val="Hyperlink"/>
            <w:lang w:val="en-US"/>
          </w:rPr>
          <w:t xml:space="preserve">new version of the </w:t>
        </w:r>
        <w:proofErr w:type="spellStart"/>
        <w:r w:rsidRPr="00304143">
          <w:rPr>
            <w:rStyle w:val="Hyperlink"/>
            <w:b/>
            <w:lang w:val="en-US"/>
          </w:rPr>
          <w:t>Charterpedia</w:t>
        </w:r>
        <w:proofErr w:type="spellEnd"/>
        <w:r w:rsidRPr="00304143">
          <w:rPr>
            <w:rStyle w:val="Hyperlink"/>
            <w:b/>
            <w:lang w:val="en-US"/>
          </w:rPr>
          <w:t xml:space="preserve"> and case law database</w:t>
        </w:r>
      </w:hyperlink>
    </w:p>
    <w:p w14:paraId="32515ACC" w14:textId="77777777" w:rsidR="00F93FE2" w:rsidRPr="006075A4" w:rsidRDefault="00F93FE2" w:rsidP="00C45003">
      <w:pPr>
        <w:pBdr>
          <w:bottom w:val="dashSmallGap" w:sz="4" w:space="1" w:color="auto"/>
        </w:pBdr>
        <w:spacing w:line="240" w:lineRule="auto"/>
        <w:jc w:val="both"/>
        <w:rPr>
          <w:rFonts w:ascii="Calibri" w:eastAsia="Calibri" w:hAnsi="Calibri" w:cs="Times New Roman"/>
          <w:lang w:val="en-GB"/>
        </w:rPr>
      </w:pPr>
    </w:p>
    <w:p w14:paraId="3EEFAF1E" w14:textId="77777777" w:rsidR="00304143" w:rsidRDefault="00F93FE2" w:rsidP="00304143">
      <w:pPr>
        <w:pStyle w:val="Heading2"/>
        <w:spacing w:line="240" w:lineRule="auto"/>
        <w:rPr>
          <w:lang w:val="en-GB"/>
        </w:rPr>
      </w:pPr>
      <w:bookmarkStart w:id="31" w:name="_Ref423445548"/>
      <w:r w:rsidRPr="006075A4">
        <w:rPr>
          <w:lang w:val="en-GB"/>
        </w:rPr>
        <w:t>Gender Equality</w:t>
      </w:r>
      <w:bookmarkEnd w:id="31"/>
    </w:p>
    <w:p w14:paraId="74061687" w14:textId="77777777" w:rsidR="00304143" w:rsidRDefault="00304143" w:rsidP="00304143">
      <w:pPr>
        <w:rPr>
          <w:lang w:val="en-GB"/>
        </w:rPr>
      </w:pPr>
    </w:p>
    <w:p w14:paraId="3EB3B64C" w14:textId="0EFED398" w:rsidR="00304143" w:rsidRDefault="00304143" w:rsidP="00304143">
      <w:pPr>
        <w:pStyle w:val="ListParagraph"/>
        <w:numPr>
          <w:ilvl w:val="0"/>
          <w:numId w:val="37"/>
        </w:numPr>
        <w:rPr>
          <w:lang w:val="en-GB"/>
        </w:rPr>
      </w:pPr>
      <w:r w:rsidRPr="00304143">
        <w:rPr>
          <w:b/>
          <w:lang w:val="en-GB"/>
        </w:rPr>
        <w:t xml:space="preserve">European Commission: </w:t>
      </w:r>
      <w:hyperlink r:id="rId42" w:history="1">
        <w:r w:rsidRPr="00304143">
          <w:rPr>
            <w:rStyle w:val="Hyperlink"/>
            <w:lang w:val="en-GB"/>
          </w:rPr>
          <w:t xml:space="preserve">independent experts’ report on the </w:t>
        </w:r>
        <w:r w:rsidRPr="00304143">
          <w:rPr>
            <w:rStyle w:val="Hyperlink"/>
            <w:b/>
            <w:lang w:val="en-GB"/>
          </w:rPr>
          <w:t>gender pension gap</w:t>
        </w:r>
        <w:r w:rsidRPr="00304143">
          <w:rPr>
            <w:rStyle w:val="Hyperlink"/>
            <w:lang w:val="en-GB"/>
          </w:rPr>
          <w:t xml:space="preserve"> in the EU</w:t>
        </w:r>
      </w:hyperlink>
      <w:r>
        <w:rPr>
          <w:lang w:val="en-GB"/>
        </w:rPr>
        <w:br/>
      </w:r>
    </w:p>
    <w:p w14:paraId="44BFCA85" w14:textId="77777777" w:rsidR="00E14B6F" w:rsidRPr="00304143" w:rsidRDefault="00E14B6F" w:rsidP="00E14B6F">
      <w:pPr>
        <w:pStyle w:val="ListParagraph"/>
        <w:numPr>
          <w:ilvl w:val="0"/>
          <w:numId w:val="37"/>
        </w:numPr>
        <w:jc w:val="both"/>
        <w:rPr>
          <w:lang w:val="en-GB"/>
        </w:rPr>
      </w:pPr>
      <w:r w:rsidRPr="00082201">
        <w:rPr>
          <w:b/>
          <w:lang w:val="en-GB"/>
        </w:rPr>
        <w:t xml:space="preserve">European Institute for Gender Equality (EIGE): </w:t>
      </w:r>
      <w:hyperlink r:id="rId43" w:history="1">
        <w:r w:rsidRPr="00082201">
          <w:rPr>
            <w:rStyle w:val="Hyperlink"/>
            <w:lang w:val="en-GB"/>
          </w:rPr>
          <w:t xml:space="preserve">Publication of the </w:t>
        </w:r>
        <w:r w:rsidRPr="00C45003">
          <w:rPr>
            <w:rStyle w:val="Hyperlink"/>
            <w:b/>
            <w:lang w:val="en-GB"/>
          </w:rPr>
          <w:t>Gender Equality Index 2015</w:t>
        </w:r>
      </w:hyperlink>
      <w:r>
        <w:rPr>
          <w:lang w:val="en-GB"/>
        </w:rPr>
        <w:t xml:space="preserve"> – Measuring gender equality in the European Union 2005 - 2012</w:t>
      </w:r>
    </w:p>
    <w:p w14:paraId="0CC93C5E" w14:textId="77777777" w:rsidR="00E14B6F" w:rsidRDefault="00E14B6F" w:rsidP="00E14B6F">
      <w:pPr>
        <w:jc w:val="both"/>
        <w:rPr>
          <w:lang w:val="en-GB"/>
        </w:rPr>
      </w:pPr>
      <w:r w:rsidRPr="00082201">
        <w:rPr>
          <w:lang w:val="en-GB"/>
        </w:rPr>
        <w:t>The Gender Equality Index assesses the level of gender equality with numeric scores from 1 to 100 (where 100 represents the full gender equality in all areas of social and political life) and looks at the achievements made in three time periods: 2005, 2010 and 2012. It is based on EU policy priorities and it assesses the impact of gender equality policies in the European Union and by Member States over time.</w:t>
      </w:r>
    </w:p>
    <w:p w14:paraId="1F1D92C7" w14:textId="77777777" w:rsidR="00E14B6F" w:rsidRDefault="00E14B6F" w:rsidP="00E14B6F">
      <w:pPr>
        <w:pStyle w:val="ListParagraph"/>
        <w:numPr>
          <w:ilvl w:val="0"/>
          <w:numId w:val="38"/>
        </w:numPr>
        <w:jc w:val="both"/>
        <w:rPr>
          <w:lang w:val="en-GB"/>
        </w:rPr>
      </w:pPr>
      <w:r w:rsidRPr="00C45003">
        <w:rPr>
          <w:b/>
          <w:lang w:val="en-GB"/>
        </w:rPr>
        <w:t>European Institute for Gender Equality (EIGE):</w:t>
      </w:r>
      <w:r>
        <w:rPr>
          <w:lang w:val="en-GB"/>
        </w:rPr>
        <w:t xml:space="preserve"> Study “</w:t>
      </w:r>
      <w:hyperlink r:id="rId44" w:history="1">
        <w:r w:rsidRPr="00C45003">
          <w:rPr>
            <w:rStyle w:val="Hyperlink"/>
            <w:lang w:val="en-GB"/>
          </w:rPr>
          <w:t xml:space="preserve">Estimation of the number of girls at risk of </w:t>
        </w:r>
        <w:r w:rsidRPr="00C45003">
          <w:rPr>
            <w:rStyle w:val="Hyperlink"/>
            <w:b/>
            <w:lang w:val="en-GB"/>
          </w:rPr>
          <w:t>female genital mutilation</w:t>
        </w:r>
        <w:r w:rsidRPr="00C45003">
          <w:rPr>
            <w:rStyle w:val="Hyperlink"/>
            <w:lang w:val="en-GB"/>
          </w:rPr>
          <w:t xml:space="preserve"> in the EU</w:t>
        </w:r>
      </w:hyperlink>
      <w:r>
        <w:rPr>
          <w:lang w:val="en-GB"/>
        </w:rPr>
        <w:t xml:space="preserve">” </w:t>
      </w:r>
    </w:p>
    <w:p w14:paraId="4C94B1B6" w14:textId="77777777" w:rsidR="00E14B6F" w:rsidRDefault="00E14B6F" w:rsidP="00E14B6F">
      <w:pPr>
        <w:pStyle w:val="ListParagraph"/>
        <w:jc w:val="both"/>
        <w:rPr>
          <w:lang w:val="en-GB"/>
        </w:rPr>
      </w:pPr>
    </w:p>
    <w:p w14:paraId="7245E2F5" w14:textId="06F89D5C" w:rsidR="00082201" w:rsidRPr="00E14B6F" w:rsidRDefault="00304143" w:rsidP="00E14B6F">
      <w:pPr>
        <w:pStyle w:val="ListParagraph"/>
        <w:numPr>
          <w:ilvl w:val="0"/>
          <w:numId w:val="37"/>
        </w:numPr>
        <w:jc w:val="both"/>
        <w:rPr>
          <w:lang w:val="en-GB"/>
        </w:rPr>
      </w:pPr>
      <w:r w:rsidRPr="00082201">
        <w:rPr>
          <w:b/>
          <w:lang w:val="en-GB"/>
        </w:rPr>
        <w:t>Fund</w:t>
      </w:r>
      <w:r w:rsidR="00082201" w:rsidRPr="00082201">
        <w:rPr>
          <w:b/>
          <w:lang w:val="en-GB"/>
        </w:rPr>
        <w:t>amental Rights Agency of the EU</w:t>
      </w:r>
      <w:r w:rsidR="00082201">
        <w:rPr>
          <w:b/>
          <w:lang w:val="en-GB"/>
        </w:rPr>
        <w:t xml:space="preserve"> (FRA)</w:t>
      </w:r>
      <w:r w:rsidR="00082201" w:rsidRPr="00082201">
        <w:rPr>
          <w:b/>
          <w:lang w:val="en-GB"/>
        </w:rPr>
        <w:t>:</w:t>
      </w:r>
      <w:r w:rsidR="00082201">
        <w:rPr>
          <w:lang w:val="en-GB"/>
        </w:rPr>
        <w:t xml:space="preserve"> </w:t>
      </w:r>
      <w:hyperlink r:id="rId45" w:history="1">
        <w:r w:rsidR="00082201" w:rsidRPr="00082201">
          <w:rPr>
            <w:rStyle w:val="Hyperlink"/>
            <w:lang w:val="en-GB"/>
          </w:rPr>
          <w:t xml:space="preserve">FRA </w:t>
        </w:r>
        <w:r w:rsidR="00082201" w:rsidRPr="00082201">
          <w:rPr>
            <w:rStyle w:val="Hyperlink"/>
            <w:b/>
            <w:lang w:val="en-GB"/>
          </w:rPr>
          <w:t>violence against women</w:t>
        </w:r>
        <w:r w:rsidR="00082201" w:rsidRPr="00082201">
          <w:rPr>
            <w:rStyle w:val="Hyperlink"/>
            <w:lang w:val="en-GB"/>
          </w:rPr>
          <w:t xml:space="preserve"> survey – </w:t>
        </w:r>
        <w:r w:rsidR="00082201">
          <w:rPr>
            <w:rStyle w:val="Hyperlink"/>
            <w:lang w:val="en-GB"/>
          </w:rPr>
          <w:t xml:space="preserve">new </w:t>
        </w:r>
        <w:r w:rsidR="00082201" w:rsidRPr="00082201">
          <w:rPr>
            <w:rStyle w:val="Hyperlink"/>
            <w:lang w:val="en-GB"/>
          </w:rPr>
          <w:t>dataset released</w:t>
        </w:r>
      </w:hyperlink>
    </w:p>
    <w:p w14:paraId="5E65383B" w14:textId="77777777" w:rsidR="00E72B45" w:rsidRPr="00E72B45" w:rsidRDefault="00E72B45" w:rsidP="00E72B45">
      <w:pPr>
        <w:pBdr>
          <w:bottom w:val="dashSmallGap" w:sz="4" w:space="1" w:color="auto"/>
        </w:pBdr>
        <w:jc w:val="both"/>
        <w:rPr>
          <w:lang w:val="en-GB"/>
        </w:rPr>
      </w:pPr>
    </w:p>
    <w:p w14:paraId="73E67FB4" w14:textId="412F3DDA" w:rsidR="00C45003" w:rsidRPr="00C45003" w:rsidRDefault="00F93FE2" w:rsidP="00C45003">
      <w:pPr>
        <w:pStyle w:val="Heading2"/>
        <w:rPr>
          <w:lang w:val="en-GB"/>
        </w:rPr>
      </w:pPr>
      <w:bookmarkStart w:id="32" w:name="_Ref423445549"/>
      <w:r>
        <w:rPr>
          <w:lang w:val="en-GB"/>
        </w:rPr>
        <w:t>Race/ethnic origin</w:t>
      </w:r>
      <w:bookmarkEnd w:id="32"/>
      <w:r w:rsidR="00C45003">
        <w:rPr>
          <w:lang w:val="en-GB"/>
        </w:rPr>
        <w:br/>
      </w:r>
    </w:p>
    <w:p w14:paraId="3DDC5A61" w14:textId="03B5A54B" w:rsidR="006A16B7" w:rsidRDefault="00630980" w:rsidP="00E72B45">
      <w:pPr>
        <w:pStyle w:val="ListParagraph"/>
        <w:numPr>
          <w:ilvl w:val="0"/>
          <w:numId w:val="38"/>
        </w:numPr>
        <w:jc w:val="both"/>
        <w:rPr>
          <w:lang w:val="en-GB"/>
        </w:rPr>
      </w:pPr>
      <w:r w:rsidRPr="00630980">
        <w:rPr>
          <w:b/>
          <w:lang w:val="en-GB"/>
        </w:rPr>
        <w:t>Council of Europe – European Commission against Racism and Intolerance (ECRI):</w:t>
      </w:r>
      <w:r>
        <w:rPr>
          <w:lang w:val="en-GB"/>
        </w:rPr>
        <w:t xml:space="preserve"> new reports on combating racism and intolerance in </w:t>
      </w:r>
      <w:hyperlink r:id="rId46" w:history="1">
        <w:r w:rsidR="006A16B7" w:rsidRPr="006A16B7">
          <w:rPr>
            <w:rStyle w:val="Hyperlink"/>
            <w:lang w:val="en-GB"/>
          </w:rPr>
          <w:t>Albania</w:t>
        </w:r>
      </w:hyperlink>
      <w:r w:rsidR="006A16B7">
        <w:rPr>
          <w:lang w:val="en-GB"/>
        </w:rPr>
        <w:t xml:space="preserve">, </w:t>
      </w:r>
      <w:hyperlink r:id="rId47" w:history="1">
        <w:r w:rsidR="006A16B7" w:rsidRPr="006A16B7">
          <w:rPr>
            <w:rStyle w:val="Hyperlink"/>
            <w:lang w:val="en-GB"/>
          </w:rPr>
          <w:t>Hungary</w:t>
        </w:r>
      </w:hyperlink>
      <w:r w:rsidR="006A16B7">
        <w:rPr>
          <w:lang w:val="en-GB"/>
        </w:rPr>
        <w:t xml:space="preserve"> and </w:t>
      </w:r>
      <w:hyperlink r:id="rId48" w:history="1">
        <w:r w:rsidR="006A16B7" w:rsidRPr="006A16B7">
          <w:rPr>
            <w:rStyle w:val="Hyperlink"/>
            <w:lang w:val="en-GB"/>
          </w:rPr>
          <w:t>Poland</w:t>
        </w:r>
      </w:hyperlink>
    </w:p>
    <w:p w14:paraId="7E555691" w14:textId="77777777" w:rsidR="00E72B45" w:rsidRPr="00E72B45" w:rsidRDefault="00E72B45" w:rsidP="00E72B45">
      <w:pPr>
        <w:pBdr>
          <w:bottom w:val="dashSmallGap" w:sz="4" w:space="1" w:color="auto"/>
        </w:pBdr>
        <w:jc w:val="both"/>
        <w:rPr>
          <w:lang w:val="en-GB"/>
        </w:rPr>
      </w:pPr>
    </w:p>
    <w:p w14:paraId="4E9E6B89" w14:textId="77777777" w:rsidR="00E72B45" w:rsidRDefault="00F93FE2" w:rsidP="00E72B45">
      <w:pPr>
        <w:pStyle w:val="Heading2"/>
        <w:rPr>
          <w:lang w:val="en-GB"/>
        </w:rPr>
      </w:pPr>
      <w:bookmarkStart w:id="33" w:name="_Ref423445550"/>
      <w:r w:rsidRPr="006075A4">
        <w:rPr>
          <w:lang w:val="en-GB"/>
        </w:rPr>
        <w:t>Age</w:t>
      </w:r>
      <w:bookmarkEnd w:id="33"/>
    </w:p>
    <w:p w14:paraId="20052428" w14:textId="77777777" w:rsidR="00525502" w:rsidRDefault="00525502" w:rsidP="00525502">
      <w:pPr>
        <w:pStyle w:val="ListParagraph"/>
        <w:numPr>
          <w:ilvl w:val="0"/>
          <w:numId w:val="38"/>
        </w:numPr>
        <w:rPr>
          <w:lang w:val="en-GB"/>
        </w:rPr>
      </w:pPr>
      <w:r w:rsidRPr="00525502">
        <w:rPr>
          <w:b/>
          <w:lang w:val="en-GB"/>
        </w:rPr>
        <w:t>European Commission: Participation Study</w:t>
      </w:r>
      <w:r>
        <w:rPr>
          <w:lang w:val="en-GB"/>
        </w:rPr>
        <w:t xml:space="preserve"> </w:t>
      </w:r>
      <w:hyperlink r:id="rId49" w:history="1">
        <w:r w:rsidRPr="00525502">
          <w:rPr>
            <w:rStyle w:val="Hyperlink"/>
            <w:lang w:val="en-GB"/>
          </w:rPr>
          <w:t>“Evaluation of legislation, policy and practice of child participation in the EU”</w:t>
        </w:r>
      </w:hyperlink>
    </w:p>
    <w:p w14:paraId="065F042F" w14:textId="77777777" w:rsidR="00525502" w:rsidRDefault="00525502" w:rsidP="00525502">
      <w:pPr>
        <w:pStyle w:val="ListParagraph"/>
        <w:rPr>
          <w:lang w:val="en-GB"/>
        </w:rPr>
      </w:pPr>
    </w:p>
    <w:p w14:paraId="1BBEEBCA" w14:textId="258BDCE2" w:rsidR="000348AB" w:rsidRPr="00525502" w:rsidRDefault="00525502" w:rsidP="0067153F">
      <w:pPr>
        <w:pStyle w:val="ListParagraph"/>
        <w:numPr>
          <w:ilvl w:val="0"/>
          <w:numId w:val="38"/>
        </w:numPr>
        <w:rPr>
          <w:lang w:val="en-GB"/>
        </w:rPr>
      </w:pPr>
      <w:r w:rsidRPr="00525502">
        <w:rPr>
          <w:b/>
          <w:lang w:val="en-GB"/>
        </w:rPr>
        <w:t>European Parliament –</w:t>
      </w:r>
      <w:r w:rsidRPr="00525502">
        <w:rPr>
          <w:lang w:val="en-GB"/>
        </w:rPr>
        <w:t xml:space="preserve"> Study </w:t>
      </w:r>
      <w:hyperlink r:id="rId50" w:history="1">
        <w:r w:rsidRPr="00525502">
          <w:rPr>
            <w:rStyle w:val="Hyperlink"/>
            <w:lang w:val="en-GB"/>
          </w:rPr>
          <w:t>“Elderly Women Living Alone: an update of their living conditions”</w:t>
        </w:r>
      </w:hyperlink>
      <w:r w:rsidRPr="00525502">
        <w:rPr>
          <w:lang w:val="en-GB"/>
        </w:rPr>
        <w:t xml:space="preserve"> </w:t>
      </w:r>
    </w:p>
    <w:p w14:paraId="6B248C6F" w14:textId="77777777" w:rsidR="000348AB" w:rsidRPr="00525502" w:rsidRDefault="000348AB" w:rsidP="0067153F">
      <w:pPr>
        <w:rPr>
          <w:lang w:val="en-US"/>
        </w:rPr>
      </w:pPr>
    </w:p>
    <w:p w14:paraId="6C53EA1D" w14:textId="77777777" w:rsidR="00B07813" w:rsidRPr="00525502" w:rsidRDefault="00B07813" w:rsidP="000263B4">
      <w:pPr>
        <w:pBdr>
          <w:bottom w:val="dotted" w:sz="36" w:space="1" w:color="auto"/>
        </w:pBdr>
        <w:spacing w:line="240" w:lineRule="auto"/>
        <w:rPr>
          <w:lang w:val="en-US"/>
        </w:rPr>
      </w:pPr>
    </w:p>
    <w:p w14:paraId="6A49563D" w14:textId="77777777" w:rsidR="00B07813" w:rsidRPr="006075A4" w:rsidRDefault="00B07813" w:rsidP="000263B4">
      <w:pPr>
        <w:pStyle w:val="Heading1"/>
        <w:spacing w:line="240" w:lineRule="auto"/>
        <w:rPr>
          <w:lang w:val="en-GB"/>
        </w:rPr>
      </w:pPr>
      <w:bookmarkStart w:id="34" w:name="_Toc418770756"/>
      <w:bookmarkStart w:id="35" w:name="_Ref418784375"/>
      <w:bookmarkStart w:id="36" w:name="_Ref421267634"/>
      <w:bookmarkStart w:id="37" w:name="_Ref423445551"/>
      <w:r w:rsidRPr="006075A4">
        <w:rPr>
          <w:lang w:val="en-GB"/>
        </w:rPr>
        <w:t>Recent case-law</w:t>
      </w:r>
      <w:bookmarkEnd w:id="34"/>
      <w:bookmarkEnd w:id="35"/>
      <w:bookmarkEnd w:id="36"/>
      <w:bookmarkEnd w:id="37"/>
    </w:p>
    <w:p w14:paraId="6789F518" w14:textId="77777777" w:rsidR="0034362B" w:rsidRPr="006075A4" w:rsidRDefault="0034362B" w:rsidP="000263B4">
      <w:pPr>
        <w:spacing w:line="240" w:lineRule="auto"/>
        <w:rPr>
          <w:lang w:val="en-GB"/>
        </w:rPr>
      </w:pPr>
    </w:p>
    <w:p w14:paraId="7B10DD56" w14:textId="02E77F2D" w:rsidR="009913B6" w:rsidRPr="006075A4" w:rsidRDefault="00AB116C" w:rsidP="000263B4">
      <w:pPr>
        <w:pStyle w:val="Heading2"/>
        <w:spacing w:line="240" w:lineRule="auto"/>
        <w:rPr>
          <w:lang w:val="en-GB"/>
        </w:rPr>
      </w:pPr>
      <w:bookmarkStart w:id="38" w:name="_Ref421267644"/>
      <w:r w:rsidRPr="006075A4">
        <w:rPr>
          <w:lang w:val="en-GB"/>
        </w:rPr>
        <w:t>European Court of Human Rights (ECHR)</w:t>
      </w:r>
      <w:bookmarkEnd w:id="38"/>
      <w:r w:rsidR="009913B6" w:rsidRPr="006075A4">
        <w:rPr>
          <w:lang w:val="en-GB"/>
        </w:rPr>
        <w:br/>
      </w:r>
    </w:p>
    <w:p w14:paraId="0A06C5A4" w14:textId="5351121E" w:rsidR="00624ACD" w:rsidRDefault="00624ACD" w:rsidP="00624ACD">
      <w:pPr>
        <w:pStyle w:val="ListParagraph"/>
        <w:numPr>
          <w:ilvl w:val="0"/>
          <w:numId w:val="39"/>
        </w:numPr>
        <w:spacing w:line="240" w:lineRule="auto"/>
        <w:jc w:val="both"/>
        <w:rPr>
          <w:b/>
          <w:sz w:val="24"/>
          <w:lang w:val="en-GB"/>
        </w:rPr>
      </w:pPr>
      <w:r w:rsidRPr="00624ACD">
        <w:rPr>
          <w:b/>
          <w:sz w:val="24"/>
          <w:lang w:val="en-GB"/>
        </w:rPr>
        <w:t>Committee of Ministers: decisions on the execution of European Court of Human Rights judgments</w:t>
      </w:r>
    </w:p>
    <w:p w14:paraId="6830E848" w14:textId="1A2A3311" w:rsidR="00624ACD" w:rsidRDefault="00624ACD" w:rsidP="00624ACD">
      <w:pPr>
        <w:spacing w:line="240" w:lineRule="auto"/>
        <w:jc w:val="both"/>
        <w:rPr>
          <w:lang w:val="en-GB"/>
        </w:rPr>
      </w:pPr>
      <w:r w:rsidRPr="00624ACD">
        <w:rPr>
          <w:lang w:val="en-GB"/>
        </w:rPr>
        <w:t xml:space="preserve">“The [Council of Europe] Committee of Ministers published the decisions and resolutions adopted at its 1230th special “human rights” meeting (9-11 June 2015) during which it </w:t>
      </w:r>
      <w:r w:rsidRPr="00456C2F">
        <w:rPr>
          <w:b/>
          <w:lang w:val="en-GB"/>
        </w:rPr>
        <w:t>has examined the state of implementation of judgments of the European Court of Human Rights</w:t>
      </w:r>
      <w:r w:rsidRPr="00456C2F">
        <w:rPr>
          <w:lang w:val="en-GB"/>
        </w:rPr>
        <w:t>.”</w:t>
      </w:r>
    </w:p>
    <w:p w14:paraId="40D8CE17" w14:textId="3589912A" w:rsidR="00624ACD" w:rsidRDefault="00A33ABF" w:rsidP="00456C2F">
      <w:pPr>
        <w:spacing w:line="240" w:lineRule="auto"/>
        <w:jc w:val="both"/>
        <w:rPr>
          <w:lang w:val="en-GB"/>
        </w:rPr>
      </w:pPr>
      <w:r>
        <w:rPr>
          <w:lang w:val="en-GB"/>
        </w:rPr>
        <w:t xml:space="preserve">A list of cases has been subjected to detailed examination. More information can be found on the </w:t>
      </w:r>
      <w:hyperlink r:id="rId51" w:history="1">
        <w:r w:rsidRPr="00A33ABF">
          <w:rPr>
            <w:rStyle w:val="Hyperlink"/>
            <w:lang w:val="en-GB"/>
          </w:rPr>
          <w:t>Council of Europe’s website</w:t>
        </w:r>
      </w:hyperlink>
      <w:r>
        <w:rPr>
          <w:lang w:val="en-GB"/>
        </w:rPr>
        <w:t xml:space="preserve">. </w:t>
      </w:r>
    </w:p>
    <w:p w14:paraId="5B85A178" w14:textId="77777777" w:rsidR="00BA5BCF" w:rsidRPr="00456C2F" w:rsidRDefault="00BA5BCF" w:rsidP="00456C2F">
      <w:pPr>
        <w:spacing w:line="240" w:lineRule="auto"/>
        <w:jc w:val="both"/>
        <w:rPr>
          <w:lang w:val="en-GB"/>
        </w:rPr>
      </w:pPr>
    </w:p>
    <w:p w14:paraId="71DDDA78" w14:textId="7BBAA674" w:rsidR="00845CD1" w:rsidRPr="00624ACD" w:rsidRDefault="004F66B3" w:rsidP="00624ACD">
      <w:pPr>
        <w:pStyle w:val="ListParagraph"/>
        <w:numPr>
          <w:ilvl w:val="0"/>
          <w:numId w:val="39"/>
        </w:numPr>
        <w:spacing w:line="240" w:lineRule="auto"/>
        <w:jc w:val="both"/>
        <w:rPr>
          <w:b/>
          <w:sz w:val="24"/>
          <w:lang w:val="en-GB"/>
        </w:rPr>
      </w:pPr>
      <w:proofErr w:type="spellStart"/>
      <w:r w:rsidRPr="00624ACD">
        <w:rPr>
          <w:b/>
          <w:sz w:val="24"/>
          <w:lang w:val="en-GB"/>
        </w:rPr>
        <w:t>Delfi</w:t>
      </w:r>
      <w:proofErr w:type="spellEnd"/>
      <w:r w:rsidRPr="00624ACD">
        <w:rPr>
          <w:b/>
          <w:sz w:val="24"/>
          <w:lang w:val="en-GB"/>
        </w:rPr>
        <w:t xml:space="preserve"> AS v Es</w:t>
      </w:r>
      <w:r w:rsidR="00624ACD">
        <w:rPr>
          <w:b/>
          <w:sz w:val="24"/>
          <w:lang w:val="en-GB"/>
        </w:rPr>
        <w:t>tonia (Grand Chamber Judgment – application n°64569/09 – 16 June 2015)</w:t>
      </w:r>
    </w:p>
    <w:p w14:paraId="4A022EC9" w14:textId="4C92CD8D" w:rsidR="00624ACD" w:rsidRDefault="00624ACD" w:rsidP="000263B4">
      <w:pPr>
        <w:spacing w:line="240" w:lineRule="auto"/>
        <w:jc w:val="both"/>
        <w:rPr>
          <w:lang w:val="en-GB"/>
        </w:rPr>
      </w:pPr>
      <w:r w:rsidRPr="00624ACD">
        <w:rPr>
          <w:lang w:val="en-GB"/>
        </w:rPr>
        <w:t xml:space="preserve">In the Grand Chamber Judgment in the case of </w:t>
      </w:r>
      <w:hyperlink r:id="rId52" w:anchor="{&quot;itemid&quot;:[&quot;001-126635&quot;]}" w:history="1">
        <w:proofErr w:type="spellStart"/>
        <w:r w:rsidRPr="00624ACD">
          <w:rPr>
            <w:rStyle w:val="Hyperlink"/>
            <w:lang w:val="en-GB"/>
          </w:rPr>
          <w:t>Delfi</w:t>
        </w:r>
        <w:proofErr w:type="spellEnd"/>
        <w:r w:rsidRPr="00624ACD">
          <w:rPr>
            <w:rStyle w:val="Hyperlink"/>
            <w:lang w:val="en-GB"/>
          </w:rPr>
          <w:t xml:space="preserve"> AS v. Estonia</w:t>
        </w:r>
      </w:hyperlink>
      <w:r w:rsidRPr="00624ACD">
        <w:rPr>
          <w:lang w:val="en-GB"/>
        </w:rPr>
        <w:t xml:space="preserve"> (application no. 64569/09) dated 16 June 2015, the European Court of Human Rights found by fifteen votes to two, that there had been no violation of Article 10 (freedom of expression) of the European Convention on Human Rights.</w:t>
      </w:r>
    </w:p>
    <w:p w14:paraId="63A431BF" w14:textId="2FBA110C" w:rsidR="00624ACD" w:rsidRDefault="00624ACD" w:rsidP="000263B4">
      <w:pPr>
        <w:spacing w:line="240" w:lineRule="auto"/>
        <w:jc w:val="both"/>
        <w:rPr>
          <w:lang w:val="en-GB"/>
        </w:rPr>
      </w:pPr>
      <w:r>
        <w:rPr>
          <w:lang w:val="en-GB"/>
        </w:rPr>
        <w:t xml:space="preserve">Full analysis of the case by Equinet Secretariat is </w:t>
      </w:r>
      <w:r w:rsidRPr="003E2E51">
        <w:rPr>
          <w:lang w:val="en-GB"/>
        </w:rPr>
        <w:t xml:space="preserve">available </w:t>
      </w:r>
      <w:hyperlink r:id="rId53" w:history="1">
        <w:r w:rsidRPr="003E2E51">
          <w:rPr>
            <w:rStyle w:val="Hyperlink"/>
            <w:lang w:val="en-GB"/>
          </w:rPr>
          <w:t>here</w:t>
        </w:r>
      </w:hyperlink>
      <w:r w:rsidRPr="003E2E51">
        <w:rPr>
          <w:lang w:val="en-GB"/>
        </w:rPr>
        <w:t>.</w:t>
      </w:r>
      <w:r>
        <w:rPr>
          <w:lang w:val="en-GB"/>
        </w:rPr>
        <w:t xml:space="preserve"> </w:t>
      </w:r>
    </w:p>
    <w:p w14:paraId="309051C2" w14:textId="77777777" w:rsidR="00BA5BCF" w:rsidRDefault="00BA5BCF" w:rsidP="000263B4">
      <w:pPr>
        <w:spacing w:line="240" w:lineRule="auto"/>
        <w:jc w:val="both"/>
        <w:rPr>
          <w:lang w:val="en-GB"/>
        </w:rPr>
      </w:pPr>
    </w:p>
    <w:p w14:paraId="6C9894C0" w14:textId="731B9399" w:rsidR="004F66B3" w:rsidRDefault="004F66B3" w:rsidP="00624ACD">
      <w:pPr>
        <w:pStyle w:val="ListParagraph"/>
        <w:numPr>
          <w:ilvl w:val="0"/>
          <w:numId w:val="39"/>
        </w:numPr>
        <w:rPr>
          <w:b/>
          <w:sz w:val="24"/>
          <w:lang w:val="en-GB"/>
        </w:rPr>
      </w:pPr>
      <w:proofErr w:type="spellStart"/>
      <w:r w:rsidRPr="00624ACD">
        <w:rPr>
          <w:b/>
          <w:sz w:val="24"/>
          <w:lang w:val="en-GB"/>
        </w:rPr>
        <w:t>Costel</w:t>
      </w:r>
      <w:proofErr w:type="spellEnd"/>
      <w:r w:rsidRPr="00624ACD">
        <w:rPr>
          <w:b/>
          <w:sz w:val="24"/>
          <w:lang w:val="en-GB"/>
        </w:rPr>
        <w:t xml:space="preserve"> </w:t>
      </w:r>
      <w:proofErr w:type="spellStart"/>
      <w:r w:rsidRPr="00624ACD">
        <w:rPr>
          <w:b/>
          <w:sz w:val="24"/>
          <w:lang w:val="en-GB"/>
        </w:rPr>
        <w:t>Gaciu</w:t>
      </w:r>
      <w:proofErr w:type="spellEnd"/>
      <w:r w:rsidRPr="00624ACD">
        <w:rPr>
          <w:b/>
          <w:sz w:val="24"/>
          <w:lang w:val="en-GB"/>
        </w:rPr>
        <w:t xml:space="preserve"> v. Romania (</w:t>
      </w:r>
      <w:r w:rsidR="00624ACD">
        <w:rPr>
          <w:b/>
          <w:sz w:val="24"/>
          <w:lang w:val="en-GB"/>
        </w:rPr>
        <w:t>Application n°</w:t>
      </w:r>
      <w:r w:rsidRPr="00624ACD">
        <w:rPr>
          <w:b/>
          <w:sz w:val="24"/>
          <w:lang w:val="en-GB"/>
        </w:rPr>
        <w:t>39633/10</w:t>
      </w:r>
      <w:r w:rsidR="00624ACD" w:rsidRPr="00624ACD">
        <w:rPr>
          <w:b/>
          <w:sz w:val="24"/>
          <w:lang w:val="en-GB"/>
        </w:rPr>
        <w:t xml:space="preserve"> – 23 June 2015</w:t>
      </w:r>
      <w:r w:rsidRPr="00624ACD">
        <w:rPr>
          <w:b/>
          <w:sz w:val="24"/>
          <w:lang w:val="en-GB"/>
        </w:rPr>
        <w:t xml:space="preserve">) </w:t>
      </w:r>
    </w:p>
    <w:p w14:paraId="1C89913D" w14:textId="77777777" w:rsidR="00456C2F" w:rsidRPr="004000CA" w:rsidRDefault="00456C2F" w:rsidP="00456C2F">
      <w:pPr>
        <w:jc w:val="both"/>
        <w:rPr>
          <w:bCs/>
          <w:lang w:val="en-GB"/>
        </w:rPr>
      </w:pPr>
      <w:r w:rsidRPr="004000CA">
        <w:rPr>
          <w:bCs/>
          <w:lang w:val="en-GB"/>
        </w:rPr>
        <w:t xml:space="preserve">The applicant, </w:t>
      </w:r>
      <w:proofErr w:type="spellStart"/>
      <w:r w:rsidRPr="004000CA">
        <w:rPr>
          <w:bCs/>
          <w:lang w:val="en-GB"/>
        </w:rPr>
        <w:t>Costel</w:t>
      </w:r>
      <w:proofErr w:type="spellEnd"/>
      <w:r w:rsidRPr="004000CA">
        <w:rPr>
          <w:bCs/>
          <w:lang w:val="en-GB"/>
        </w:rPr>
        <w:t xml:space="preserve"> </w:t>
      </w:r>
      <w:proofErr w:type="spellStart"/>
      <w:r w:rsidRPr="004000CA">
        <w:rPr>
          <w:bCs/>
          <w:lang w:val="en-GB"/>
        </w:rPr>
        <w:t>Gaciu</w:t>
      </w:r>
      <w:proofErr w:type="spellEnd"/>
      <w:r w:rsidRPr="004000CA">
        <w:rPr>
          <w:bCs/>
          <w:lang w:val="en-GB"/>
        </w:rPr>
        <w:t xml:space="preserve">, is a Romanian national who was born in 1972 and lives in Gherla (Romania). </w:t>
      </w:r>
    </w:p>
    <w:p w14:paraId="02787181" w14:textId="77777777" w:rsidR="004000CA" w:rsidRPr="004000CA" w:rsidRDefault="00456C2F" w:rsidP="00456C2F">
      <w:pPr>
        <w:jc w:val="both"/>
        <w:rPr>
          <w:bCs/>
          <w:lang w:val="en-GB"/>
        </w:rPr>
      </w:pPr>
      <w:r w:rsidRPr="004000CA">
        <w:rPr>
          <w:bCs/>
          <w:lang w:val="en-GB"/>
        </w:rPr>
        <w:t xml:space="preserve">The case concerned his complaint about his pre-trial detention for one year and ten months, without conjugal visits and in conditions he alleged had been inhuman. </w:t>
      </w:r>
    </w:p>
    <w:p w14:paraId="2370331F" w14:textId="60CDE915" w:rsidR="0063417D" w:rsidRDefault="00456C2F" w:rsidP="00456C2F">
      <w:pPr>
        <w:jc w:val="both"/>
        <w:rPr>
          <w:bCs/>
          <w:lang w:val="en-GB"/>
        </w:rPr>
      </w:pPr>
      <w:r w:rsidRPr="004000CA">
        <w:rPr>
          <w:bCs/>
          <w:lang w:val="en-GB"/>
        </w:rPr>
        <w:t xml:space="preserve">Relying on Article 3 (prohibition of inhuman or degrading treatment), he alleged in particular that the </w:t>
      </w:r>
      <w:proofErr w:type="spellStart"/>
      <w:r w:rsidRPr="004000CA">
        <w:rPr>
          <w:bCs/>
          <w:lang w:val="en-GB"/>
        </w:rPr>
        <w:t>Cluj</w:t>
      </w:r>
      <w:proofErr w:type="spellEnd"/>
      <w:r w:rsidRPr="004000CA">
        <w:rPr>
          <w:bCs/>
          <w:lang w:val="en-GB"/>
        </w:rPr>
        <w:t xml:space="preserve"> detention centre and Gherla Prison had been overcrowded and had had poor ventilation and hygiene. He also complained about the refusal of his requests for conjugal visits during his pre-trial detention solely because he had not been a convicted prisoner, in breach of Article 8 (right to respect for private and family life) and Article 14 (prohibition of discrimination). The Court established a violation of Article 3 (degrading treatment) and a violation of Article 14 in conjunction with Article 8 and awarded just satisfaction to the amount of EUR 9,800 (non-pecuniary damage) and EUR 1,400 (costs and expenses).</w:t>
      </w:r>
    </w:p>
    <w:p w14:paraId="72959BE3" w14:textId="72F76B0D" w:rsidR="005C5965" w:rsidRDefault="005C5965" w:rsidP="00456C2F">
      <w:pPr>
        <w:jc w:val="both"/>
        <w:rPr>
          <w:b/>
          <w:bCs/>
          <w:lang w:val="en-GB"/>
        </w:rPr>
      </w:pPr>
      <w:r>
        <w:rPr>
          <w:bCs/>
          <w:lang w:val="en-GB"/>
        </w:rPr>
        <w:t xml:space="preserve">The case is available </w:t>
      </w:r>
      <w:hyperlink r:id="rId54" w:history="1">
        <w:r w:rsidRPr="005C5965">
          <w:rPr>
            <w:rStyle w:val="Hyperlink"/>
            <w:bCs/>
            <w:lang w:val="en-GB"/>
          </w:rPr>
          <w:t>here</w:t>
        </w:r>
      </w:hyperlink>
      <w:r>
        <w:rPr>
          <w:bCs/>
          <w:lang w:val="en-GB"/>
        </w:rPr>
        <w:t xml:space="preserve">. </w:t>
      </w:r>
    </w:p>
    <w:p w14:paraId="5673AD02" w14:textId="77777777" w:rsidR="004000CA" w:rsidRPr="00456C2F" w:rsidRDefault="004000CA" w:rsidP="00456C2F">
      <w:pPr>
        <w:jc w:val="both"/>
        <w:rPr>
          <w:b/>
          <w:bCs/>
          <w:lang w:val="en-GB"/>
        </w:rPr>
      </w:pPr>
    </w:p>
    <w:p w14:paraId="001A0BD9" w14:textId="2B8C3B46" w:rsidR="004F66B3" w:rsidRDefault="00E756AF" w:rsidP="00624ACD">
      <w:pPr>
        <w:pStyle w:val="ListParagraph"/>
        <w:numPr>
          <w:ilvl w:val="0"/>
          <w:numId w:val="40"/>
        </w:numPr>
        <w:spacing w:line="240" w:lineRule="auto"/>
        <w:jc w:val="both"/>
        <w:rPr>
          <w:b/>
          <w:sz w:val="24"/>
          <w:lang w:val="en-GB"/>
        </w:rPr>
      </w:pPr>
      <w:proofErr w:type="spellStart"/>
      <w:r w:rsidRPr="00624ACD">
        <w:rPr>
          <w:b/>
          <w:sz w:val="24"/>
          <w:lang w:val="en-GB"/>
        </w:rPr>
        <w:t>Sidabras</w:t>
      </w:r>
      <w:proofErr w:type="spellEnd"/>
      <w:r w:rsidRPr="00624ACD">
        <w:rPr>
          <w:b/>
          <w:sz w:val="24"/>
          <w:lang w:val="en-GB"/>
        </w:rPr>
        <w:t xml:space="preserve"> and others v. Lithuania (</w:t>
      </w:r>
      <w:r w:rsidR="00456C2F">
        <w:rPr>
          <w:b/>
          <w:sz w:val="24"/>
          <w:lang w:val="en-GB"/>
        </w:rPr>
        <w:t>n°</w:t>
      </w:r>
      <w:r w:rsidR="002D77C2" w:rsidRPr="00624ACD">
        <w:rPr>
          <w:b/>
          <w:sz w:val="24"/>
          <w:lang w:val="en-GB"/>
        </w:rPr>
        <w:t xml:space="preserve"> 50421/08</w:t>
      </w:r>
      <w:r w:rsidR="00456C2F">
        <w:rPr>
          <w:b/>
          <w:sz w:val="24"/>
          <w:lang w:val="en-GB"/>
        </w:rPr>
        <w:t xml:space="preserve"> - 23 June 2015</w:t>
      </w:r>
      <w:r w:rsidRPr="00624ACD">
        <w:rPr>
          <w:b/>
          <w:sz w:val="24"/>
          <w:lang w:val="en-GB"/>
        </w:rPr>
        <w:t>)</w:t>
      </w:r>
    </w:p>
    <w:p w14:paraId="49A6FC81" w14:textId="31F3E57C" w:rsidR="00456C2F" w:rsidRDefault="00456C2F" w:rsidP="00456C2F">
      <w:pPr>
        <w:spacing w:line="240" w:lineRule="auto"/>
        <w:jc w:val="both"/>
        <w:rPr>
          <w:lang w:val="en-GB"/>
        </w:rPr>
      </w:pPr>
      <w:r w:rsidRPr="00456C2F">
        <w:rPr>
          <w:lang w:val="en-GB"/>
        </w:rPr>
        <w:t xml:space="preserve">Case concerning legislation banning former KGB employees from working in the private sector. Press release and case are available </w:t>
      </w:r>
      <w:hyperlink r:id="rId55" w:anchor="{&quot;documentcollectionid2&quot;:[&quot;GRANDCHAMBER&quot;,&quot;CHAMBER&quot;],&quot;itemid&quot;:[&quot;003-5115466-6308530&quot;]}" w:history="1">
        <w:r w:rsidRPr="00456C2F">
          <w:rPr>
            <w:rStyle w:val="Hyperlink"/>
            <w:lang w:val="en-GB"/>
          </w:rPr>
          <w:t>here</w:t>
        </w:r>
      </w:hyperlink>
      <w:r w:rsidRPr="00456C2F">
        <w:rPr>
          <w:lang w:val="en-GB"/>
        </w:rPr>
        <w:t xml:space="preserve">. </w:t>
      </w:r>
    </w:p>
    <w:p w14:paraId="19B1F372" w14:textId="77777777" w:rsidR="00013771" w:rsidRDefault="00013771" w:rsidP="00456C2F">
      <w:pPr>
        <w:spacing w:line="240" w:lineRule="auto"/>
        <w:jc w:val="both"/>
        <w:rPr>
          <w:lang w:val="en-GB"/>
        </w:rPr>
      </w:pPr>
    </w:p>
    <w:p w14:paraId="639BD651" w14:textId="115C89CD" w:rsidR="00013771" w:rsidRPr="00013771" w:rsidRDefault="00013771" w:rsidP="00013771">
      <w:pPr>
        <w:pStyle w:val="ListParagraph"/>
        <w:numPr>
          <w:ilvl w:val="0"/>
          <w:numId w:val="40"/>
        </w:numPr>
        <w:spacing w:line="240" w:lineRule="auto"/>
        <w:jc w:val="both"/>
        <w:rPr>
          <w:b/>
          <w:sz w:val="24"/>
          <w:szCs w:val="24"/>
          <w:lang w:val="en-GB"/>
        </w:rPr>
      </w:pPr>
      <w:proofErr w:type="spellStart"/>
      <w:r w:rsidRPr="00013771">
        <w:rPr>
          <w:b/>
          <w:sz w:val="24"/>
          <w:szCs w:val="24"/>
          <w:lang w:val="en-GB"/>
        </w:rPr>
        <w:t>Koroshenko</w:t>
      </w:r>
      <w:proofErr w:type="spellEnd"/>
      <w:r w:rsidRPr="00013771">
        <w:rPr>
          <w:b/>
          <w:sz w:val="24"/>
          <w:szCs w:val="24"/>
          <w:lang w:val="en-GB"/>
        </w:rPr>
        <w:t xml:space="preserve"> v. Russia (Grand Chamber Judgment – application n°41418/04 – 30 June 2015)</w:t>
      </w:r>
    </w:p>
    <w:p w14:paraId="2E5422D6" w14:textId="66D664A7" w:rsidR="00013771" w:rsidRPr="00013771" w:rsidRDefault="00013771" w:rsidP="00013771">
      <w:pPr>
        <w:spacing w:line="240" w:lineRule="auto"/>
        <w:jc w:val="both"/>
        <w:rPr>
          <w:lang w:val="en-GB"/>
        </w:rPr>
      </w:pPr>
      <w:r w:rsidRPr="00013771">
        <w:rPr>
          <w:lang w:val="en-GB"/>
        </w:rPr>
        <w:t xml:space="preserve">In today’s Grand Chamber judgment1 in the case of </w:t>
      </w:r>
      <w:proofErr w:type="spellStart"/>
      <w:r w:rsidRPr="00013771">
        <w:rPr>
          <w:lang w:val="en-GB"/>
        </w:rPr>
        <w:t>Kho</w:t>
      </w:r>
      <w:r>
        <w:rPr>
          <w:lang w:val="en-GB"/>
        </w:rPr>
        <w:t>roshenko</w:t>
      </w:r>
      <w:proofErr w:type="spellEnd"/>
      <w:r>
        <w:rPr>
          <w:lang w:val="en-GB"/>
        </w:rPr>
        <w:t xml:space="preserve"> v. Russia (application </w:t>
      </w:r>
      <w:r w:rsidRPr="00013771">
        <w:rPr>
          <w:lang w:val="en-GB"/>
        </w:rPr>
        <w:t>no. 41418/04) the European Court of Human Rights held, un</w:t>
      </w:r>
      <w:r w:rsidR="008805F4">
        <w:rPr>
          <w:lang w:val="en-GB"/>
        </w:rPr>
        <w:t xml:space="preserve">animously, that there had been </w:t>
      </w:r>
      <w:r w:rsidRPr="00013771">
        <w:rPr>
          <w:lang w:val="en-GB"/>
        </w:rPr>
        <w:t>a violation of Article 8 (right to respect for private and family life</w:t>
      </w:r>
      <w:r w:rsidR="008805F4">
        <w:rPr>
          <w:lang w:val="en-GB"/>
        </w:rPr>
        <w:t xml:space="preserve">) of the European Convention on </w:t>
      </w:r>
      <w:r w:rsidRPr="00013771">
        <w:rPr>
          <w:lang w:val="en-GB"/>
        </w:rPr>
        <w:t>Human Rights.</w:t>
      </w:r>
      <w:r w:rsidR="005C5965">
        <w:rPr>
          <w:lang w:val="en-GB"/>
        </w:rPr>
        <w:t xml:space="preserve"> The Court decided the case on the basis of Article 8 and did not analyse the complaints under Article 14.</w:t>
      </w:r>
    </w:p>
    <w:p w14:paraId="3E781509" w14:textId="29717367" w:rsidR="00013771" w:rsidRDefault="00013771" w:rsidP="00013771">
      <w:pPr>
        <w:spacing w:line="240" w:lineRule="auto"/>
        <w:jc w:val="both"/>
        <w:rPr>
          <w:lang w:val="en-GB"/>
        </w:rPr>
      </w:pPr>
      <w:r w:rsidRPr="00013771">
        <w:rPr>
          <w:lang w:val="en-GB"/>
        </w:rPr>
        <w:t>The Court found in particular that the strict regime had been dispr</w:t>
      </w:r>
      <w:r w:rsidR="008805F4">
        <w:rPr>
          <w:lang w:val="en-GB"/>
        </w:rPr>
        <w:t xml:space="preserve">oportionate to the aims pursued </w:t>
      </w:r>
      <w:r w:rsidRPr="00013771">
        <w:rPr>
          <w:lang w:val="en-GB"/>
        </w:rPr>
        <w:t>and that such a regime seriously complicated a prisoner’s social re</w:t>
      </w:r>
      <w:r w:rsidR="008805F4">
        <w:rPr>
          <w:lang w:val="en-GB"/>
        </w:rPr>
        <w:t xml:space="preserve">integration and rehabilitation. </w:t>
      </w:r>
      <w:r w:rsidRPr="00013771">
        <w:rPr>
          <w:lang w:val="en-GB"/>
        </w:rPr>
        <w:t xml:space="preserve">Given that a majority of Council of Europe member States did not make a distinction between </w:t>
      </w:r>
      <w:r w:rsidR="008805F4">
        <w:rPr>
          <w:lang w:val="en-GB"/>
        </w:rPr>
        <w:t xml:space="preserve">life </w:t>
      </w:r>
      <w:r w:rsidRPr="00013771">
        <w:rPr>
          <w:lang w:val="en-GB"/>
        </w:rPr>
        <w:t>prisoners and other prisoners as regards the prison regime and t</w:t>
      </w:r>
      <w:r w:rsidR="008805F4">
        <w:rPr>
          <w:lang w:val="en-GB"/>
        </w:rPr>
        <w:t xml:space="preserve">hat in those States the minimum </w:t>
      </w:r>
      <w:r w:rsidRPr="00013771">
        <w:rPr>
          <w:lang w:val="en-GB"/>
        </w:rPr>
        <w:t>frequency of family visits allowed for life prisoners was not lo</w:t>
      </w:r>
      <w:r w:rsidR="008805F4">
        <w:rPr>
          <w:lang w:val="en-GB"/>
        </w:rPr>
        <w:t xml:space="preserve">wer than once every two months, </w:t>
      </w:r>
      <w:r w:rsidRPr="00013771">
        <w:rPr>
          <w:lang w:val="en-GB"/>
        </w:rPr>
        <w:t>Russia had only a narrow room for manoeuvre (“margin of appreciation”) in this field.</w:t>
      </w:r>
    </w:p>
    <w:p w14:paraId="31E626D8" w14:textId="63E68C4F" w:rsidR="00013771" w:rsidRDefault="008805F4" w:rsidP="00013771">
      <w:pPr>
        <w:spacing w:line="240" w:lineRule="auto"/>
        <w:jc w:val="both"/>
        <w:rPr>
          <w:lang w:val="en-GB"/>
        </w:rPr>
      </w:pPr>
      <w:r>
        <w:rPr>
          <w:lang w:val="en-GB"/>
        </w:rPr>
        <w:t xml:space="preserve">The case can be found </w:t>
      </w:r>
      <w:hyperlink r:id="rId56" w:anchor="{&quot;itemid&quot;:[&quot;001-156006&quot;]}" w:history="1">
        <w:r w:rsidRPr="008805F4">
          <w:rPr>
            <w:rStyle w:val="Hyperlink"/>
            <w:lang w:val="en-GB"/>
          </w:rPr>
          <w:t>here</w:t>
        </w:r>
      </w:hyperlink>
      <w:r>
        <w:rPr>
          <w:lang w:val="en-GB"/>
        </w:rPr>
        <w:t xml:space="preserve">. </w:t>
      </w:r>
    </w:p>
    <w:p w14:paraId="35AE951A" w14:textId="3A8E9466" w:rsidR="003E3B16" w:rsidRDefault="003E3B16" w:rsidP="000263B4">
      <w:pPr>
        <w:spacing w:line="240" w:lineRule="auto"/>
        <w:jc w:val="both"/>
        <w:rPr>
          <w:lang w:val="en-GB"/>
        </w:rPr>
      </w:pPr>
    </w:p>
    <w:p w14:paraId="7FB7A947" w14:textId="77777777" w:rsidR="003E3B16" w:rsidRDefault="003E3B16" w:rsidP="000263B4">
      <w:pPr>
        <w:spacing w:line="240" w:lineRule="auto"/>
        <w:jc w:val="both"/>
        <w:rPr>
          <w:lang w:val="en-GB"/>
        </w:rPr>
      </w:pPr>
    </w:p>
    <w:p w14:paraId="024539B6" w14:textId="77777777" w:rsidR="004F66B3" w:rsidRPr="006075A4" w:rsidRDefault="004F66B3" w:rsidP="000263B4">
      <w:pPr>
        <w:spacing w:line="240" w:lineRule="auto"/>
        <w:jc w:val="both"/>
        <w:rPr>
          <w:lang w:val="en-GB"/>
        </w:rPr>
      </w:pPr>
    </w:p>
    <w:sectPr w:rsidR="004F66B3" w:rsidRPr="006075A4" w:rsidSect="006415D5">
      <w:headerReference w:type="even" r:id="rId57"/>
      <w:headerReference w:type="default" r:id="rId58"/>
      <w:footerReference w:type="even" r:id="rId59"/>
      <w:footerReference w:type="default" r:id="rId60"/>
      <w:headerReference w:type="first" r:id="rId61"/>
      <w:footerReference w:type="first" r:id="rId6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0A91" w14:textId="77777777" w:rsidR="00B07813" w:rsidRDefault="00B07813" w:rsidP="001140DC">
      <w:pPr>
        <w:spacing w:after="0" w:line="240" w:lineRule="auto"/>
      </w:pPr>
      <w:r>
        <w:separator/>
      </w:r>
    </w:p>
  </w:endnote>
  <w:endnote w:type="continuationSeparator" w:id="0">
    <w:p w14:paraId="66C38360"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F517C" w14:textId="77777777" w:rsidR="00E64FAC" w:rsidRDefault="00E64F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4691FE19" w14:textId="77777777" w:rsidR="00B07813" w:rsidRDefault="00B07813">
        <w:pPr>
          <w:pStyle w:val="Footer"/>
          <w:jc w:val="center"/>
        </w:pPr>
        <w:r>
          <w:fldChar w:fldCharType="begin"/>
        </w:r>
        <w:r>
          <w:instrText xml:space="preserve"> PAGE   \* MERGEFORMAT </w:instrText>
        </w:r>
        <w:r>
          <w:fldChar w:fldCharType="separate"/>
        </w:r>
        <w:r w:rsidR="003A774F">
          <w:rPr>
            <w:noProof/>
          </w:rPr>
          <w:t>9</w:t>
        </w:r>
        <w:r>
          <w:rPr>
            <w:noProof/>
          </w:rPr>
          <w:fldChar w:fldCharType="end"/>
        </w:r>
      </w:p>
    </w:sdtContent>
  </w:sdt>
  <w:p w14:paraId="69CDCD89" w14:textId="77777777" w:rsidR="00B07813" w:rsidRDefault="00B078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42A0" w14:textId="77777777" w:rsidR="00E64FAC" w:rsidRDefault="00E64F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F39C" w14:textId="77777777" w:rsidR="00B07813" w:rsidRDefault="00B07813" w:rsidP="001140DC">
      <w:pPr>
        <w:spacing w:after="0" w:line="240" w:lineRule="auto"/>
      </w:pPr>
      <w:r>
        <w:separator/>
      </w:r>
    </w:p>
  </w:footnote>
  <w:footnote w:type="continuationSeparator" w:id="0">
    <w:p w14:paraId="2DAA5EEB" w14:textId="77777777" w:rsidR="00B07813" w:rsidRDefault="00B07813" w:rsidP="00114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6E916" w14:textId="0D39587A" w:rsidR="00E64FAC" w:rsidRDefault="003A774F">
    <w:pPr>
      <w:pStyle w:val="Header"/>
    </w:pPr>
    <w:r>
      <w:rPr>
        <w:noProof/>
        <w:lang w:eastAsia="fr-BE"/>
      </w:rPr>
      <w:pict w14:anchorId="6C03F3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14975" o:spid="_x0000_s2056" type="#_x0000_t75" style="position:absolute;margin-left:0;margin-top:0;width:381.75pt;height:6in;z-index:-251657216;mso-position-horizontal:center;mso-position-horizontal-relative:margin;mso-position-vertical:center;mso-position-vertical-relative:margin" o:allowincell="f">
          <v:imagedata r:id="rId1" o:title="Europ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B602D" w14:textId="6E92CBF1" w:rsidR="00E64FAC" w:rsidRDefault="003A774F">
    <w:pPr>
      <w:pStyle w:val="Header"/>
    </w:pPr>
    <w:r>
      <w:rPr>
        <w:noProof/>
        <w:lang w:eastAsia="fr-BE"/>
      </w:rPr>
      <w:pict w14:anchorId="10A6DB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14976" o:spid="_x0000_s2057" type="#_x0000_t75" style="position:absolute;margin-left:0;margin-top:0;width:381.75pt;height:6in;z-index:-251656192;mso-position-horizontal:center;mso-position-horizontal-relative:margin;mso-position-vertical:center;mso-position-vertical-relative:margin" o:allowincell="f">
          <v:imagedata r:id="rId1" o:title="Europ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BE176" w14:textId="1FA5F4C0" w:rsidR="00E64FAC" w:rsidRDefault="003A774F">
    <w:pPr>
      <w:pStyle w:val="Header"/>
    </w:pPr>
    <w:r>
      <w:rPr>
        <w:noProof/>
        <w:lang w:eastAsia="fr-BE"/>
      </w:rPr>
      <w:pict w14:anchorId="3CAB2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014974" o:spid="_x0000_s2055" type="#_x0000_t75" style="position:absolute;margin-left:0;margin-top:0;width:381.75pt;height:6in;z-index:-251658240;mso-position-horizontal:center;mso-position-horizontal-relative:margin;mso-position-vertical:center;mso-position-vertical-relative:margin" o:allowincell="f">
          <v:imagedata r:id="rId1" o:title="Europ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755"/>
    <w:multiLevelType w:val="hybridMultilevel"/>
    <w:tmpl w:val="28CC697A"/>
    <w:lvl w:ilvl="0" w:tplc="C40C83F2">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5E2214"/>
    <w:multiLevelType w:val="hybridMultilevel"/>
    <w:tmpl w:val="85EC24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0E1381"/>
    <w:multiLevelType w:val="hybridMultilevel"/>
    <w:tmpl w:val="D512D0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E6B5BDD"/>
    <w:multiLevelType w:val="hybridMultilevel"/>
    <w:tmpl w:val="07A00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C676E5"/>
    <w:multiLevelType w:val="hybridMultilevel"/>
    <w:tmpl w:val="FF2E4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0F3AA6"/>
    <w:multiLevelType w:val="hybridMultilevel"/>
    <w:tmpl w:val="5EC8AF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5394E98"/>
    <w:multiLevelType w:val="hybridMultilevel"/>
    <w:tmpl w:val="7C9E571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60F04B4"/>
    <w:multiLevelType w:val="hybridMultilevel"/>
    <w:tmpl w:val="6038C4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633541A"/>
    <w:multiLevelType w:val="hybridMultilevel"/>
    <w:tmpl w:val="1ECA7D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A6E1A9B"/>
    <w:multiLevelType w:val="hybridMultilevel"/>
    <w:tmpl w:val="DF7A010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1C0532EB"/>
    <w:multiLevelType w:val="hybridMultilevel"/>
    <w:tmpl w:val="3F028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A327DD3"/>
    <w:multiLevelType w:val="hybridMultilevel"/>
    <w:tmpl w:val="A1DE4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A3F72C7"/>
    <w:multiLevelType w:val="hybridMultilevel"/>
    <w:tmpl w:val="FA72B2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CE86CC4"/>
    <w:multiLevelType w:val="hybridMultilevel"/>
    <w:tmpl w:val="B80C5A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E274031"/>
    <w:multiLevelType w:val="hybridMultilevel"/>
    <w:tmpl w:val="385235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0586FCD"/>
    <w:multiLevelType w:val="hybridMultilevel"/>
    <w:tmpl w:val="D9DC6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5692E43"/>
    <w:multiLevelType w:val="hybridMultilevel"/>
    <w:tmpl w:val="96A606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741018F"/>
    <w:multiLevelType w:val="hybridMultilevel"/>
    <w:tmpl w:val="05B697AC"/>
    <w:lvl w:ilvl="0" w:tplc="C40C83F2">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9897D3B"/>
    <w:multiLevelType w:val="hybridMultilevel"/>
    <w:tmpl w:val="4C887670"/>
    <w:lvl w:ilvl="0" w:tplc="A6BE5F92">
      <w:start w:val="1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CEF4E28"/>
    <w:multiLevelType w:val="hybridMultilevel"/>
    <w:tmpl w:val="3E500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EAA337E"/>
    <w:multiLevelType w:val="hybridMultilevel"/>
    <w:tmpl w:val="399C92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6AF6547"/>
    <w:multiLevelType w:val="hybridMultilevel"/>
    <w:tmpl w:val="400C60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04B12F6"/>
    <w:multiLevelType w:val="hybridMultilevel"/>
    <w:tmpl w:val="783875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0FB7F07"/>
    <w:multiLevelType w:val="hybridMultilevel"/>
    <w:tmpl w:val="EA485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2E864B6"/>
    <w:multiLevelType w:val="hybridMultilevel"/>
    <w:tmpl w:val="ABB25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4201901"/>
    <w:multiLevelType w:val="hybridMultilevel"/>
    <w:tmpl w:val="08144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5781939"/>
    <w:multiLevelType w:val="hybridMultilevel"/>
    <w:tmpl w:val="95546638"/>
    <w:lvl w:ilvl="0" w:tplc="69EAA37E">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31" w15:restartNumberingAfterBreak="0">
    <w:nsid w:val="5B0055A2"/>
    <w:multiLevelType w:val="hybridMultilevel"/>
    <w:tmpl w:val="FB6AB3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3BE2D7D"/>
    <w:multiLevelType w:val="hybridMultilevel"/>
    <w:tmpl w:val="6DC8EB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50F373C"/>
    <w:multiLevelType w:val="hybridMultilevel"/>
    <w:tmpl w:val="7AB264E0"/>
    <w:lvl w:ilvl="0" w:tplc="C40C83F2">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90E7963"/>
    <w:multiLevelType w:val="hybridMultilevel"/>
    <w:tmpl w:val="197635AC"/>
    <w:lvl w:ilvl="0" w:tplc="1809000F">
      <w:start w:val="1"/>
      <w:numFmt w:val="decimal"/>
      <w:lvlText w:val="%1."/>
      <w:lvlJc w:val="lef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7"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E8F3A8A"/>
    <w:multiLevelType w:val="hybridMultilevel"/>
    <w:tmpl w:val="020609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2DD5D56"/>
    <w:multiLevelType w:val="hybridMultilevel"/>
    <w:tmpl w:val="F184E5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77972EA8"/>
    <w:multiLevelType w:val="hybridMultilevel"/>
    <w:tmpl w:val="4C18A7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B885D91"/>
    <w:multiLevelType w:val="hybridMultilevel"/>
    <w:tmpl w:val="BF860D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C576F0F"/>
    <w:multiLevelType w:val="hybridMultilevel"/>
    <w:tmpl w:val="BF26C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F901749"/>
    <w:multiLevelType w:val="hybridMultilevel"/>
    <w:tmpl w:val="199AB0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24"/>
  </w:num>
  <w:num w:numId="4">
    <w:abstractNumId w:val="32"/>
  </w:num>
  <w:num w:numId="5">
    <w:abstractNumId w:val="37"/>
  </w:num>
  <w:num w:numId="6">
    <w:abstractNumId w:val="23"/>
  </w:num>
  <w:num w:numId="7">
    <w:abstractNumId w:val="12"/>
  </w:num>
  <w:num w:numId="8">
    <w:abstractNumId w:val="17"/>
  </w:num>
  <w:num w:numId="9">
    <w:abstractNumId w:val="1"/>
  </w:num>
  <w:num w:numId="10">
    <w:abstractNumId w:val="18"/>
  </w:num>
  <w:num w:numId="11">
    <w:abstractNumId w:val="39"/>
  </w:num>
  <w:num w:numId="12">
    <w:abstractNumId w:val="31"/>
  </w:num>
  <w:num w:numId="13">
    <w:abstractNumId w:val="6"/>
  </w:num>
  <w:num w:numId="14">
    <w:abstractNumId w:val="28"/>
  </w:num>
  <w:num w:numId="15">
    <w:abstractNumId w:val="25"/>
  </w:num>
  <w:num w:numId="16">
    <w:abstractNumId w:val="3"/>
  </w:num>
  <w:num w:numId="17">
    <w:abstractNumId w:val="27"/>
  </w:num>
  <w:num w:numId="18">
    <w:abstractNumId w:val="11"/>
  </w:num>
  <w:num w:numId="19">
    <w:abstractNumId w:val="4"/>
  </w:num>
  <w:num w:numId="20">
    <w:abstractNumId w:val="15"/>
  </w:num>
  <w:num w:numId="21">
    <w:abstractNumId w:val="29"/>
  </w:num>
  <w:num w:numId="22">
    <w:abstractNumId w:val="40"/>
  </w:num>
  <w:num w:numId="23">
    <w:abstractNumId w:val="5"/>
  </w:num>
  <w:num w:numId="24">
    <w:abstractNumId w:val="22"/>
  </w:num>
  <w:num w:numId="25">
    <w:abstractNumId w:val="42"/>
  </w:num>
  <w:num w:numId="26">
    <w:abstractNumId w:val="30"/>
  </w:num>
  <w:num w:numId="27">
    <w:abstractNumId w:val="7"/>
  </w:num>
  <w:num w:numId="28">
    <w:abstractNumId w:val="13"/>
  </w:num>
  <w:num w:numId="29">
    <w:abstractNumId w:val="21"/>
  </w:num>
  <w:num w:numId="30">
    <w:abstractNumId w:val="38"/>
  </w:num>
  <w:num w:numId="31">
    <w:abstractNumId w:val="41"/>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4"/>
  </w:num>
  <w:num w:numId="35">
    <w:abstractNumId w:val="43"/>
  </w:num>
  <w:num w:numId="36">
    <w:abstractNumId w:val="8"/>
  </w:num>
  <w:num w:numId="37">
    <w:abstractNumId w:val="9"/>
  </w:num>
  <w:num w:numId="38">
    <w:abstractNumId w:val="16"/>
  </w:num>
  <w:num w:numId="39">
    <w:abstractNumId w:val="34"/>
  </w:num>
  <w:num w:numId="40">
    <w:abstractNumId w:val="26"/>
  </w:num>
  <w:num w:numId="41">
    <w:abstractNumId w:val="20"/>
  </w:num>
  <w:num w:numId="42">
    <w:abstractNumId w:val="0"/>
  </w:num>
  <w:num w:numId="43">
    <w:abstractNumId w:val="1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8">
      <o:colormenu v:ext="edit" strokecolor="none [321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030A3"/>
    <w:rsid w:val="00013771"/>
    <w:rsid w:val="000263B4"/>
    <w:rsid w:val="000348AB"/>
    <w:rsid w:val="00036CEA"/>
    <w:rsid w:val="000515A0"/>
    <w:rsid w:val="00082201"/>
    <w:rsid w:val="000B22AC"/>
    <w:rsid w:val="000B784B"/>
    <w:rsid w:val="000D0A4F"/>
    <w:rsid w:val="000D5978"/>
    <w:rsid w:val="000F46D8"/>
    <w:rsid w:val="000F79AC"/>
    <w:rsid w:val="001140DC"/>
    <w:rsid w:val="0014109E"/>
    <w:rsid w:val="0016113D"/>
    <w:rsid w:val="00175EA1"/>
    <w:rsid w:val="00177C56"/>
    <w:rsid w:val="001815EF"/>
    <w:rsid w:val="0018390B"/>
    <w:rsid w:val="0018402A"/>
    <w:rsid w:val="00191140"/>
    <w:rsid w:val="001B305F"/>
    <w:rsid w:val="001B5AEC"/>
    <w:rsid w:val="001C172F"/>
    <w:rsid w:val="001E3467"/>
    <w:rsid w:val="001F2EE2"/>
    <w:rsid w:val="001F4C13"/>
    <w:rsid w:val="00200A52"/>
    <w:rsid w:val="002060E1"/>
    <w:rsid w:val="00207FD0"/>
    <w:rsid w:val="00217BAD"/>
    <w:rsid w:val="0025098C"/>
    <w:rsid w:val="00255FDB"/>
    <w:rsid w:val="00275E40"/>
    <w:rsid w:val="00277856"/>
    <w:rsid w:val="00291191"/>
    <w:rsid w:val="002A391A"/>
    <w:rsid w:val="002B08F4"/>
    <w:rsid w:val="002C3BF0"/>
    <w:rsid w:val="002D77C2"/>
    <w:rsid w:val="00304143"/>
    <w:rsid w:val="0034362B"/>
    <w:rsid w:val="0038736A"/>
    <w:rsid w:val="00392620"/>
    <w:rsid w:val="003A774F"/>
    <w:rsid w:val="003C34AB"/>
    <w:rsid w:val="003E2E51"/>
    <w:rsid w:val="003E3B16"/>
    <w:rsid w:val="004000CA"/>
    <w:rsid w:val="004275EC"/>
    <w:rsid w:val="0044701A"/>
    <w:rsid w:val="00454A9F"/>
    <w:rsid w:val="00456C2F"/>
    <w:rsid w:val="0048576D"/>
    <w:rsid w:val="004A7771"/>
    <w:rsid w:val="004F66B3"/>
    <w:rsid w:val="005047E4"/>
    <w:rsid w:val="0051290D"/>
    <w:rsid w:val="005165D2"/>
    <w:rsid w:val="00522381"/>
    <w:rsid w:val="00525502"/>
    <w:rsid w:val="00542158"/>
    <w:rsid w:val="00547B85"/>
    <w:rsid w:val="00552388"/>
    <w:rsid w:val="00560F96"/>
    <w:rsid w:val="00566380"/>
    <w:rsid w:val="00583803"/>
    <w:rsid w:val="005978FA"/>
    <w:rsid w:val="005A767B"/>
    <w:rsid w:val="005B04DF"/>
    <w:rsid w:val="005C5965"/>
    <w:rsid w:val="005D3458"/>
    <w:rsid w:val="0060251B"/>
    <w:rsid w:val="00602677"/>
    <w:rsid w:val="006075A4"/>
    <w:rsid w:val="006122BE"/>
    <w:rsid w:val="00624ACD"/>
    <w:rsid w:val="00624AFF"/>
    <w:rsid w:val="00630980"/>
    <w:rsid w:val="0063417D"/>
    <w:rsid w:val="006415D5"/>
    <w:rsid w:val="00646D95"/>
    <w:rsid w:val="00646F8C"/>
    <w:rsid w:val="0067153F"/>
    <w:rsid w:val="00680C14"/>
    <w:rsid w:val="00696B41"/>
    <w:rsid w:val="006A16B7"/>
    <w:rsid w:val="006C1EA1"/>
    <w:rsid w:val="006C3CD5"/>
    <w:rsid w:val="006F2180"/>
    <w:rsid w:val="00702D8C"/>
    <w:rsid w:val="007424A5"/>
    <w:rsid w:val="0075385A"/>
    <w:rsid w:val="00757D6D"/>
    <w:rsid w:val="00786E99"/>
    <w:rsid w:val="00792C11"/>
    <w:rsid w:val="007E382E"/>
    <w:rsid w:val="00837FF6"/>
    <w:rsid w:val="00845CD1"/>
    <w:rsid w:val="00866A41"/>
    <w:rsid w:val="00871587"/>
    <w:rsid w:val="008719D8"/>
    <w:rsid w:val="00873850"/>
    <w:rsid w:val="00873E02"/>
    <w:rsid w:val="008805F4"/>
    <w:rsid w:val="00885F8A"/>
    <w:rsid w:val="008C2D88"/>
    <w:rsid w:val="0090050E"/>
    <w:rsid w:val="00922F1E"/>
    <w:rsid w:val="009325D1"/>
    <w:rsid w:val="00975348"/>
    <w:rsid w:val="0098311A"/>
    <w:rsid w:val="009913B6"/>
    <w:rsid w:val="009B4DBA"/>
    <w:rsid w:val="009C21C3"/>
    <w:rsid w:val="009C2CBE"/>
    <w:rsid w:val="00A33ABF"/>
    <w:rsid w:val="00A34EB9"/>
    <w:rsid w:val="00A50089"/>
    <w:rsid w:val="00A66BF2"/>
    <w:rsid w:val="00A73FA9"/>
    <w:rsid w:val="00A74E27"/>
    <w:rsid w:val="00A83053"/>
    <w:rsid w:val="00A86A2F"/>
    <w:rsid w:val="00A91933"/>
    <w:rsid w:val="00A924CE"/>
    <w:rsid w:val="00A965AC"/>
    <w:rsid w:val="00A975CF"/>
    <w:rsid w:val="00AA6679"/>
    <w:rsid w:val="00AB116C"/>
    <w:rsid w:val="00B07813"/>
    <w:rsid w:val="00B33A99"/>
    <w:rsid w:val="00B40C5A"/>
    <w:rsid w:val="00B67E8C"/>
    <w:rsid w:val="00B81B74"/>
    <w:rsid w:val="00B95FB2"/>
    <w:rsid w:val="00BA5BCF"/>
    <w:rsid w:val="00BB06A1"/>
    <w:rsid w:val="00BC522B"/>
    <w:rsid w:val="00BD7FB3"/>
    <w:rsid w:val="00BE1F3C"/>
    <w:rsid w:val="00BE506C"/>
    <w:rsid w:val="00C343C6"/>
    <w:rsid w:val="00C45003"/>
    <w:rsid w:val="00C558BD"/>
    <w:rsid w:val="00C67DA2"/>
    <w:rsid w:val="00C842B1"/>
    <w:rsid w:val="00C91705"/>
    <w:rsid w:val="00C92B6C"/>
    <w:rsid w:val="00CB2E4E"/>
    <w:rsid w:val="00CF7284"/>
    <w:rsid w:val="00D05673"/>
    <w:rsid w:val="00D1064D"/>
    <w:rsid w:val="00D1315B"/>
    <w:rsid w:val="00D54367"/>
    <w:rsid w:val="00D64501"/>
    <w:rsid w:val="00D80D0E"/>
    <w:rsid w:val="00DA1BD6"/>
    <w:rsid w:val="00DE4771"/>
    <w:rsid w:val="00E014FB"/>
    <w:rsid w:val="00E14B6F"/>
    <w:rsid w:val="00E300D5"/>
    <w:rsid w:val="00E64486"/>
    <w:rsid w:val="00E64FAC"/>
    <w:rsid w:val="00E72B45"/>
    <w:rsid w:val="00E744FA"/>
    <w:rsid w:val="00E756AF"/>
    <w:rsid w:val="00E85A47"/>
    <w:rsid w:val="00E91D96"/>
    <w:rsid w:val="00EA0955"/>
    <w:rsid w:val="00EA1275"/>
    <w:rsid w:val="00EB2CCC"/>
    <w:rsid w:val="00EF051C"/>
    <w:rsid w:val="00F23218"/>
    <w:rsid w:val="00F2409A"/>
    <w:rsid w:val="00F31126"/>
    <w:rsid w:val="00F66D27"/>
    <w:rsid w:val="00F870C0"/>
    <w:rsid w:val="00F92C30"/>
    <w:rsid w:val="00F93FE2"/>
    <w:rsid w:val="00FA6B5D"/>
    <w:rsid w:val="00FE6920"/>
    <w:rsid w:val="00FE7D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8">
      <o:colormenu v:ext="edit" strokecolor="none [3213]"/>
    </o:shapedefaults>
    <o:shapelayout v:ext="edit">
      <o:idmap v:ext="edit" data="1"/>
    </o:shapelayout>
  </w:shapeDefaults>
  <w:decimalSymbol w:val=","/>
  <w:listSeparator w:val=";"/>
  <w14:docId w14:val="42898E6A"/>
  <w15:chartTrackingRefBased/>
  <w15:docId w15:val="{B0000E28-44AD-419A-A014-2BDD3AB1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3FA9"/>
    <w:pPr>
      <w:keepNext/>
      <w:keepLines/>
      <w:spacing w:before="240" w:after="0"/>
      <w:jc w:val="center"/>
      <w:outlineLvl w:val="0"/>
    </w:pPr>
    <w:rPr>
      <w:rFonts w:ascii="Tahoma" w:eastAsiaTheme="majorEastAsia" w:hAnsi="Tahom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A924CE"/>
    <w:pPr>
      <w:keepNext/>
      <w:keepLines/>
      <w:spacing w:before="40" w:after="0"/>
      <w:outlineLvl w:val="1"/>
    </w:pPr>
    <w:rPr>
      <w:rFonts w:asciiTheme="majorHAnsi" w:eastAsiaTheme="majorEastAsia" w:hAnsiTheme="majorHAnsi" w:cstheme="majorBidi"/>
      <w:b/>
      <w:color w:val="BF8F00" w:themeColor="accent4"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FA9"/>
    <w:rPr>
      <w:rFonts w:ascii="Tahoma" w:eastAsiaTheme="majorEastAsia" w:hAnsi="Tahoma" w:cstheme="majorBidi"/>
      <w:b/>
      <w:color w:val="2E74B5" w:themeColor="accent1"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A924CE"/>
    <w:rPr>
      <w:rFonts w:asciiTheme="majorHAnsi" w:eastAsiaTheme="majorEastAsia" w:hAnsiTheme="majorHAnsi" w:cstheme="majorBidi"/>
      <w:b/>
      <w:color w:val="BF8F00" w:themeColor="accent4"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character" w:styleId="Emphasis">
    <w:name w:val="Emphasis"/>
    <w:basedOn w:val="DefaultParagraphFont"/>
    <w:uiPriority w:val="20"/>
    <w:qFormat/>
    <w:rsid w:val="00BB06A1"/>
    <w:rPr>
      <w:i/>
      <w:iCs/>
    </w:rPr>
  </w:style>
  <w:style w:type="paragraph" w:styleId="NoSpacing">
    <w:name w:val="No Spacing"/>
    <w:uiPriority w:val="1"/>
    <w:qFormat/>
    <w:rsid w:val="00EA0955"/>
    <w:pPr>
      <w:spacing w:after="0" w:line="240" w:lineRule="auto"/>
    </w:pPr>
  </w:style>
  <w:style w:type="character" w:customStyle="1" w:styleId="apple-converted-space">
    <w:name w:val="apple-converted-space"/>
    <w:basedOn w:val="DefaultParagraphFont"/>
    <w:rsid w:val="00206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28021">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933972387">
      <w:bodyDiv w:val="1"/>
      <w:marLeft w:val="0"/>
      <w:marRight w:val="0"/>
      <w:marTop w:val="0"/>
      <w:marBottom w:val="0"/>
      <w:divBdr>
        <w:top w:val="none" w:sz="0" w:space="0" w:color="auto"/>
        <w:left w:val="none" w:sz="0" w:space="0" w:color="auto"/>
        <w:bottom w:val="none" w:sz="0" w:space="0" w:color="auto"/>
        <w:right w:val="none" w:sz="0" w:space="0" w:color="auto"/>
      </w:divBdr>
    </w:div>
    <w:div w:id="1234899614">
      <w:bodyDiv w:val="1"/>
      <w:marLeft w:val="0"/>
      <w:marRight w:val="0"/>
      <w:marTop w:val="0"/>
      <w:marBottom w:val="0"/>
      <w:divBdr>
        <w:top w:val="none" w:sz="0" w:space="0" w:color="auto"/>
        <w:left w:val="none" w:sz="0" w:space="0" w:color="auto"/>
        <w:bottom w:val="none" w:sz="0" w:space="0" w:color="auto"/>
        <w:right w:val="none" w:sz="0" w:space="0" w:color="auto"/>
      </w:divBdr>
    </w:div>
    <w:div w:id="1257444924">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539660299">
      <w:bodyDiv w:val="1"/>
      <w:marLeft w:val="0"/>
      <w:marRight w:val="0"/>
      <w:marTop w:val="0"/>
      <w:marBottom w:val="0"/>
      <w:divBdr>
        <w:top w:val="none" w:sz="0" w:space="0" w:color="auto"/>
        <w:left w:val="none" w:sz="0" w:space="0" w:color="auto"/>
        <w:bottom w:val="none" w:sz="0" w:space="0" w:color="auto"/>
        <w:right w:val="none" w:sz="0" w:space="0" w:color="auto"/>
      </w:divBdr>
    </w:div>
    <w:div w:id="1610963750">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778256279">
      <w:bodyDiv w:val="1"/>
      <w:marLeft w:val="0"/>
      <w:marRight w:val="0"/>
      <w:marTop w:val="0"/>
      <w:marBottom w:val="0"/>
      <w:divBdr>
        <w:top w:val="none" w:sz="0" w:space="0" w:color="auto"/>
        <w:left w:val="none" w:sz="0" w:space="0" w:color="auto"/>
        <w:bottom w:val="none" w:sz="0" w:space="0" w:color="auto"/>
        <w:right w:val="none" w:sz="0" w:space="0" w:color="auto"/>
      </w:divBdr>
    </w:div>
    <w:div w:id="1862434202">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20080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lt.de/print/die_welt/debatte/article141044899/Deutschland-steht-alleine.html" TargetMode="External"/><Relationship Id="rId18" Type="http://schemas.openxmlformats.org/officeDocument/2006/relationships/image" Target="media/image4.gif"/><Relationship Id="rId26" Type="http://schemas.openxmlformats.org/officeDocument/2006/relationships/hyperlink" Target="http://www.womenlobby.org/spip.php?article7187&amp;lang=en" TargetMode="External"/><Relationship Id="rId39" Type="http://schemas.openxmlformats.org/officeDocument/2006/relationships/hyperlink" Target="http://ec.europa.eu/social/main.jsp?langId=en&amp;catId=89&amp;newsId=2242&amp;furtherNews=yes" TargetMode="External"/><Relationship Id="rId21" Type="http://schemas.openxmlformats.org/officeDocument/2006/relationships/hyperlink" Target="http://www.europarl.europa.eu/meps/en/4531/JEAN_LAMBERT_home.html" TargetMode="External"/><Relationship Id="rId34" Type="http://schemas.openxmlformats.org/officeDocument/2006/relationships/hyperlink" Target="http://ec.europa.eu/justice/discrimination/files/roma_factsheet2015_en.pdf" TargetMode="External"/><Relationship Id="rId42" Type="http://schemas.openxmlformats.org/officeDocument/2006/relationships/hyperlink" Target="http://ec.europa.eu/justice/newsroom/gender-equality/news/150618_en.htm" TargetMode="External"/><Relationship Id="rId47" Type="http://schemas.openxmlformats.org/officeDocument/2006/relationships/hyperlink" Target="http://www.coe.int/t/dghl/monitoring/ecri/Library/PressReleases/190-09_06_2015_Hungary_en.asp" TargetMode="External"/><Relationship Id="rId50" Type="http://schemas.openxmlformats.org/officeDocument/2006/relationships/hyperlink" Target="http://www.europarl.europa.eu/RegData/etudes/STUD/2015/519219/IPOL_STU(2015)519219_EN.pdf" TargetMode="External"/><Relationship Id="rId55" Type="http://schemas.openxmlformats.org/officeDocument/2006/relationships/hyperlink" Target="http://hudoc.echr.coe.int/sites/eng/Pages/search.aspx"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quineteurope.org/spip.php?page=forum_membres_article&amp;id_article=700" TargetMode="External"/><Relationship Id="rId20" Type="http://schemas.openxmlformats.org/officeDocument/2006/relationships/hyperlink" Target="http://www.europarl.europa.eu/meps/en/search.html?politicalGroup=4907" TargetMode="External"/><Relationship Id="rId29" Type="http://schemas.openxmlformats.org/officeDocument/2006/relationships/hyperlink" Target="http://ec.europa.eu/justice/newsroom/gender-equality/opinion/150421_en.htm" TargetMode="External"/><Relationship Id="rId41" Type="http://schemas.openxmlformats.org/officeDocument/2006/relationships/hyperlink" Target="http://fra.europa.eu/en/news/2015/new-look-fras-charterpedia-and-case-law-database" TargetMode="External"/><Relationship Id="rId54" Type="http://schemas.openxmlformats.org/officeDocument/2006/relationships/hyperlink" Target="http://www.juridice.ro/wp-content/uploads/2015/06/CASE-OF-COSTEL-GACIU-v.-ROMANIA.pdf"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idiskriminierungsstelle.de/DE/Home/home_node.html" TargetMode="External"/><Relationship Id="rId24" Type="http://schemas.openxmlformats.org/officeDocument/2006/relationships/hyperlink" Target="http://europa.eu/rapid/press-release_IP-15-5287_en.htm" TargetMode="External"/><Relationship Id="rId32" Type="http://schemas.openxmlformats.org/officeDocument/2006/relationships/hyperlink" Target="http://www.europarl.europa.eu/sides/getDoc.do?pubRef=-%2f%2fEP%2f%2fNONSGML%2bCOMPARL%2bPE-557.295%2b01%2bDOC%2bPDF%2bV0%2f%2fEN" TargetMode="External"/><Relationship Id="rId37" Type="http://schemas.openxmlformats.org/officeDocument/2006/relationships/hyperlink" Target="http://ec.europa.eu/justice/events/colloquium-fundamental-rights-2015/index_en.htm" TargetMode="External"/><Relationship Id="rId40" Type="http://schemas.openxmlformats.org/officeDocument/2006/relationships/hyperlink" Target="http://fra.europa.eu/en/publication/2015/fundamental-rights-challenges-and-achievements-2014" TargetMode="External"/><Relationship Id="rId45" Type="http://schemas.openxmlformats.org/officeDocument/2006/relationships/hyperlink" Target="http://fra.europa.eu/en/news/2015/fra-violence-against-women-survey-dataset-released" TargetMode="External"/><Relationship Id="rId53" Type="http://schemas.openxmlformats.org/officeDocument/2006/relationships/hyperlink" Target="http://www.equineteurope.org/Delfi-AS-v-Estonia"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equineteurope.org/spip.php?page=forum_membres_article&amp;id_article=641" TargetMode="External"/><Relationship Id="rId23" Type="http://schemas.openxmlformats.org/officeDocument/2006/relationships/hyperlink" Target="http://www.europarl.europa.eu/sides/getDoc.do?type=WQ&amp;reference=E-2015-005575&amp;format=XML&amp;language=EN" TargetMode="External"/><Relationship Id="rId28" Type="http://schemas.openxmlformats.org/officeDocument/2006/relationships/hyperlink" Target="http://ec.europa.eu/justice/newsroom/gender-equality/opinion/150421_en.htm" TargetMode="External"/><Relationship Id="rId36" Type="http://schemas.openxmlformats.org/officeDocument/2006/relationships/hyperlink" Target="http://ec.europa.eu/justice/newsroom/fundamental-rights/news/150616_en.htm" TargetMode="External"/><Relationship Id="rId49" Type="http://schemas.openxmlformats.org/officeDocument/2006/relationships/hyperlink" Target="http://bookshop.europa.eu/en/evaluation-of-legislation-policy-and-practice-of-child-participation-in-the-eu-pbDS0614240/"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www.ilga-europe.org/resources/news/latest-news/eu-equal-treatment-law-time-now" TargetMode="External"/><Relationship Id="rId31" Type="http://schemas.openxmlformats.org/officeDocument/2006/relationships/hyperlink" Target="http://www.europarl.europa.eu/meetdocs/2014_2019/documents/femm/pa/1057/1057817/1057817en.pdf" TargetMode="External"/><Relationship Id="rId44" Type="http://schemas.openxmlformats.org/officeDocument/2006/relationships/hyperlink" Target="http://eige.europa.eu/content/news-article/estimating-the-number-of-girls-at-risk-of-female-genital-mutilation-in-the-eu" TargetMode="External"/><Relationship Id="rId52" Type="http://schemas.openxmlformats.org/officeDocument/2006/relationships/hyperlink" Target="http://hudoc.echr.coe.int/sites/eng/pages/search.aspx?i=001-126635"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www.equineteurope.org/Head-of-Germany-s-Equality-Body" TargetMode="External"/><Relationship Id="rId22" Type="http://schemas.openxmlformats.org/officeDocument/2006/relationships/hyperlink" Target="http://www.europarl.europa.eu/meps/en/97017/ULRIKE_LUNACEK_home.html" TargetMode="External"/><Relationship Id="rId27" Type="http://schemas.openxmlformats.org/officeDocument/2006/relationships/hyperlink" Target="http://ec.europa.eu/justice/newsroom/gender-equality/news/150420_en.htm" TargetMode="External"/><Relationship Id="rId30" Type="http://schemas.openxmlformats.org/officeDocument/2006/relationships/hyperlink" Target="http://www.europarl.europa.eu/sides/getDoc.do?type=REPORT&amp;reference=A8-2015-0163&amp;language=EN" TargetMode="External"/><Relationship Id="rId35" Type="http://schemas.openxmlformats.org/officeDocument/2006/relationships/hyperlink" Target="http://www.coe.int/en/web/commissioner/-/slovakia-should-set-ambitious-targets-for-the-social-inclusion-of-roma-and-persons-with-disabilities" TargetMode="External"/><Relationship Id="rId43" Type="http://schemas.openxmlformats.org/officeDocument/2006/relationships/hyperlink" Target="http://eige.europa.eu/content/document/gender-equality-index-2015-measuring-gender-equality-in-the-european-union-2005-2012" TargetMode="External"/><Relationship Id="rId48" Type="http://schemas.openxmlformats.org/officeDocument/2006/relationships/hyperlink" Target="http://www.coe.int/t/dghl/monitoring/ecri/Library/PressReleases/191-09_06_2015_Poland_en.asp" TargetMode="External"/><Relationship Id="rId56" Type="http://schemas.openxmlformats.org/officeDocument/2006/relationships/hyperlink" Target="http://hudoc.echr.coe.int/sites/eng/pages/search.aspx?i=001-156006"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coe.int/en/web/portal/-/committee-of-ministers-decisions-on-the-execution-of-european-court-of-human-rights-judgmen-2" TargetMode="External"/><Relationship Id="rId3" Type="http://schemas.openxmlformats.org/officeDocument/2006/relationships/styles" Target="styles.xml"/><Relationship Id="rId12" Type="http://schemas.openxmlformats.org/officeDocument/2006/relationships/hyperlink" Target="http://www.equineteurope.org/Meeting-of-the-Federal-Anti" TargetMode="External"/><Relationship Id="rId17" Type="http://schemas.openxmlformats.org/officeDocument/2006/relationships/image" Target="media/image3.jpeg"/><Relationship Id="rId25" Type="http://schemas.openxmlformats.org/officeDocument/2006/relationships/hyperlink" Target="http://ec.europa.eu/social/BlobServlet?docId=607&amp;langId=en" TargetMode="External"/><Relationship Id="rId33" Type="http://schemas.openxmlformats.org/officeDocument/2006/relationships/hyperlink" Target="http://ec.europa.eu/justice/discrimination/files/roma_communication2015_en.pdf" TargetMode="External"/><Relationship Id="rId38" Type="http://schemas.openxmlformats.org/officeDocument/2006/relationships/hyperlink" Target="http://www.edf-feph.org/Page_Generale.asp?DocID=13855&amp;thebloc=34320" TargetMode="External"/><Relationship Id="rId46" Type="http://schemas.openxmlformats.org/officeDocument/2006/relationships/hyperlink" Target="http://www.coe.int/t/dghl/monitoring/ecri/Library/PressReleases/189-09_06_2015_Albania_en.asp" TargetMode="External"/><Relationship Id="rId5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92A80-7800-47C9-AA01-338CF2E2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3872</Words>
  <Characters>21299</Characters>
  <Application>Microsoft Office Word</Application>
  <DocSecurity>0</DocSecurity>
  <Lines>177</Lines>
  <Paragraphs>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29</cp:revision>
  <cp:lastPrinted>2015-06-05T09:25:00Z</cp:lastPrinted>
  <dcterms:created xsi:type="dcterms:W3CDTF">2015-06-30T13:49:00Z</dcterms:created>
  <dcterms:modified xsi:type="dcterms:W3CDTF">2015-07-06T11:04:00Z</dcterms:modified>
</cp:coreProperties>
</file>