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2CC9C" w14:textId="1DC66344" w:rsidR="00E10A4F" w:rsidRDefault="00E10A4F" w:rsidP="006B09E5">
      <w:pPr>
        <w:spacing w:line="276" w:lineRule="auto"/>
        <w:jc w:val="both"/>
        <w:rPr>
          <w:b/>
          <w:noProof/>
          <w:sz w:val="28"/>
          <w:lang w:val="en-GB"/>
        </w:rPr>
      </w:pPr>
      <w:r>
        <w:rPr>
          <w:b/>
          <w:noProof/>
          <w:sz w:val="28"/>
        </w:rPr>
        <w:drawing>
          <wp:anchor distT="0" distB="0" distL="114300" distR="114300" simplePos="0" relativeHeight="251659264" behindDoc="0" locked="0" layoutInCell="1" allowOverlap="1" wp14:anchorId="1788FF11" wp14:editId="6F7D1AA1">
            <wp:simplePos x="0" y="0"/>
            <wp:positionH relativeFrom="page">
              <wp:align>right</wp:align>
            </wp:positionH>
            <wp:positionV relativeFrom="margin">
              <wp:posOffset>-878774</wp:posOffset>
            </wp:positionV>
            <wp:extent cx="7552690" cy="20485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2690" cy="2048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10D27" w14:textId="77777777" w:rsidR="00F66D27" w:rsidRPr="006075A4" w:rsidRDefault="00F31126" w:rsidP="006B09E5">
      <w:pPr>
        <w:spacing w:line="276" w:lineRule="auto"/>
        <w:jc w:val="both"/>
        <w:rPr>
          <w:lang w:val="en-GB"/>
        </w:rPr>
      </w:pPr>
      <w:r w:rsidRPr="006075A4">
        <w:rPr>
          <w:b/>
          <w:lang w:val="en-GB"/>
        </w:rPr>
        <w:t xml:space="preserve">Dear Equinet Members, </w:t>
      </w:r>
      <w:r w:rsidRPr="006075A4">
        <w:rPr>
          <w:b/>
          <w:lang w:val="en-GB"/>
        </w:rPr>
        <w:tab/>
      </w:r>
      <w:r w:rsidRPr="006075A4">
        <w:rPr>
          <w:b/>
          <w:lang w:val="en-GB"/>
        </w:rPr>
        <w:br/>
      </w:r>
      <w:r w:rsidRPr="006075A4">
        <w:rPr>
          <w:lang w:val="en-GB"/>
        </w:rPr>
        <w:t xml:space="preserve">This Members’ Bulletin gathers </w:t>
      </w:r>
      <w:r w:rsidRPr="006075A4">
        <w:rPr>
          <w:b/>
          <w:lang w:val="en-GB"/>
        </w:rPr>
        <w:t>the latest European Union (EU) and international developments</w:t>
      </w:r>
      <w:r w:rsidRPr="006075A4">
        <w:rPr>
          <w:lang w:val="en-GB"/>
        </w:rPr>
        <w:t xml:space="preserve">. It aims to give you an </w:t>
      </w:r>
      <w:r w:rsidRPr="006075A4">
        <w:rPr>
          <w:b/>
          <w:lang w:val="en-GB"/>
        </w:rPr>
        <w:t>overview of relevant policy and legal developments</w:t>
      </w:r>
      <w:r w:rsidRPr="006075A4">
        <w:rPr>
          <w:lang w:val="en-GB"/>
        </w:rPr>
        <w:t xml:space="preserve">, as well as latest calls for interest, funding opportunities and upcoming events. We very much hope this members’ bulletin will be useful in your day-to-day work and we would be grateful if you could </w:t>
      </w:r>
      <w:r w:rsidRPr="006075A4">
        <w:rPr>
          <w:b/>
          <w:lang w:val="en-GB"/>
        </w:rPr>
        <w:t>disseminate it among your colleagues</w:t>
      </w:r>
      <w:r w:rsidRPr="006075A4">
        <w:rPr>
          <w:lang w:val="en-GB"/>
        </w:rPr>
        <w:t xml:space="preserve">. Your feedback is also greatly appreciated. Should you have any comments or further questions, </w:t>
      </w:r>
      <w:r w:rsidRPr="006075A4">
        <w:rPr>
          <w:b/>
          <w:lang w:val="en-GB"/>
        </w:rPr>
        <w:t>please do not hesitate to contact Jessica Machacova, Equinet Project Officer</w:t>
      </w:r>
      <w:r w:rsidRPr="006075A4">
        <w:rPr>
          <w:lang w:val="en-GB"/>
        </w:rPr>
        <w:t xml:space="preserve"> (</w:t>
      </w:r>
      <w:hyperlink r:id="rId9" w:history="1">
        <w:r w:rsidRPr="006075A4">
          <w:rPr>
            <w:rStyle w:val="Hyperlink"/>
            <w:lang w:val="en-GB"/>
          </w:rPr>
          <w:t>Jessica.machacova@equineteurope.org</w:t>
        </w:r>
      </w:hyperlink>
      <w:r w:rsidRPr="006075A4">
        <w:rPr>
          <w:lang w:val="en-GB"/>
        </w:rPr>
        <w:t xml:space="preserve"> / 0032 2 212 31 80). </w:t>
      </w:r>
    </w:p>
    <w:p w14:paraId="04626731" w14:textId="77777777" w:rsidR="00CF7284" w:rsidRPr="006075A4" w:rsidRDefault="00CF7284" w:rsidP="006B09E5">
      <w:pPr>
        <w:spacing w:line="276" w:lineRule="auto"/>
        <w:jc w:val="both"/>
        <w:rPr>
          <w:lang w:val="en-GB"/>
        </w:rPr>
      </w:pPr>
    </w:p>
    <w:p w14:paraId="4E1D63FE" w14:textId="77777777" w:rsidR="002C3BF0" w:rsidRPr="006075A4" w:rsidRDefault="002C3BF0" w:rsidP="006B09E5">
      <w:pPr>
        <w:shd w:val="clear" w:color="auto" w:fill="0070C0"/>
        <w:spacing w:line="276" w:lineRule="auto"/>
        <w:jc w:val="center"/>
        <w:rPr>
          <w:b/>
          <w:color w:val="FFFFFF" w:themeColor="background1"/>
          <w:sz w:val="28"/>
          <w:lang w:val="en-GB"/>
        </w:rPr>
      </w:pPr>
      <w:r w:rsidRPr="006075A4">
        <w:rPr>
          <w:b/>
          <w:color w:val="FFFFFF" w:themeColor="background1"/>
          <w:sz w:val="28"/>
          <w:lang w:val="en-GB"/>
        </w:rPr>
        <w:t>Equinet Members’ Bulletin on latest EU and internal developments – Table of contents</w:t>
      </w:r>
    </w:p>
    <w:p w14:paraId="5891F305" w14:textId="77777777" w:rsidR="002C3BF0" w:rsidRPr="006075A4" w:rsidRDefault="002C3BF0" w:rsidP="006B09E5">
      <w:pPr>
        <w:spacing w:line="276" w:lineRule="auto"/>
        <w:jc w:val="both"/>
        <w:rPr>
          <w:b/>
          <w:i/>
          <w:color w:val="FF0000"/>
          <w:lang w:val="en-GB"/>
        </w:rPr>
      </w:pPr>
      <w:r w:rsidRPr="006075A4">
        <w:rPr>
          <w:b/>
          <w:i/>
          <w:color w:val="FF0000"/>
          <w:lang w:val="en-GB"/>
        </w:rPr>
        <w:t>(Ctrl + Click to follow the link)</w:t>
      </w:r>
    </w:p>
    <w:p w14:paraId="29F3E86B" w14:textId="77777777" w:rsidR="00C32196" w:rsidRDefault="00C32196" w:rsidP="006B09E5">
      <w:pPr>
        <w:spacing w:line="276" w:lineRule="auto"/>
        <w:rPr>
          <w:lang w:val="en-GB"/>
        </w:rPr>
      </w:pPr>
      <w:bookmarkStart w:id="0" w:name="_Toc418770742"/>
      <w:bookmarkStart w:id="1" w:name="_Ref418783893"/>
      <w:bookmarkStart w:id="2" w:name="_Ref418783894"/>
      <w:bookmarkStart w:id="3" w:name="_Ref421267367"/>
    </w:p>
    <w:p w14:paraId="7C0E39F7" w14:textId="31A465B1" w:rsidR="00C32196" w:rsidRPr="00C32196" w:rsidRDefault="00C32196" w:rsidP="006B09E5">
      <w:pPr>
        <w:jc w:val="both"/>
        <w:rPr>
          <w:b/>
          <w:sz w:val="28"/>
          <w:lang w:val="en-GB"/>
        </w:rPr>
      </w:pPr>
      <w:r w:rsidRPr="00C32196">
        <w:rPr>
          <w:b/>
          <w:sz w:val="28"/>
          <w:lang w:val="en-GB"/>
        </w:rPr>
        <w:fldChar w:fldCharType="begin"/>
      </w:r>
      <w:r w:rsidRPr="00C32196">
        <w:rPr>
          <w:b/>
          <w:sz w:val="28"/>
          <w:lang w:val="en-GB"/>
        </w:rPr>
        <w:instrText xml:space="preserve"> REF _Ref425868046 \h  \* MERGEFORMAT </w:instrText>
      </w:r>
      <w:r w:rsidRPr="00C32196">
        <w:rPr>
          <w:b/>
          <w:sz w:val="28"/>
          <w:lang w:val="en-GB"/>
        </w:rPr>
      </w:r>
      <w:r w:rsidRPr="00C32196">
        <w:rPr>
          <w:b/>
          <w:sz w:val="28"/>
          <w:lang w:val="en-GB"/>
        </w:rPr>
        <w:fldChar w:fldCharType="separate"/>
      </w:r>
      <w:r w:rsidRPr="00C32196">
        <w:rPr>
          <w:b/>
          <w:color w:val="0070C0"/>
          <w:sz w:val="28"/>
          <w:u w:val="single"/>
          <w:lang w:val="en-GB"/>
        </w:rPr>
        <w:t>Highlight</w:t>
      </w:r>
      <w:r w:rsidRPr="00C32196">
        <w:rPr>
          <w:b/>
          <w:sz w:val="28"/>
          <w:lang w:val="en-GB"/>
        </w:rPr>
        <w:t>: Horizontal Directive – Joint appeal for European discrimination protection initiated by the German Federal Anti-Discrimination Agency</w:t>
      </w:r>
      <w:r w:rsidRPr="00C32196">
        <w:rPr>
          <w:b/>
          <w:sz w:val="28"/>
          <w:lang w:val="en-GB"/>
        </w:rPr>
        <w:fldChar w:fldCharType="end"/>
      </w:r>
    </w:p>
    <w:p w14:paraId="541EB1C9" w14:textId="77777777" w:rsidR="00C32196" w:rsidRDefault="00C32196" w:rsidP="006B09E5">
      <w:pPr>
        <w:rPr>
          <w:lang w:val="en-GB"/>
        </w:rPr>
      </w:pPr>
    </w:p>
    <w:p w14:paraId="58D68615" w14:textId="3897591E" w:rsidR="00C32196" w:rsidRPr="00C32196" w:rsidRDefault="00C32196" w:rsidP="006B09E5">
      <w:pPr>
        <w:rPr>
          <w:b/>
          <w:color w:val="0070C0"/>
          <w:sz w:val="28"/>
          <w:u w:val="single"/>
          <w:lang w:val="en-GB"/>
        </w:rPr>
      </w:pPr>
      <w:r w:rsidRPr="00C32196">
        <w:rPr>
          <w:b/>
          <w:color w:val="0070C0"/>
          <w:sz w:val="28"/>
          <w:u w:val="single"/>
          <w:lang w:val="en-GB"/>
        </w:rPr>
        <w:fldChar w:fldCharType="begin"/>
      </w:r>
      <w:r w:rsidRPr="00C32196">
        <w:rPr>
          <w:b/>
          <w:color w:val="0070C0"/>
          <w:sz w:val="28"/>
          <w:u w:val="single"/>
          <w:lang w:val="en-GB"/>
        </w:rPr>
        <w:instrText xml:space="preserve"> REF _Ref425868048 \h  \* MERGEFORMAT </w:instrText>
      </w:r>
      <w:r w:rsidRPr="00C32196">
        <w:rPr>
          <w:b/>
          <w:color w:val="0070C0"/>
          <w:sz w:val="28"/>
          <w:u w:val="single"/>
          <w:lang w:val="en-GB"/>
        </w:rPr>
      </w:r>
      <w:r w:rsidRPr="00C32196">
        <w:rPr>
          <w:b/>
          <w:color w:val="0070C0"/>
          <w:sz w:val="28"/>
          <w:u w:val="single"/>
          <w:lang w:val="en-GB"/>
        </w:rPr>
        <w:fldChar w:fldCharType="separate"/>
      </w:r>
      <w:r w:rsidRPr="00C32196">
        <w:rPr>
          <w:b/>
          <w:color w:val="0070C0"/>
          <w:sz w:val="28"/>
          <w:u w:val="single"/>
          <w:lang w:val="en-GB"/>
        </w:rPr>
        <w:t>Thematic Policy Developments</w:t>
      </w:r>
      <w:r w:rsidRPr="00C32196">
        <w:rPr>
          <w:b/>
          <w:color w:val="0070C0"/>
          <w:sz w:val="28"/>
          <w:u w:val="single"/>
          <w:lang w:val="en-GB"/>
        </w:rPr>
        <w:fldChar w:fldCharType="end"/>
      </w:r>
    </w:p>
    <w:p w14:paraId="38E911F2" w14:textId="77777777" w:rsidR="00C32196" w:rsidRPr="00C32196" w:rsidRDefault="00C32196" w:rsidP="006B09E5">
      <w:pPr>
        <w:pStyle w:val="ListParagraph"/>
        <w:numPr>
          <w:ilvl w:val="0"/>
          <w:numId w:val="38"/>
        </w:numPr>
        <w:spacing w:line="240" w:lineRule="auto"/>
        <w:rPr>
          <w:u w:val="single"/>
          <w:lang w:val="en-GB"/>
        </w:rPr>
      </w:pPr>
      <w:r w:rsidRPr="00C32196">
        <w:rPr>
          <w:u w:val="single"/>
          <w:lang w:val="en-GB"/>
        </w:rPr>
        <w:fldChar w:fldCharType="begin"/>
      </w:r>
      <w:r w:rsidRPr="00C32196">
        <w:rPr>
          <w:u w:val="single"/>
          <w:lang w:val="en-GB"/>
        </w:rPr>
        <w:instrText xml:space="preserve"> REF _Ref421267521 \h  \* MERGEFORMAT </w:instrText>
      </w:r>
      <w:r w:rsidRPr="00C32196">
        <w:rPr>
          <w:u w:val="single"/>
          <w:lang w:val="en-GB"/>
        </w:rPr>
      </w:r>
      <w:r w:rsidRPr="00C32196">
        <w:rPr>
          <w:u w:val="single"/>
          <w:lang w:val="en-GB"/>
        </w:rPr>
        <w:fldChar w:fldCharType="separate"/>
      </w:r>
      <w:r w:rsidRPr="00C32196">
        <w:rPr>
          <w:color w:val="0070C0"/>
          <w:u w:val="single"/>
          <w:lang w:val="en-GB"/>
        </w:rPr>
        <w:t>General information</w:t>
      </w:r>
      <w:r w:rsidRPr="00C32196">
        <w:rPr>
          <w:u w:val="single"/>
          <w:lang w:val="en-GB"/>
        </w:rPr>
        <w:fldChar w:fldCharType="end"/>
      </w:r>
    </w:p>
    <w:p w14:paraId="6C91C415" w14:textId="77777777" w:rsidR="00C32196" w:rsidRPr="00C32196" w:rsidRDefault="00C32196" w:rsidP="006B09E5">
      <w:pPr>
        <w:pStyle w:val="ListParagraph"/>
        <w:numPr>
          <w:ilvl w:val="0"/>
          <w:numId w:val="38"/>
        </w:numPr>
        <w:spacing w:line="240" w:lineRule="auto"/>
        <w:rPr>
          <w:u w:val="single"/>
          <w:lang w:val="en-GB"/>
        </w:rPr>
      </w:pPr>
      <w:r w:rsidRPr="00C32196">
        <w:rPr>
          <w:u w:val="single"/>
          <w:lang w:val="en-GB"/>
        </w:rPr>
        <w:fldChar w:fldCharType="begin"/>
      </w:r>
      <w:r w:rsidRPr="00C32196">
        <w:rPr>
          <w:u w:val="single"/>
          <w:lang w:val="en-GB"/>
        </w:rPr>
        <w:instrText xml:space="preserve"> REF _Ref421267526 \h  \* MERGEFORMAT </w:instrText>
      </w:r>
      <w:r w:rsidRPr="00C32196">
        <w:rPr>
          <w:u w:val="single"/>
          <w:lang w:val="en-GB"/>
        </w:rPr>
      </w:r>
      <w:r w:rsidRPr="00C32196">
        <w:rPr>
          <w:u w:val="single"/>
          <w:lang w:val="en-GB"/>
        </w:rPr>
        <w:fldChar w:fldCharType="separate"/>
      </w:r>
      <w:r w:rsidRPr="00C32196">
        <w:rPr>
          <w:color w:val="0070C0"/>
          <w:u w:val="single"/>
          <w:lang w:val="en-GB"/>
        </w:rPr>
        <w:t>Gender Equality</w:t>
      </w:r>
      <w:r w:rsidRPr="00C32196">
        <w:rPr>
          <w:u w:val="single"/>
          <w:lang w:val="en-GB"/>
        </w:rPr>
        <w:fldChar w:fldCharType="end"/>
      </w:r>
    </w:p>
    <w:p w14:paraId="1E44AD77" w14:textId="77777777" w:rsidR="00C32196" w:rsidRDefault="00C32196" w:rsidP="006B09E5">
      <w:pPr>
        <w:pStyle w:val="ListParagraph"/>
        <w:numPr>
          <w:ilvl w:val="0"/>
          <w:numId w:val="38"/>
        </w:numPr>
        <w:spacing w:line="240" w:lineRule="auto"/>
        <w:rPr>
          <w:lang w:val="en-GB"/>
        </w:rPr>
      </w:pPr>
      <w:r w:rsidRPr="00C32196">
        <w:rPr>
          <w:lang w:val="en-GB"/>
        </w:rPr>
        <w:fldChar w:fldCharType="begin"/>
      </w:r>
      <w:r w:rsidRPr="00C32196">
        <w:rPr>
          <w:lang w:val="en-GB"/>
        </w:rPr>
        <w:instrText xml:space="preserve"> REF _Ref425868054 \h  \* MERGEFORMAT </w:instrText>
      </w:r>
      <w:r w:rsidRPr="00C32196">
        <w:rPr>
          <w:lang w:val="en-GB"/>
        </w:rPr>
      </w:r>
      <w:r w:rsidRPr="00C32196">
        <w:rPr>
          <w:lang w:val="en-GB"/>
        </w:rPr>
        <w:fldChar w:fldCharType="separate"/>
      </w:r>
      <w:r w:rsidRPr="00C32196">
        <w:rPr>
          <w:color w:val="0070C0"/>
          <w:u w:val="single"/>
          <w:lang w:val="en-GB"/>
        </w:rPr>
        <w:t>Race and Ethnicity</w:t>
      </w:r>
      <w:r w:rsidRPr="00C32196">
        <w:rPr>
          <w:lang w:val="en-GB"/>
        </w:rPr>
        <w:fldChar w:fldCharType="end"/>
      </w:r>
    </w:p>
    <w:p w14:paraId="06E5FBAD" w14:textId="77777777" w:rsidR="00C32196" w:rsidRPr="006B09E5" w:rsidRDefault="00C32196" w:rsidP="006B09E5">
      <w:pPr>
        <w:pStyle w:val="ListParagraph"/>
        <w:numPr>
          <w:ilvl w:val="0"/>
          <w:numId w:val="38"/>
        </w:numPr>
        <w:spacing w:line="240" w:lineRule="auto"/>
        <w:rPr>
          <w:lang w:val="en-GB"/>
        </w:rPr>
      </w:pPr>
      <w:r w:rsidRPr="006B09E5">
        <w:rPr>
          <w:lang w:val="en-GB"/>
        </w:rPr>
        <w:fldChar w:fldCharType="begin"/>
      </w:r>
      <w:r w:rsidRPr="006B09E5">
        <w:rPr>
          <w:lang w:val="en-GB"/>
        </w:rPr>
        <w:instrText xml:space="preserve"> REF _Ref425868056 \h  \* MERGEFORMAT </w:instrText>
      </w:r>
      <w:r w:rsidRPr="006B09E5">
        <w:rPr>
          <w:lang w:val="en-GB"/>
        </w:rPr>
      </w:r>
      <w:r w:rsidRPr="006B09E5">
        <w:rPr>
          <w:lang w:val="en-GB"/>
        </w:rPr>
        <w:fldChar w:fldCharType="separate"/>
      </w:r>
      <w:r w:rsidRPr="006B09E5">
        <w:rPr>
          <w:color w:val="0070C0"/>
          <w:u w:val="single"/>
          <w:lang w:val="en-GB"/>
        </w:rPr>
        <w:t>Religion and Belief</w:t>
      </w:r>
      <w:r w:rsidRPr="006B09E5">
        <w:rPr>
          <w:lang w:val="en-GB"/>
        </w:rPr>
        <w:fldChar w:fldCharType="end"/>
      </w:r>
    </w:p>
    <w:p w14:paraId="0A7051C2" w14:textId="77777777" w:rsidR="00C32196" w:rsidRDefault="00C32196" w:rsidP="006B09E5">
      <w:pPr>
        <w:pStyle w:val="ListParagraph"/>
        <w:numPr>
          <w:ilvl w:val="0"/>
          <w:numId w:val="38"/>
        </w:numPr>
        <w:spacing w:line="240" w:lineRule="auto"/>
        <w:rPr>
          <w:lang w:val="en-GB"/>
        </w:rPr>
      </w:pPr>
      <w:r w:rsidRPr="00C32196">
        <w:rPr>
          <w:lang w:val="en-GB"/>
        </w:rPr>
        <w:fldChar w:fldCharType="begin"/>
      </w:r>
      <w:r w:rsidRPr="00C32196">
        <w:rPr>
          <w:lang w:val="en-GB"/>
        </w:rPr>
        <w:instrText xml:space="preserve"> REF _Ref425868057 \h  \* MERGEFORMAT </w:instrText>
      </w:r>
      <w:r w:rsidRPr="00C32196">
        <w:rPr>
          <w:lang w:val="en-GB"/>
        </w:rPr>
      </w:r>
      <w:r w:rsidRPr="00C32196">
        <w:rPr>
          <w:lang w:val="en-GB"/>
        </w:rPr>
        <w:fldChar w:fldCharType="separate"/>
      </w:r>
      <w:r w:rsidRPr="006B09E5">
        <w:rPr>
          <w:color w:val="0070C0"/>
          <w:u w:val="single"/>
          <w:lang w:val="en-GB"/>
        </w:rPr>
        <w:t>Disability</w:t>
      </w:r>
      <w:r w:rsidRPr="00C32196">
        <w:rPr>
          <w:lang w:val="en-GB"/>
        </w:rPr>
        <w:fldChar w:fldCharType="end"/>
      </w:r>
    </w:p>
    <w:p w14:paraId="0028A1E0" w14:textId="11FD4204" w:rsidR="00C32196" w:rsidRPr="006B09E5" w:rsidRDefault="00C32196" w:rsidP="006B09E5">
      <w:pPr>
        <w:pStyle w:val="ListParagraph"/>
        <w:numPr>
          <w:ilvl w:val="0"/>
          <w:numId w:val="38"/>
        </w:numPr>
        <w:spacing w:line="240" w:lineRule="auto"/>
        <w:rPr>
          <w:lang w:val="en-GB"/>
        </w:rPr>
      </w:pPr>
      <w:r w:rsidRPr="006B09E5">
        <w:rPr>
          <w:lang w:val="en-GB"/>
        </w:rPr>
        <w:fldChar w:fldCharType="begin"/>
      </w:r>
      <w:r w:rsidRPr="006B09E5">
        <w:rPr>
          <w:lang w:val="en-GB"/>
        </w:rPr>
        <w:instrText xml:space="preserve"> REF _Ref425868058 \h  \* MERGEFORMAT </w:instrText>
      </w:r>
      <w:r w:rsidRPr="006B09E5">
        <w:rPr>
          <w:lang w:val="en-GB"/>
        </w:rPr>
      </w:r>
      <w:r w:rsidRPr="006B09E5">
        <w:rPr>
          <w:lang w:val="en-GB"/>
        </w:rPr>
        <w:fldChar w:fldCharType="separate"/>
      </w:r>
      <w:r w:rsidRPr="006B09E5">
        <w:rPr>
          <w:color w:val="0070C0"/>
          <w:u w:val="single"/>
          <w:lang w:val="en-GB"/>
        </w:rPr>
        <w:t>Other</w:t>
      </w:r>
      <w:r w:rsidRPr="006B09E5">
        <w:rPr>
          <w:lang w:val="en-GB"/>
        </w:rPr>
        <w:fldChar w:fldCharType="end"/>
      </w:r>
    </w:p>
    <w:p w14:paraId="2142995C" w14:textId="77777777" w:rsidR="00C32196" w:rsidRDefault="00C32196" w:rsidP="006B09E5">
      <w:pPr>
        <w:rPr>
          <w:lang w:val="en-GB"/>
        </w:rPr>
      </w:pPr>
    </w:p>
    <w:p w14:paraId="189AE591" w14:textId="13022083" w:rsidR="00C32196" w:rsidRPr="006B09E5" w:rsidRDefault="00C32196" w:rsidP="006B09E5">
      <w:pPr>
        <w:rPr>
          <w:b/>
          <w:color w:val="0070C0"/>
          <w:sz w:val="28"/>
          <w:u w:val="single"/>
          <w:lang w:val="en-GB"/>
        </w:rPr>
      </w:pPr>
      <w:r w:rsidRPr="006B09E5">
        <w:rPr>
          <w:b/>
          <w:color w:val="0070C0"/>
          <w:sz w:val="28"/>
          <w:u w:val="single"/>
          <w:lang w:val="en-GB"/>
        </w:rPr>
        <w:fldChar w:fldCharType="begin"/>
      </w:r>
      <w:r w:rsidRPr="006B09E5">
        <w:rPr>
          <w:b/>
          <w:color w:val="0070C0"/>
          <w:sz w:val="28"/>
          <w:u w:val="single"/>
          <w:lang w:val="en-GB"/>
        </w:rPr>
        <w:instrText xml:space="preserve"> REF _Ref425868059 \h  \* MERGEFORMAT </w:instrText>
      </w:r>
      <w:r w:rsidRPr="006B09E5">
        <w:rPr>
          <w:b/>
          <w:color w:val="0070C0"/>
          <w:sz w:val="28"/>
          <w:u w:val="single"/>
          <w:lang w:val="en-GB"/>
        </w:rPr>
      </w:r>
      <w:r w:rsidRPr="006B09E5">
        <w:rPr>
          <w:b/>
          <w:color w:val="0070C0"/>
          <w:sz w:val="28"/>
          <w:u w:val="single"/>
          <w:lang w:val="en-GB"/>
        </w:rPr>
        <w:fldChar w:fldCharType="separate"/>
      </w:r>
      <w:r w:rsidRPr="006B09E5">
        <w:rPr>
          <w:b/>
          <w:color w:val="0070C0"/>
          <w:sz w:val="28"/>
          <w:u w:val="single"/>
          <w:lang w:val="en-GB"/>
        </w:rPr>
        <w:t>New resources, funding opportunities and events</w:t>
      </w:r>
      <w:r w:rsidRPr="006B09E5">
        <w:rPr>
          <w:b/>
          <w:color w:val="0070C0"/>
          <w:sz w:val="28"/>
          <w:u w:val="single"/>
          <w:lang w:val="en-GB"/>
        </w:rPr>
        <w:fldChar w:fldCharType="end"/>
      </w:r>
    </w:p>
    <w:p w14:paraId="404787A9" w14:textId="77777777" w:rsidR="00C32196" w:rsidRDefault="00C32196" w:rsidP="006B09E5">
      <w:pPr>
        <w:pStyle w:val="ListParagraph"/>
        <w:numPr>
          <w:ilvl w:val="0"/>
          <w:numId w:val="39"/>
        </w:numPr>
        <w:spacing w:line="240" w:lineRule="auto"/>
        <w:rPr>
          <w:lang w:val="en-GB"/>
        </w:rPr>
      </w:pPr>
      <w:r w:rsidRPr="00C32196">
        <w:rPr>
          <w:lang w:val="en-GB"/>
        </w:rPr>
        <w:fldChar w:fldCharType="begin"/>
      </w:r>
      <w:r w:rsidRPr="00C32196">
        <w:rPr>
          <w:lang w:val="en-GB"/>
        </w:rPr>
        <w:instrText xml:space="preserve"> REF _Ref425868063 \h  \* MERGEFORMAT </w:instrText>
      </w:r>
      <w:r w:rsidRPr="00C32196">
        <w:rPr>
          <w:lang w:val="en-GB"/>
        </w:rPr>
      </w:r>
      <w:r w:rsidRPr="00C32196">
        <w:rPr>
          <w:lang w:val="en-GB"/>
        </w:rPr>
        <w:fldChar w:fldCharType="separate"/>
      </w:r>
      <w:r w:rsidRPr="006B09E5">
        <w:rPr>
          <w:color w:val="0070C0"/>
          <w:u w:val="single"/>
          <w:lang w:val="en-GB"/>
        </w:rPr>
        <w:t>General information</w:t>
      </w:r>
      <w:r w:rsidRPr="00C32196">
        <w:rPr>
          <w:lang w:val="en-GB"/>
        </w:rPr>
        <w:fldChar w:fldCharType="end"/>
      </w:r>
    </w:p>
    <w:p w14:paraId="58BCFACB" w14:textId="77777777" w:rsidR="00C32196" w:rsidRDefault="00C32196" w:rsidP="006B09E5">
      <w:pPr>
        <w:pStyle w:val="ListParagraph"/>
        <w:numPr>
          <w:ilvl w:val="0"/>
          <w:numId w:val="39"/>
        </w:numPr>
        <w:spacing w:line="240" w:lineRule="auto"/>
        <w:rPr>
          <w:lang w:val="en-GB"/>
        </w:rPr>
      </w:pPr>
      <w:r w:rsidRPr="00C32196">
        <w:rPr>
          <w:lang w:val="en-GB"/>
        </w:rPr>
        <w:fldChar w:fldCharType="begin"/>
      </w:r>
      <w:r w:rsidRPr="00C32196">
        <w:rPr>
          <w:lang w:val="en-GB"/>
        </w:rPr>
        <w:instrText xml:space="preserve"> REF _Ref425868065 \h  \* MERGEFORMAT </w:instrText>
      </w:r>
      <w:r w:rsidRPr="00C32196">
        <w:rPr>
          <w:lang w:val="en-GB"/>
        </w:rPr>
      </w:r>
      <w:r w:rsidRPr="00C32196">
        <w:rPr>
          <w:lang w:val="en-GB"/>
        </w:rPr>
        <w:fldChar w:fldCharType="separate"/>
      </w:r>
      <w:r w:rsidRPr="006B09E5">
        <w:rPr>
          <w:color w:val="0070C0"/>
          <w:u w:val="single"/>
          <w:lang w:val="en-GB"/>
        </w:rPr>
        <w:t>Gender Equality</w:t>
      </w:r>
      <w:r w:rsidRPr="00C32196">
        <w:rPr>
          <w:lang w:val="en-GB"/>
        </w:rPr>
        <w:fldChar w:fldCharType="end"/>
      </w:r>
    </w:p>
    <w:p w14:paraId="7066422B" w14:textId="77777777" w:rsidR="00C32196" w:rsidRDefault="00C32196" w:rsidP="006B09E5">
      <w:pPr>
        <w:pStyle w:val="ListParagraph"/>
        <w:numPr>
          <w:ilvl w:val="0"/>
          <w:numId w:val="39"/>
        </w:numPr>
        <w:spacing w:line="240" w:lineRule="auto"/>
        <w:rPr>
          <w:lang w:val="en-GB"/>
        </w:rPr>
      </w:pPr>
      <w:r w:rsidRPr="00C32196">
        <w:rPr>
          <w:lang w:val="en-GB"/>
        </w:rPr>
        <w:fldChar w:fldCharType="begin"/>
      </w:r>
      <w:r w:rsidRPr="00C32196">
        <w:rPr>
          <w:lang w:val="en-GB"/>
        </w:rPr>
        <w:instrText xml:space="preserve"> REF _Ref425868066 \h  \* MERGEFORMAT </w:instrText>
      </w:r>
      <w:r w:rsidRPr="00C32196">
        <w:rPr>
          <w:lang w:val="en-GB"/>
        </w:rPr>
      </w:r>
      <w:r w:rsidRPr="00C32196">
        <w:rPr>
          <w:lang w:val="en-GB"/>
        </w:rPr>
        <w:fldChar w:fldCharType="separate"/>
      </w:r>
      <w:r w:rsidRPr="006B09E5">
        <w:rPr>
          <w:color w:val="0070C0"/>
          <w:u w:val="single"/>
          <w:lang w:val="en-GB"/>
        </w:rPr>
        <w:t>Race/ethnic origin</w:t>
      </w:r>
      <w:r w:rsidRPr="00C32196">
        <w:rPr>
          <w:lang w:val="en-GB"/>
        </w:rPr>
        <w:fldChar w:fldCharType="end"/>
      </w:r>
    </w:p>
    <w:p w14:paraId="0166FA81" w14:textId="77777777" w:rsidR="00C32196" w:rsidRDefault="00C32196" w:rsidP="006B09E5">
      <w:pPr>
        <w:pStyle w:val="ListParagraph"/>
        <w:numPr>
          <w:ilvl w:val="0"/>
          <w:numId w:val="39"/>
        </w:numPr>
        <w:spacing w:line="240" w:lineRule="auto"/>
        <w:rPr>
          <w:lang w:val="en-GB"/>
        </w:rPr>
      </w:pPr>
      <w:r w:rsidRPr="00C32196">
        <w:rPr>
          <w:lang w:val="en-GB"/>
        </w:rPr>
        <w:fldChar w:fldCharType="begin"/>
      </w:r>
      <w:r w:rsidRPr="00C32196">
        <w:rPr>
          <w:lang w:val="en-GB"/>
        </w:rPr>
        <w:instrText xml:space="preserve"> REF _Ref425868067 \h  \* MERGEFORMAT </w:instrText>
      </w:r>
      <w:r w:rsidRPr="00C32196">
        <w:rPr>
          <w:lang w:val="en-GB"/>
        </w:rPr>
      </w:r>
      <w:r w:rsidRPr="00C32196">
        <w:rPr>
          <w:lang w:val="en-GB"/>
        </w:rPr>
        <w:fldChar w:fldCharType="separate"/>
      </w:r>
      <w:r w:rsidRPr="006B09E5">
        <w:rPr>
          <w:color w:val="0070C0"/>
          <w:u w:val="single"/>
          <w:lang w:val="en-GB"/>
        </w:rPr>
        <w:t>Sexual Orientation and Gender Identity</w:t>
      </w:r>
      <w:r w:rsidRPr="00C32196">
        <w:rPr>
          <w:lang w:val="en-GB"/>
        </w:rPr>
        <w:fldChar w:fldCharType="end"/>
      </w:r>
    </w:p>
    <w:p w14:paraId="3619DFF3" w14:textId="66A4CF2C" w:rsidR="00C32196" w:rsidRPr="00C32196" w:rsidRDefault="00C32196" w:rsidP="006B09E5">
      <w:pPr>
        <w:pStyle w:val="ListParagraph"/>
        <w:numPr>
          <w:ilvl w:val="0"/>
          <w:numId w:val="39"/>
        </w:numPr>
        <w:spacing w:line="240" w:lineRule="auto"/>
        <w:rPr>
          <w:lang w:val="en-GB"/>
        </w:rPr>
      </w:pPr>
      <w:r w:rsidRPr="006B09E5">
        <w:rPr>
          <w:color w:val="0070C0"/>
          <w:lang w:val="en-GB"/>
        </w:rPr>
        <w:fldChar w:fldCharType="begin"/>
      </w:r>
      <w:r w:rsidRPr="006B09E5">
        <w:rPr>
          <w:color w:val="0070C0"/>
          <w:lang w:val="en-GB"/>
        </w:rPr>
        <w:instrText xml:space="preserve"> REF _Ref425868068 \h  \* MERGEFORMAT </w:instrText>
      </w:r>
      <w:r w:rsidRPr="006B09E5">
        <w:rPr>
          <w:color w:val="0070C0"/>
          <w:lang w:val="en-GB"/>
        </w:rPr>
      </w:r>
      <w:r w:rsidRPr="006B09E5">
        <w:rPr>
          <w:color w:val="0070C0"/>
          <w:lang w:val="en-GB"/>
        </w:rPr>
        <w:fldChar w:fldCharType="separate"/>
      </w:r>
      <w:r w:rsidRPr="006B09E5">
        <w:rPr>
          <w:color w:val="0070C0"/>
          <w:u w:val="single"/>
          <w:lang w:val="en-GB"/>
        </w:rPr>
        <w:t>Disability</w:t>
      </w:r>
      <w:r w:rsidRPr="006B09E5">
        <w:rPr>
          <w:color w:val="0070C0"/>
          <w:lang w:val="en-GB"/>
        </w:rPr>
        <w:fldChar w:fldCharType="end"/>
      </w:r>
    </w:p>
    <w:p w14:paraId="53A5FD02" w14:textId="77777777" w:rsidR="00C32196" w:rsidRDefault="00C32196" w:rsidP="006B09E5">
      <w:pPr>
        <w:rPr>
          <w:lang w:val="en-GB"/>
        </w:rPr>
      </w:pPr>
    </w:p>
    <w:p w14:paraId="3FDA08E4" w14:textId="46E0E2BA" w:rsidR="00C32196" w:rsidRPr="006B09E5" w:rsidRDefault="00C32196" w:rsidP="006B09E5">
      <w:pPr>
        <w:tabs>
          <w:tab w:val="left" w:pos="2712"/>
        </w:tabs>
        <w:rPr>
          <w:b/>
          <w:sz w:val="28"/>
          <w:u w:val="single"/>
          <w:lang w:val="en-GB"/>
        </w:rPr>
      </w:pPr>
      <w:r w:rsidRPr="006B09E5">
        <w:rPr>
          <w:b/>
          <w:color w:val="0070C0"/>
          <w:sz w:val="28"/>
          <w:u w:val="single"/>
          <w:lang w:val="en-GB"/>
        </w:rPr>
        <w:fldChar w:fldCharType="begin"/>
      </w:r>
      <w:r w:rsidRPr="006B09E5">
        <w:rPr>
          <w:b/>
          <w:color w:val="0070C0"/>
          <w:sz w:val="28"/>
          <w:u w:val="single"/>
          <w:lang w:val="en-GB"/>
        </w:rPr>
        <w:instrText xml:space="preserve"> REF _Ref425868069 \h  \* MERGEFORMAT </w:instrText>
      </w:r>
      <w:r w:rsidRPr="006B09E5">
        <w:rPr>
          <w:b/>
          <w:color w:val="0070C0"/>
          <w:sz w:val="28"/>
          <w:u w:val="single"/>
          <w:lang w:val="en-GB"/>
        </w:rPr>
      </w:r>
      <w:r w:rsidRPr="006B09E5">
        <w:rPr>
          <w:b/>
          <w:color w:val="0070C0"/>
          <w:sz w:val="28"/>
          <w:u w:val="single"/>
          <w:lang w:val="en-GB"/>
        </w:rPr>
        <w:fldChar w:fldCharType="separate"/>
      </w:r>
      <w:r w:rsidRPr="006B09E5">
        <w:rPr>
          <w:b/>
          <w:color w:val="0070C0"/>
          <w:sz w:val="28"/>
          <w:u w:val="single"/>
          <w:lang w:val="en-GB"/>
        </w:rPr>
        <w:t>Recent case-law</w:t>
      </w:r>
      <w:r w:rsidRPr="006B09E5">
        <w:rPr>
          <w:b/>
          <w:color w:val="0070C0"/>
          <w:sz w:val="28"/>
          <w:u w:val="single"/>
          <w:lang w:val="en-GB"/>
        </w:rPr>
        <w:fldChar w:fldCharType="end"/>
      </w:r>
      <w:r w:rsidR="006B09E5" w:rsidRPr="006B09E5">
        <w:rPr>
          <w:b/>
          <w:color w:val="0070C0"/>
          <w:sz w:val="28"/>
          <w:lang w:val="en-GB"/>
        </w:rPr>
        <w:tab/>
      </w:r>
    </w:p>
    <w:p w14:paraId="5978F2A9" w14:textId="4BD64136" w:rsidR="006B09E5" w:rsidRDefault="00C32196" w:rsidP="006B09E5">
      <w:pPr>
        <w:pStyle w:val="ListParagraph"/>
        <w:numPr>
          <w:ilvl w:val="0"/>
          <w:numId w:val="40"/>
        </w:numPr>
        <w:spacing w:line="240" w:lineRule="auto"/>
        <w:rPr>
          <w:u w:val="single"/>
          <w:lang w:val="en-GB"/>
        </w:rPr>
      </w:pPr>
      <w:r w:rsidRPr="006B09E5">
        <w:rPr>
          <w:u w:val="single"/>
          <w:lang w:val="en-GB"/>
        </w:rPr>
        <w:fldChar w:fldCharType="begin"/>
      </w:r>
      <w:r w:rsidRPr="006B09E5">
        <w:rPr>
          <w:u w:val="single"/>
          <w:lang w:val="en-GB"/>
        </w:rPr>
        <w:instrText xml:space="preserve"> REF _Ref421267642 \h </w:instrText>
      </w:r>
      <w:r w:rsidR="006B09E5">
        <w:rPr>
          <w:u w:val="single"/>
          <w:lang w:val="en-GB"/>
        </w:rPr>
        <w:instrText xml:space="preserve"> \* MERGEFORMAT </w:instrText>
      </w:r>
      <w:r w:rsidRPr="006B09E5">
        <w:rPr>
          <w:u w:val="single"/>
          <w:lang w:val="en-GB"/>
        </w:rPr>
      </w:r>
      <w:r w:rsidRPr="006B09E5">
        <w:rPr>
          <w:u w:val="single"/>
          <w:lang w:val="en-GB"/>
        </w:rPr>
        <w:fldChar w:fldCharType="separate"/>
      </w:r>
      <w:r w:rsidRPr="006B09E5">
        <w:rPr>
          <w:color w:val="0070C0"/>
          <w:u w:val="single"/>
          <w:lang w:val="en-GB"/>
        </w:rPr>
        <w:t>Court of Justice of the European Union (ECJ)</w:t>
      </w:r>
      <w:r w:rsidRPr="006B09E5">
        <w:rPr>
          <w:u w:val="single"/>
          <w:lang w:val="en-GB"/>
        </w:rPr>
        <w:fldChar w:fldCharType="end"/>
      </w:r>
    </w:p>
    <w:p w14:paraId="7CABA703" w14:textId="7590963F" w:rsidR="00F93FE2" w:rsidRPr="006B09E5" w:rsidRDefault="00C32196" w:rsidP="006B09E5">
      <w:pPr>
        <w:pStyle w:val="ListParagraph"/>
        <w:numPr>
          <w:ilvl w:val="0"/>
          <w:numId w:val="40"/>
        </w:numPr>
        <w:spacing w:line="240" w:lineRule="auto"/>
        <w:rPr>
          <w:u w:val="single"/>
          <w:lang w:val="en-GB"/>
        </w:rPr>
      </w:pPr>
      <w:r w:rsidRPr="006B09E5">
        <w:rPr>
          <w:color w:val="0070C0"/>
          <w:u w:val="single"/>
          <w:lang w:val="en-GB"/>
        </w:rPr>
        <w:fldChar w:fldCharType="begin"/>
      </w:r>
      <w:r w:rsidRPr="006B09E5">
        <w:rPr>
          <w:color w:val="0070C0"/>
          <w:u w:val="single"/>
          <w:lang w:val="en-GB"/>
        </w:rPr>
        <w:instrText xml:space="preserve"> REF _Ref421267644 \h </w:instrText>
      </w:r>
      <w:r w:rsidR="006B09E5">
        <w:rPr>
          <w:lang w:val="en-GB"/>
        </w:rPr>
        <w:instrText xml:space="preserve"> \* MERGEFORMAT </w:instrText>
      </w:r>
      <w:r w:rsidRPr="006B09E5">
        <w:rPr>
          <w:color w:val="0070C0"/>
          <w:u w:val="single"/>
          <w:lang w:val="en-GB"/>
        </w:rPr>
      </w:r>
      <w:r w:rsidRPr="006B09E5">
        <w:rPr>
          <w:color w:val="0070C0"/>
          <w:u w:val="single"/>
          <w:lang w:val="en-GB"/>
        </w:rPr>
        <w:fldChar w:fldCharType="separate"/>
      </w:r>
      <w:r w:rsidRPr="006B09E5">
        <w:rPr>
          <w:color w:val="0070C0"/>
          <w:u w:val="single"/>
          <w:lang w:val="en-GB"/>
        </w:rPr>
        <w:t>European Court of Human Rights (ECHR)</w:t>
      </w:r>
      <w:r w:rsidRPr="006B09E5">
        <w:rPr>
          <w:color w:val="0070C0"/>
          <w:u w:val="single"/>
          <w:lang w:val="en-GB"/>
        </w:rPr>
        <w:fldChar w:fldCharType="end"/>
      </w:r>
      <w:r w:rsidR="00F93FE2" w:rsidRPr="006B09E5">
        <w:rPr>
          <w:color w:val="0070C0"/>
          <w:u w:val="single"/>
          <w:lang w:val="en-GB"/>
        </w:rPr>
        <w:br w:type="page"/>
      </w:r>
    </w:p>
    <w:p w14:paraId="040B29A2" w14:textId="6E4260D0" w:rsidR="001140DC" w:rsidRDefault="00922F1E" w:rsidP="006B09E5">
      <w:pPr>
        <w:pStyle w:val="Heading1"/>
        <w:spacing w:line="240" w:lineRule="auto"/>
        <w:jc w:val="both"/>
        <w:rPr>
          <w:lang w:val="en-GB"/>
        </w:rPr>
      </w:pPr>
      <w:bookmarkStart w:id="4" w:name="_Ref425868046"/>
      <w:r w:rsidRPr="006075A4">
        <w:rPr>
          <w:lang w:val="en-GB"/>
        </w:rPr>
        <w:lastRenderedPageBreak/>
        <w:t>H</w:t>
      </w:r>
      <w:bookmarkEnd w:id="0"/>
      <w:bookmarkEnd w:id="1"/>
      <w:bookmarkEnd w:id="2"/>
      <w:bookmarkEnd w:id="3"/>
      <w:r w:rsidR="00EB25A2">
        <w:rPr>
          <w:lang w:val="en-GB"/>
        </w:rPr>
        <w:t>IGHLIGHT: Horizontal Directive – Joint appeal for European discrimination protection initiated by the German Federal Anti-Discrimination Agency</w:t>
      </w:r>
      <w:bookmarkEnd w:id="4"/>
    </w:p>
    <w:p w14:paraId="3B65CADD" w14:textId="0388F31E" w:rsidR="0082437A" w:rsidRDefault="00C9050B" w:rsidP="006B09E5">
      <w:pPr>
        <w:spacing w:line="276" w:lineRule="auto"/>
        <w:jc w:val="both"/>
        <w:rPr>
          <w:lang w:val="en-GB"/>
        </w:rPr>
      </w:pPr>
      <w:r w:rsidRPr="00C9050B">
        <w:rPr>
          <w:noProof/>
        </w:rPr>
        <w:drawing>
          <wp:anchor distT="0" distB="0" distL="114300" distR="114300" simplePos="0" relativeHeight="251658240" behindDoc="0" locked="0" layoutInCell="1" allowOverlap="1" wp14:anchorId="5ED9A0E7" wp14:editId="74B85DAF">
            <wp:simplePos x="0" y="0"/>
            <wp:positionH relativeFrom="margin">
              <wp:align>left</wp:align>
            </wp:positionH>
            <wp:positionV relativeFrom="margin">
              <wp:posOffset>997651</wp:posOffset>
            </wp:positionV>
            <wp:extent cx="2028825" cy="2879090"/>
            <wp:effectExtent l="19050" t="19050" r="28575" b="16510"/>
            <wp:wrapSquare wrapText="bothSides"/>
            <wp:docPr id="2" name="Picture 2" descr="C:\Users\jema\Pictures\Joint Declaration Horizontal Direc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ma\Pictures\Joint Declaration Horizontal Directiv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2879090"/>
                    </a:xfrm>
                    <a:prstGeom prst="rect">
                      <a:avLst/>
                    </a:prstGeom>
                    <a:noFill/>
                    <a:ln>
                      <a:solidFill>
                        <a:schemeClr val="tx1"/>
                      </a:solidFill>
                    </a:ln>
                  </pic:spPr>
                </pic:pic>
              </a:graphicData>
            </a:graphic>
          </wp:anchor>
        </w:drawing>
      </w:r>
      <w:r w:rsidR="00EB25A2">
        <w:rPr>
          <w:lang w:val="en-GB"/>
        </w:rPr>
        <w:br/>
      </w:r>
      <w:r w:rsidR="00EB25A2" w:rsidRPr="00EB25A2">
        <w:rPr>
          <w:lang w:val="en-GB"/>
        </w:rPr>
        <w:t xml:space="preserve">More than </w:t>
      </w:r>
      <w:r w:rsidR="00EB25A2" w:rsidRPr="00EB25A2">
        <w:rPr>
          <w:b/>
          <w:lang w:val="en-GB"/>
        </w:rPr>
        <w:t>40 associations and NGOs from Germany and Europe</w:t>
      </w:r>
      <w:r w:rsidR="00EB25A2" w:rsidRPr="00EB25A2">
        <w:rPr>
          <w:lang w:val="en-GB"/>
        </w:rPr>
        <w:t xml:space="preserve"> have co-signed a </w:t>
      </w:r>
      <w:hyperlink r:id="rId11" w:history="1">
        <w:r w:rsidR="00EB25A2" w:rsidRPr="00C9050B">
          <w:rPr>
            <w:rStyle w:val="Hyperlink"/>
            <w:b/>
            <w:lang w:val="en-GB"/>
          </w:rPr>
          <w:t>joint statement</w:t>
        </w:r>
      </w:hyperlink>
      <w:r w:rsidR="00EB25A2" w:rsidRPr="00EB25A2">
        <w:rPr>
          <w:lang w:val="en-GB"/>
        </w:rPr>
        <w:t xml:space="preserve">, initiated by our member equality body the </w:t>
      </w:r>
      <w:hyperlink r:id="rId12" w:history="1">
        <w:r w:rsidR="00EB25A2" w:rsidRPr="00C9050B">
          <w:rPr>
            <w:rStyle w:val="Hyperlink"/>
            <w:lang w:val="en-GB"/>
          </w:rPr>
          <w:t>German Federal Anti-Discrimination Agency (FADA)</w:t>
        </w:r>
      </w:hyperlink>
      <w:r w:rsidR="00EB25A2" w:rsidRPr="00EB25A2">
        <w:rPr>
          <w:lang w:val="en-GB"/>
        </w:rPr>
        <w:t xml:space="preserve"> and Equinet, calling on the German government to stop blocking the Equal Treatment Directive of the European Union (the so-called Horizontal Directive).</w:t>
      </w:r>
    </w:p>
    <w:p w14:paraId="3A64D46D" w14:textId="77777777" w:rsidR="006B09E5" w:rsidRDefault="006B09E5" w:rsidP="006B09E5">
      <w:pPr>
        <w:spacing w:line="276" w:lineRule="auto"/>
        <w:jc w:val="both"/>
        <w:rPr>
          <w:lang w:val="en-GB"/>
        </w:rPr>
      </w:pPr>
    </w:p>
    <w:p w14:paraId="17700A8D" w14:textId="662458B3" w:rsidR="00C9050B" w:rsidRDefault="00C9050B" w:rsidP="006B09E5">
      <w:pPr>
        <w:spacing w:line="276" w:lineRule="auto"/>
        <w:jc w:val="both"/>
        <w:rPr>
          <w:lang w:val="en-GB"/>
        </w:rPr>
      </w:pPr>
      <w:r w:rsidRPr="00C9050B">
        <w:rPr>
          <w:lang w:val="en-GB"/>
        </w:rPr>
        <w:t xml:space="preserve">"It is incomprehensible that Germany is single-handedly blocking better protection against discrimination across Europe", said </w:t>
      </w:r>
      <w:r w:rsidRPr="00C9050B">
        <w:rPr>
          <w:b/>
          <w:lang w:val="en-GB"/>
        </w:rPr>
        <w:t xml:space="preserve">Christine </w:t>
      </w:r>
      <w:proofErr w:type="spellStart"/>
      <w:r w:rsidRPr="00C9050B">
        <w:rPr>
          <w:b/>
          <w:lang w:val="en-GB"/>
        </w:rPr>
        <w:t>Lüders</w:t>
      </w:r>
      <w:proofErr w:type="spellEnd"/>
      <w:r w:rsidRPr="00C9050B">
        <w:rPr>
          <w:b/>
          <w:lang w:val="en-GB"/>
        </w:rPr>
        <w:t>, Head of the Federal Anti-Discrimination Agency (FADA)</w:t>
      </w:r>
      <w:r>
        <w:rPr>
          <w:lang w:val="en-GB"/>
        </w:rPr>
        <w:t xml:space="preserve">. </w:t>
      </w:r>
      <w:r w:rsidRPr="00C9050B">
        <w:rPr>
          <w:lang w:val="en-GB"/>
        </w:rPr>
        <w:t>"The federal government thereby accepts that people with disabilities in many European countries are denied access to premises, or that hoteliers may refuse to rent rooms to gays or lesbians" for example.</w:t>
      </w:r>
    </w:p>
    <w:p w14:paraId="6728C079" w14:textId="77777777" w:rsidR="006B09E5" w:rsidRDefault="006B09E5" w:rsidP="006B09E5">
      <w:pPr>
        <w:spacing w:line="276" w:lineRule="auto"/>
        <w:jc w:val="both"/>
        <w:rPr>
          <w:lang w:val="en-GB"/>
        </w:rPr>
      </w:pPr>
    </w:p>
    <w:p w14:paraId="0EBFC65F" w14:textId="6704CBE8" w:rsidR="00C9050B" w:rsidRDefault="00C9050B" w:rsidP="006B09E5">
      <w:pPr>
        <w:spacing w:line="276" w:lineRule="auto"/>
        <w:jc w:val="both"/>
        <w:rPr>
          <w:lang w:val="en-GB"/>
        </w:rPr>
      </w:pPr>
      <w:r w:rsidRPr="00C9050B">
        <w:rPr>
          <w:lang w:val="en-GB"/>
        </w:rPr>
        <w:t xml:space="preserve">The first signatories of the Joint Declaration, including Equinet and our German member FADA, </w:t>
      </w:r>
      <w:r w:rsidRPr="00C9050B">
        <w:rPr>
          <w:b/>
          <w:lang w:val="en-GB"/>
        </w:rPr>
        <w:t>call on the federal government to change its attitude to the Equal Treatment Directive</w:t>
      </w:r>
      <w:r w:rsidRPr="00C9050B">
        <w:rPr>
          <w:lang w:val="en-GB"/>
        </w:rPr>
        <w:t xml:space="preserve"> and pave the way for substantive negotiations. At the same time, they ask the federal government to enter into dialogue with them about the meaning of the Directive.</w:t>
      </w:r>
    </w:p>
    <w:p w14:paraId="216CBDD2" w14:textId="77777777" w:rsidR="006B09E5" w:rsidRDefault="006B09E5" w:rsidP="006B09E5">
      <w:pPr>
        <w:spacing w:line="276" w:lineRule="auto"/>
        <w:jc w:val="both"/>
        <w:rPr>
          <w:lang w:val="en-GB"/>
        </w:rPr>
      </w:pPr>
    </w:p>
    <w:p w14:paraId="3E0F697C" w14:textId="6C527F90" w:rsidR="00C9050B" w:rsidRDefault="00C9050B" w:rsidP="006B09E5">
      <w:pPr>
        <w:pStyle w:val="ListParagraph"/>
        <w:numPr>
          <w:ilvl w:val="0"/>
          <w:numId w:val="32"/>
        </w:numPr>
        <w:spacing w:line="276" w:lineRule="auto"/>
        <w:jc w:val="both"/>
        <w:rPr>
          <w:lang w:val="en-GB"/>
        </w:rPr>
      </w:pPr>
      <w:r w:rsidRPr="00C9050B">
        <w:rPr>
          <w:lang w:val="en-GB"/>
        </w:rPr>
        <w:t xml:space="preserve">Read our full article and the joint appeal </w:t>
      </w:r>
      <w:hyperlink r:id="rId13" w:history="1">
        <w:r w:rsidRPr="00C9050B">
          <w:rPr>
            <w:rStyle w:val="Hyperlink"/>
            <w:lang w:val="en-GB"/>
          </w:rPr>
          <w:t>here</w:t>
        </w:r>
      </w:hyperlink>
      <w:r w:rsidRPr="00C9050B">
        <w:rPr>
          <w:lang w:val="en-GB"/>
        </w:rPr>
        <w:t xml:space="preserve">. </w:t>
      </w:r>
    </w:p>
    <w:p w14:paraId="628869F9" w14:textId="22BA4FE8" w:rsidR="00C9050B" w:rsidRDefault="00C9050B" w:rsidP="006B09E5">
      <w:pPr>
        <w:pStyle w:val="ListParagraph"/>
        <w:numPr>
          <w:ilvl w:val="0"/>
          <w:numId w:val="32"/>
        </w:numPr>
        <w:spacing w:line="276" w:lineRule="auto"/>
        <w:jc w:val="both"/>
        <w:rPr>
          <w:lang w:val="en-GB"/>
        </w:rPr>
      </w:pPr>
      <w:r w:rsidRPr="00C9050B">
        <w:rPr>
          <w:lang w:val="en-GB"/>
        </w:rPr>
        <w:t>Read more about the meeting of FADA and its partners in Berlin (26 June) to define the final version of the joint statement</w:t>
      </w:r>
      <w:r>
        <w:rPr>
          <w:lang w:val="en-GB"/>
        </w:rPr>
        <w:t xml:space="preserve"> </w:t>
      </w:r>
      <w:hyperlink r:id="rId14" w:history="1">
        <w:r w:rsidRPr="00C9050B">
          <w:rPr>
            <w:rStyle w:val="Hyperlink"/>
            <w:lang w:val="en-GB"/>
          </w:rPr>
          <w:t>here</w:t>
        </w:r>
      </w:hyperlink>
      <w:r>
        <w:rPr>
          <w:lang w:val="en-GB"/>
        </w:rPr>
        <w:t xml:space="preserve">. </w:t>
      </w:r>
    </w:p>
    <w:p w14:paraId="1B6BB9B3" w14:textId="5A75404C" w:rsidR="00C9050B" w:rsidRPr="00C9050B" w:rsidRDefault="00C9050B" w:rsidP="006B09E5">
      <w:pPr>
        <w:pStyle w:val="ListParagraph"/>
        <w:numPr>
          <w:ilvl w:val="0"/>
          <w:numId w:val="32"/>
        </w:numPr>
        <w:spacing w:line="276" w:lineRule="auto"/>
        <w:jc w:val="both"/>
        <w:rPr>
          <w:lang w:val="en-GB"/>
        </w:rPr>
      </w:pPr>
      <w:r>
        <w:rPr>
          <w:lang w:val="en-GB"/>
        </w:rPr>
        <w:t xml:space="preserve">Read Christine </w:t>
      </w:r>
      <w:proofErr w:type="spellStart"/>
      <w:r>
        <w:rPr>
          <w:lang w:val="en-GB"/>
        </w:rPr>
        <w:t>Lüders</w:t>
      </w:r>
      <w:proofErr w:type="spellEnd"/>
      <w:r>
        <w:rPr>
          <w:lang w:val="en-GB"/>
        </w:rPr>
        <w:t xml:space="preserve">’ call for the swift adoption of the Horizontal Directive </w:t>
      </w:r>
      <w:hyperlink r:id="rId15" w:history="1">
        <w:r w:rsidRPr="00C9050B">
          <w:rPr>
            <w:rStyle w:val="Hyperlink"/>
            <w:lang w:val="en-GB"/>
          </w:rPr>
          <w:t>here</w:t>
        </w:r>
      </w:hyperlink>
      <w:r>
        <w:rPr>
          <w:lang w:val="en-GB"/>
        </w:rPr>
        <w:t xml:space="preserve">. </w:t>
      </w:r>
    </w:p>
    <w:p w14:paraId="3826F7AE" w14:textId="77777777" w:rsidR="00A73FA9" w:rsidRPr="006075A4" w:rsidRDefault="00A73FA9" w:rsidP="006B09E5">
      <w:pPr>
        <w:pBdr>
          <w:bottom w:val="dotted" w:sz="36" w:space="1" w:color="auto"/>
        </w:pBdr>
        <w:spacing w:line="276" w:lineRule="auto"/>
        <w:rPr>
          <w:lang w:val="en-GB"/>
        </w:rPr>
      </w:pPr>
    </w:p>
    <w:p w14:paraId="54158D4D" w14:textId="77777777" w:rsidR="00F93FE2" w:rsidRDefault="00F93FE2" w:rsidP="006B09E5">
      <w:pPr>
        <w:spacing w:line="276" w:lineRule="auto"/>
        <w:rPr>
          <w:rFonts w:ascii="Tahoma" w:eastAsiaTheme="majorEastAsia" w:hAnsi="Tahoma" w:cstheme="majorBidi"/>
          <w:b/>
          <w:color w:val="2E74B5" w:themeColor="accent1" w:themeShade="BF"/>
          <w:sz w:val="32"/>
          <w:szCs w:val="32"/>
          <w:lang w:val="en-GB"/>
        </w:rPr>
      </w:pPr>
      <w:bookmarkStart w:id="5" w:name="_Toc418770746"/>
      <w:bookmarkStart w:id="6" w:name="_Ref418784288"/>
      <w:bookmarkStart w:id="7" w:name="_Ref421267472"/>
      <w:r>
        <w:rPr>
          <w:lang w:val="en-GB"/>
        </w:rPr>
        <w:br w:type="page"/>
      </w:r>
    </w:p>
    <w:p w14:paraId="49F8ACD8" w14:textId="15AE1F5B" w:rsidR="00A73FA9" w:rsidRPr="006075A4" w:rsidRDefault="00A73FA9" w:rsidP="006B09E5">
      <w:pPr>
        <w:pStyle w:val="Heading1"/>
        <w:spacing w:line="276" w:lineRule="auto"/>
        <w:rPr>
          <w:lang w:val="en-GB"/>
        </w:rPr>
      </w:pPr>
      <w:bookmarkStart w:id="8" w:name="_Ref425868048"/>
      <w:r w:rsidRPr="006075A4">
        <w:rPr>
          <w:lang w:val="en-GB"/>
        </w:rPr>
        <w:lastRenderedPageBreak/>
        <w:t>Thematic Policy Developments</w:t>
      </w:r>
      <w:bookmarkEnd w:id="5"/>
      <w:bookmarkEnd w:id="6"/>
      <w:bookmarkEnd w:id="7"/>
      <w:bookmarkEnd w:id="8"/>
    </w:p>
    <w:p w14:paraId="640BC41E" w14:textId="77777777" w:rsidR="00A73FA9" w:rsidRPr="006075A4" w:rsidRDefault="00A73FA9" w:rsidP="006B09E5">
      <w:pPr>
        <w:spacing w:line="276" w:lineRule="auto"/>
        <w:rPr>
          <w:lang w:val="en-GB"/>
        </w:rPr>
      </w:pPr>
    </w:p>
    <w:p w14:paraId="72E09DEB" w14:textId="57EBA4B6" w:rsidR="00BE6DFA" w:rsidRPr="00026281" w:rsidRDefault="00C842B1" w:rsidP="006B09E5">
      <w:pPr>
        <w:pStyle w:val="Heading2"/>
        <w:spacing w:line="276" w:lineRule="auto"/>
        <w:rPr>
          <w:lang w:val="en-GB"/>
        </w:rPr>
      </w:pPr>
      <w:bookmarkStart w:id="9" w:name="_Ref421267521"/>
      <w:bookmarkStart w:id="10" w:name="_Toc418770747"/>
      <w:bookmarkStart w:id="11" w:name="_Ref418784309"/>
      <w:r w:rsidRPr="00026281">
        <w:rPr>
          <w:lang w:val="en-GB"/>
        </w:rPr>
        <w:t>General information</w:t>
      </w:r>
      <w:bookmarkEnd w:id="9"/>
    </w:p>
    <w:p w14:paraId="00E58464" w14:textId="2D1F3554" w:rsidR="00E10A4F" w:rsidRDefault="00F70639" w:rsidP="006B09E5">
      <w:pPr>
        <w:spacing w:line="276" w:lineRule="auto"/>
        <w:rPr>
          <w:b/>
          <w:sz w:val="24"/>
          <w:lang w:val="en-US"/>
        </w:rPr>
      </w:pPr>
      <w:r>
        <w:rPr>
          <w:rFonts w:asciiTheme="majorHAnsi" w:eastAsiaTheme="majorEastAsia" w:hAnsiTheme="majorHAnsi" w:cstheme="majorBidi"/>
          <w:b/>
          <w:color w:val="BF8F00" w:themeColor="accent4" w:themeShade="BF"/>
          <w:sz w:val="28"/>
          <w:szCs w:val="26"/>
          <w:lang w:val="en-GB" w:eastAsia="en-US"/>
        </w:rPr>
        <w:br/>
      </w:r>
      <w:r w:rsidR="00F97C46" w:rsidRPr="00BE6DFA">
        <w:rPr>
          <w:b/>
          <w:sz w:val="24"/>
          <w:lang w:val="en-US"/>
        </w:rPr>
        <w:t xml:space="preserve">Luxembourg takes over six-month presidency of the </w:t>
      </w:r>
      <w:r w:rsidR="00BE6DFA" w:rsidRPr="00BE6DFA">
        <w:rPr>
          <w:b/>
          <w:sz w:val="24"/>
          <w:lang w:val="en-US"/>
        </w:rPr>
        <w:t>Council of the European Union</w:t>
      </w:r>
    </w:p>
    <w:p w14:paraId="70031B4E" w14:textId="357EA391" w:rsidR="00F70639" w:rsidRPr="00BE6DFA" w:rsidRDefault="00F70639" w:rsidP="006B09E5">
      <w:pPr>
        <w:spacing w:line="276" w:lineRule="auto"/>
        <w:rPr>
          <w:b/>
          <w:sz w:val="24"/>
          <w:lang w:val="en-GB"/>
        </w:rPr>
      </w:pPr>
    </w:p>
    <w:p w14:paraId="0682FC8C" w14:textId="5655C392" w:rsidR="00E2166F" w:rsidRDefault="00F70639" w:rsidP="006B09E5">
      <w:pPr>
        <w:spacing w:line="276" w:lineRule="auto"/>
        <w:jc w:val="both"/>
        <w:rPr>
          <w:lang w:val="en-US"/>
        </w:rPr>
      </w:pPr>
      <w:r>
        <w:rPr>
          <w:noProof/>
        </w:rPr>
        <w:drawing>
          <wp:anchor distT="0" distB="0" distL="114300" distR="114300" simplePos="0" relativeHeight="251660288" behindDoc="0" locked="0" layoutInCell="1" allowOverlap="1" wp14:anchorId="74C09291" wp14:editId="18598A79">
            <wp:simplePos x="0" y="0"/>
            <wp:positionH relativeFrom="margin">
              <wp:align>right</wp:align>
            </wp:positionH>
            <wp:positionV relativeFrom="margin">
              <wp:posOffset>1457259</wp:posOffset>
            </wp:positionV>
            <wp:extent cx="3462655" cy="641985"/>
            <wp:effectExtent l="19050" t="19050" r="23495" b="2476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2655" cy="641985"/>
                    </a:xfrm>
                    <a:prstGeom prst="rect">
                      <a:avLst/>
                    </a:prstGeom>
                    <a:noFill/>
                    <a:ln>
                      <a:solidFill>
                        <a:schemeClr val="tx1"/>
                      </a:solidFill>
                    </a:ln>
                  </pic:spPr>
                </pic:pic>
              </a:graphicData>
            </a:graphic>
          </wp:anchor>
        </w:drawing>
      </w:r>
      <w:r w:rsidR="00BE6DFA" w:rsidRPr="00BE6DFA">
        <w:rPr>
          <w:lang w:val="en-US"/>
        </w:rPr>
        <w:t>On 1</w:t>
      </w:r>
      <w:r w:rsidR="00BE6DFA" w:rsidRPr="00BE6DFA">
        <w:rPr>
          <w:vertAlign w:val="superscript"/>
          <w:lang w:val="en-US"/>
        </w:rPr>
        <w:t>st</w:t>
      </w:r>
      <w:r w:rsidR="00BE6DFA" w:rsidRPr="00BE6DFA">
        <w:rPr>
          <w:lang w:val="en-US"/>
        </w:rPr>
        <w:t xml:space="preserve"> July 2015, </w:t>
      </w:r>
      <w:r w:rsidR="00E2166F">
        <w:rPr>
          <w:lang w:val="en-US"/>
        </w:rPr>
        <w:t xml:space="preserve">Luxembourg took over </w:t>
      </w:r>
      <w:r w:rsidR="00AE5FCD">
        <w:rPr>
          <w:lang w:val="en-US"/>
        </w:rPr>
        <w:t>the p</w:t>
      </w:r>
      <w:r w:rsidR="00E2166F">
        <w:rPr>
          <w:lang w:val="en-US"/>
        </w:rPr>
        <w:t xml:space="preserve">residency of the Council of the European Union for a six-month term. Priorities in the area of Justice and Home Affairs </w:t>
      </w:r>
      <w:r w:rsidR="00AE5FCD">
        <w:rPr>
          <w:lang w:val="en-US"/>
        </w:rPr>
        <w:t xml:space="preserve">were discussed during an exchange of views </w:t>
      </w:r>
      <w:proofErr w:type="spellStart"/>
      <w:r w:rsidR="00AE5FCD">
        <w:rPr>
          <w:lang w:val="en-US"/>
        </w:rPr>
        <w:t>organised</w:t>
      </w:r>
      <w:proofErr w:type="spellEnd"/>
      <w:r w:rsidR="00AE5FCD">
        <w:rPr>
          <w:lang w:val="en-US"/>
        </w:rPr>
        <w:t xml:space="preserve"> by the European Parliament Committee on Civil Liberties, Justice and Home Affairs (LIBE). They </w:t>
      </w:r>
      <w:r w:rsidR="00E2166F">
        <w:rPr>
          <w:lang w:val="en-US"/>
        </w:rPr>
        <w:t xml:space="preserve">include: </w:t>
      </w:r>
    </w:p>
    <w:p w14:paraId="7F5A2B50" w14:textId="77777777" w:rsidR="00310BFC" w:rsidRDefault="00310BFC" w:rsidP="006B09E5">
      <w:pPr>
        <w:spacing w:line="276" w:lineRule="auto"/>
        <w:jc w:val="both"/>
        <w:rPr>
          <w:lang w:val="en-US"/>
        </w:rPr>
      </w:pPr>
    </w:p>
    <w:p w14:paraId="5F70F2AE" w14:textId="4ACF8ACB" w:rsidR="00BE6DFA" w:rsidRDefault="00E2166F" w:rsidP="006B09E5">
      <w:pPr>
        <w:pStyle w:val="ListParagraph"/>
        <w:numPr>
          <w:ilvl w:val="0"/>
          <w:numId w:val="33"/>
        </w:numPr>
        <w:spacing w:line="276" w:lineRule="auto"/>
        <w:jc w:val="both"/>
        <w:rPr>
          <w:lang w:val="en-US"/>
        </w:rPr>
      </w:pPr>
      <w:r w:rsidRPr="00E2166F">
        <w:rPr>
          <w:b/>
          <w:lang w:val="en-US"/>
        </w:rPr>
        <w:t>Promotion of gender equality at all levels</w:t>
      </w:r>
      <w:r>
        <w:rPr>
          <w:lang w:val="en-US"/>
        </w:rPr>
        <w:t xml:space="preserve">. Particular attention will be paid to increasing the rate of female employment and to a balanced representation of women and men in political and economic decision-making as factors of competitiveness. </w:t>
      </w:r>
    </w:p>
    <w:p w14:paraId="7BA7DF0D" w14:textId="516C40DB" w:rsidR="00E2166F" w:rsidRDefault="00E2166F" w:rsidP="006B09E5">
      <w:pPr>
        <w:pStyle w:val="ListParagraph"/>
        <w:numPr>
          <w:ilvl w:val="0"/>
          <w:numId w:val="33"/>
        </w:numPr>
        <w:spacing w:line="276" w:lineRule="auto"/>
        <w:jc w:val="both"/>
        <w:rPr>
          <w:lang w:val="en-US"/>
        </w:rPr>
      </w:pPr>
      <w:r>
        <w:rPr>
          <w:b/>
          <w:lang w:val="en-US"/>
        </w:rPr>
        <w:t>Promotion of the principle of non</w:t>
      </w:r>
      <w:r w:rsidRPr="00AE5FCD">
        <w:rPr>
          <w:b/>
          <w:lang w:val="en-US"/>
        </w:rPr>
        <w:t>-discrimination</w:t>
      </w:r>
      <w:r>
        <w:rPr>
          <w:lang w:val="en-US"/>
        </w:rPr>
        <w:t xml:space="preserve"> as enshrined in the EU texts, included the Treaty on the Functioning of the EU and the Charter of Fundamental Rights of the EU. In this context, the Luxembourg Presidency will continue efforts to adopt the proposal of EU Horizontal Directive </w:t>
      </w:r>
      <w:r w:rsidRPr="00E2166F">
        <w:rPr>
          <w:i/>
          <w:lang w:val="en-US"/>
        </w:rPr>
        <w:t>(see highlight above)</w:t>
      </w:r>
      <w:r>
        <w:rPr>
          <w:lang w:val="en-US"/>
        </w:rPr>
        <w:t xml:space="preserve">. </w:t>
      </w:r>
    </w:p>
    <w:p w14:paraId="28007C27" w14:textId="74FD42C5" w:rsidR="00AE5FCD" w:rsidRDefault="00AE5FCD" w:rsidP="006B09E5">
      <w:pPr>
        <w:spacing w:line="276" w:lineRule="auto"/>
        <w:jc w:val="both"/>
        <w:rPr>
          <w:lang w:val="en-US"/>
        </w:rPr>
      </w:pPr>
      <w:r>
        <w:rPr>
          <w:lang w:val="en-US"/>
        </w:rPr>
        <w:t xml:space="preserve">More information about the Luxembourg EU presidency is available </w:t>
      </w:r>
      <w:hyperlink r:id="rId17" w:history="1">
        <w:r w:rsidRPr="00AE5FCD">
          <w:rPr>
            <w:rStyle w:val="Hyperlink"/>
            <w:lang w:val="en-US"/>
          </w:rPr>
          <w:t>here</w:t>
        </w:r>
      </w:hyperlink>
      <w:r>
        <w:rPr>
          <w:lang w:val="en-US"/>
        </w:rPr>
        <w:t xml:space="preserve">. </w:t>
      </w:r>
    </w:p>
    <w:p w14:paraId="32F76A6A" w14:textId="77777777" w:rsidR="007C2E97" w:rsidRDefault="007C2E97" w:rsidP="006B09E5">
      <w:pPr>
        <w:spacing w:line="276" w:lineRule="auto"/>
        <w:jc w:val="both"/>
        <w:rPr>
          <w:lang w:val="en-US"/>
        </w:rPr>
      </w:pPr>
    </w:p>
    <w:p w14:paraId="0ABAD92F" w14:textId="3D2AA4C9" w:rsidR="00AE5FCD" w:rsidRDefault="00AE5FCD" w:rsidP="006B09E5">
      <w:pPr>
        <w:spacing w:line="276" w:lineRule="auto"/>
        <w:jc w:val="both"/>
        <w:rPr>
          <w:b/>
          <w:sz w:val="24"/>
          <w:lang w:val="en-US"/>
        </w:rPr>
      </w:pPr>
      <w:r w:rsidRPr="00AE5FCD">
        <w:rPr>
          <w:b/>
          <w:sz w:val="24"/>
          <w:lang w:val="en-US"/>
        </w:rPr>
        <w:t>New FRA Management Board takes office</w:t>
      </w:r>
    </w:p>
    <w:p w14:paraId="75286459" w14:textId="77777777" w:rsidR="00F70639" w:rsidRPr="00AE5FCD" w:rsidRDefault="00F70639" w:rsidP="006B09E5">
      <w:pPr>
        <w:spacing w:line="276" w:lineRule="auto"/>
        <w:jc w:val="both"/>
        <w:rPr>
          <w:b/>
          <w:sz w:val="24"/>
          <w:lang w:val="en-US"/>
        </w:rPr>
      </w:pPr>
    </w:p>
    <w:p w14:paraId="0014B365" w14:textId="7A29BE53" w:rsidR="00E10A4F" w:rsidRDefault="00FE263B" w:rsidP="006B09E5">
      <w:pPr>
        <w:spacing w:line="276" w:lineRule="auto"/>
        <w:jc w:val="both"/>
        <w:rPr>
          <w:lang w:val="en-US"/>
        </w:rPr>
      </w:pPr>
      <w:r w:rsidRPr="00FE263B">
        <w:rPr>
          <w:lang w:val="en-US"/>
        </w:rPr>
        <w:t>In July 2015, new members of FRA (European Union Agency for Fundamental Rights)</w:t>
      </w:r>
      <w:r>
        <w:rPr>
          <w:lang w:val="en-US"/>
        </w:rPr>
        <w:t xml:space="preserve"> Management Board</w:t>
      </w:r>
      <w:r w:rsidRPr="00FE263B">
        <w:rPr>
          <w:lang w:val="en-US"/>
        </w:rPr>
        <w:t xml:space="preserve"> took office. </w:t>
      </w:r>
      <w:r>
        <w:rPr>
          <w:lang w:val="en-US"/>
        </w:rPr>
        <w:t>The Management Board is responsible for adopting FRA’s annual work programme and annual report. It is composed of one indepen</w:t>
      </w:r>
      <w:r w:rsidR="004354AE">
        <w:rPr>
          <w:lang w:val="en-US"/>
        </w:rPr>
        <w:t>dent expert from each EU Member State</w:t>
      </w:r>
      <w:r>
        <w:rPr>
          <w:lang w:val="en-US"/>
        </w:rPr>
        <w:t xml:space="preserve">, two representatives of the European Commission and one independent expert appointed by the Council of Europe. The Management Board is renewed every 5 years. </w:t>
      </w:r>
    </w:p>
    <w:p w14:paraId="1FD19623" w14:textId="27E41B6F" w:rsidR="0034362B" w:rsidRDefault="00FE263B" w:rsidP="00310BFC">
      <w:pPr>
        <w:spacing w:line="276" w:lineRule="auto"/>
        <w:jc w:val="both"/>
        <w:rPr>
          <w:lang w:val="en-US"/>
        </w:rPr>
      </w:pPr>
      <w:r>
        <w:rPr>
          <w:lang w:val="en-US"/>
        </w:rPr>
        <w:t xml:space="preserve">Find the list of new members </w:t>
      </w:r>
      <w:hyperlink r:id="rId18" w:history="1">
        <w:r w:rsidRPr="00FE263B">
          <w:rPr>
            <w:rStyle w:val="Hyperlink"/>
            <w:lang w:val="en-US"/>
          </w:rPr>
          <w:t>here</w:t>
        </w:r>
      </w:hyperlink>
      <w:r>
        <w:rPr>
          <w:lang w:val="en-US"/>
        </w:rPr>
        <w:t xml:space="preserve">. </w:t>
      </w:r>
    </w:p>
    <w:p w14:paraId="299E9A20" w14:textId="77777777" w:rsidR="00F70639" w:rsidRDefault="00F70639" w:rsidP="00310BFC">
      <w:pPr>
        <w:pBdr>
          <w:bottom w:val="dotted" w:sz="4" w:space="1" w:color="auto"/>
        </w:pBdr>
        <w:spacing w:line="276" w:lineRule="auto"/>
        <w:jc w:val="both"/>
        <w:rPr>
          <w:rFonts w:asciiTheme="minorHAnsi" w:hAnsiTheme="minorHAnsi" w:cstheme="minorBidi"/>
          <w:lang w:val="en-US"/>
        </w:rPr>
      </w:pPr>
    </w:p>
    <w:p w14:paraId="4E2EFFC6" w14:textId="77777777" w:rsidR="00310BFC" w:rsidRPr="007C2E97" w:rsidRDefault="00310BFC" w:rsidP="006B09E5">
      <w:pPr>
        <w:spacing w:line="276" w:lineRule="auto"/>
        <w:jc w:val="both"/>
        <w:rPr>
          <w:rFonts w:asciiTheme="minorHAnsi" w:hAnsiTheme="minorHAnsi" w:cstheme="minorBidi"/>
          <w:lang w:val="en-US"/>
        </w:rPr>
      </w:pPr>
    </w:p>
    <w:p w14:paraId="683E4DE0" w14:textId="29084479" w:rsidR="00AA6679" w:rsidRPr="0082437A" w:rsidRDefault="00C842B1" w:rsidP="006B09E5">
      <w:pPr>
        <w:pStyle w:val="Heading2"/>
        <w:spacing w:line="276" w:lineRule="auto"/>
        <w:rPr>
          <w:rFonts w:asciiTheme="minorHAnsi" w:hAnsiTheme="minorHAnsi"/>
          <w:b w:val="0"/>
          <w:color w:val="auto"/>
          <w:sz w:val="22"/>
          <w:szCs w:val="22"/>
          <w:lang w:val="en-US"/>
        </w:rPr>
      </w:pPr>
      <w:bookmarkStart w:id="12" w:name="_Ref421267526"/>
      <w:r w:rsidRPr="00026281">
        <w:rPr>
          <w:lang w:val="en-GB"/>
        </w:rPr>
        <w:t>Gender Equality</w:t>
      </w:r>
      <w:bookmarkEnd w:id="12"/>
      <w:r w:rsidR="00542158" w:rsidRPr="00026281">
        <w:rPr>
          <w:lang w:val="en-GB"/>
        </w:rPr>
        <w:br/>
      </w:r>
    </w:p>
    <w:p w14:paraId="1FFA9EB5" w14:textId="71DD0DEB" w:rsidR="00C558BD" w:rsidRDefault="0015744B" w:rsidP="006B09E5">
      <w:pPr>
        <w:spacing w:line="276" w:lineRule="auto"/>
        <w:rPr>
          <w:b/>
          <w:sz w:val="24"/>
          <w:lang w:val="en-US"/>
        </w:rPr>
      </w:pPr>
      <w:r w:rsidRPr="0015744B">
        <w:rPr>
          <w:b/>
          <w:sz w:val="24"/>
          <w:lang w:val="en-US"/>
        </w:rPr>
        <w:t>European Parliament: two opinions and two reports adopted by the FEMM Committee</w:t>
      </w:r>
    </w:p>
    <w:p w14:paraId="0AA8FCD6" w14:textId="77777777" w:rsidR="00F70639" w:rsidRPr="0015744B" w:rsidRDefault="00F70639" w:rsidP="006B09E5">
      <w:pPr>
        <w:spacing w:line="276" w:lineRule="auto"/>
        <w:rPr>
          <w:b/>
          <w:sz w:val="24"/>
          <w:lang w:val="en-US"/>
        </w:rPr>
      </w:pPr>
    </w:p>
    <w:p w14:paraId="30CE353C" w14:textId="4A282834" w:rsidR="0015744B" w:rsidRDefault="0015744B" w:rsidP="006B09E5">
      <w:pPr>
        <w:spacing w:line="276" w:lineRule="auto"/>
        <w:jc w:val="both"/>
        <w:rPr>
          <w:lang w:val="en-US"/>
        </w:rPr>
      </w:pPr>
      <w:r>
        <w:rPr>
          <w:lang w:val="en-US"/>
        </w:rPr>
        <w:t xml:space="preserve">In June and July 2015, </w:t>
      </w:r>
      <w:r w:rsidR="00A24A95">
        <w:rPr>
          <w:lang w:val="en-US"/>
        </w:rPr>
        <w:t>the FEMM (Women’s Rights and Gender Equality) Committee of the European Parliament adopted two opinions and two reports:</w:t>
      </w:r>
    </w:p>
    <w:p w14:paraId="448B97C4" w14:textId="77777777" w:rsidR="00F70639" w:rsidRDefault="00F70639" w:rsidP="006B09E5">
      <w:pPr>
        <w:spacing w:line="276" w:lineRule="auto"/>
        <w:jc w:val="both"/>
        <w:rPr>
          <w:lang w:val="en-US"/>
        </w:rPr>
      </w:pPr>
    </w:p>
    <w:p w14:paraId="4C917448" w14:textId="22E37266" w:rsidR="0075561B" w:rsidRDefault="00A44DA6" w:rsidP="006B09E5">
      <w:pPr>
        <w:pStyle w:val="ListParagraph"/>
        <w:numPr>
          <w:ilvl w:val="0"/>
          <w:numId w:val="34"/>
        </w:numPr>
        <w:spacing w:line="276" w:lineRule="auto"/>
        <w:jc w:val="both"/>
        <w:rPr>
          <w:lang w:val="en-GB"/>
        </w:rPr>
      </w:pPr>
      <w:hyperlink r:id="rId19" w:history="1">
        <w:r w:rsidR="0075561B" w:rsidRPr="0075561B">
          <w:rPr>
            <w:rStyle w:val="Hyperlink"/>
            <w:b/>
            <w:lang w:val="en-GB"/>
          </w:rPr>
          <w:t>Report on empowering girls through education</w:t>
        </w:r>
      </w:hyperlink>
      <w:r w:rsidR="0075561B">
        <w:rPr>
          <w:lang w:val="en-GB"/>
        </w:rPr>
        <w:t xml:space="preserve"> (23</w:t>
      </w:r>
      <w:r w:rsidR="0075561B" w:rsidRPr="0075561B">
        <w:rPr>
          <w:vertAlign w:val="superscript"/>
          <w:lang w:val="en-GB"/>
        </w:rPr>
        <w:t>rd</w:t>
      </w:r>
      <w:r w:rsidR="0075561B">
        <w:rPr>
          <w:lang w:val="en-GB"/>
        </w:rPr>
        <w:t xml:space="preserve"> June 2015). For instance, it calls on “</w:t>
      </w:r>
      <w:r w:rsidR="0075561B" w:rsidRPr="0075561B">
        <w:rPr>
          <w:i/>
          <w:lang w:val="en-GB"/>
        </w:rPr>
        <w:t xml:space="preserve">the Member States to ensure equal access to education for girls and boys, regardless of their age, gender, socio-economic status, cultural background or religion, and emphasises the need for European, national, and </w:t>
      </w:r>
      <w:r w:rsidR="0075561B" w:rsidRPr="0075561B">
        <w:rPr>
          <w:i/>
          <w:lang w:val="en-GB"/>
        </w:rPr>
        <w:lastRenderedPageBreak/>
        <w:t>local institutions to promote specific programmes to integrate marginalised communities in general in schools as well as, in particular, girls from those communities, since they often face multiple discrimination, and all minorities in European society; highlights the importance of ensuring that girls complete their secondary education, and emphasises the need for financial assistance programmes for economically disadvantaged families in order to prevent students dropping out of school, particularly girls</w:t>
      </w:r>
      <w:r w:rsidR="0075561B">
        <w:rPr>
          <w:lang w:val="en-GB"/>
        </w:rPr>
        <w:t xml:space="preserve">”. </w:t>
      </w:r>
    </w:p>
    <w:p w14:paraId="0326C022" w14:textId="77777777" w:rsidR="0075561B" w:rsidRDefault="0075561B" w:rsidP="006B09E5">
      <w:pPr>
        <w:pStyle w:val="ListParagraph"/>
        <w:spacing w:line="276" w:lineRule="auto"/>
        <w:jc w:val="both"/>
        <w:rPr>
          <w:lang w:val="en-GB"/>
        </w:rPr>
      </w:pPr>
    </w:p>
    <w:p w14:paraId="609EE13F" w14:textId="77777777" w:rsidR="0075561B" w:rsidRDefault="00A44DA6" w:rsidP="006B09E5">
      <w:pPr>
        <w:pStyle w:val="ListParagraph"/>
        <w:numPr>
          <w:ilvl w:val="0"/>
          <w:numId w:val="34"/>
        </w:numPr>
        <w:spacing w:line="276" w:lineRule="auto"/>
        <w:jc w:val="both"/>
        <w:rPr>
          <w:lang w:val="en-GB"/>
        </w:rPr>
      </w:pPr>
      <w:hyperlink r:id="rId20" w:history="1">
        <w:r w:rsidR="0075561B" w:rsidRPr="008C34B4">
          <w:rPr>
            <w:rStyle w:val="Hyperlink"/>
            <w:b/>
            <w:lang w:val="en-GB"/>
          </w:rPr>
          <w:t>Report on the application of Directive 2006/54/EC of the European Parliament and of the Council of 5 July 2006 on the implementation of the principle of equal opportunities and equal treatment of men and women in matters of employment and occupation</w:t>
        </w:r>
      </w:hyperlink>
      <w:r w:rsidR="0075561B">
        <w:rPr>
          <w:lang w:val="en-GB"/>
        </w:rPr>
        <w:t xml:space="preserve"> (25</w:t>
      </w:r>
      <w:r w:rsidR="0075561B" w:rsidRPr="0075561B">
        <w:rPr>
          <w:vertAlign w:val="superscript"/>
          <w:lang w:val="en-GB"/>
        </w:rPr>
        <w:t>th</w:t>
      </w:r>
      <w:r w:rsidR="0075561B">
        <w:rPr>
          <w:lang w:val="en-GB"/>
        </w:rPr>
        <w:t xml:space="preserve"> June 2015). The report makes several references to equality bodies. In particular, it mentions that </w:t>
      </w:r>
      <w:r w:rsidR="0075561B" w:rsidRPr="00A44DA6">
        <w:rPr>
          <w:b/>
          <w:lang w:val="en-GB"/>
        </w:rPr>
        <w:t>“</w:t>
      </w:r>
      <w:r w:rsidR="0075561B" w:rsidRPr="00A44DA6">
        <w:rPr>
          <w:b/>
          <w:i/>
          <w:lang w:val="en-GB"/>
        </w:rPr>
        <w:t>equality bodies should have the competences and adequate resources and personnel to monitor and report effectively and independently on the legislation which promotes equality between women and men; stresses that the independence of equality bodies needs to be ensured in all Member States, and that t</w:t>
      </w:r>
      <w:bookmarkStart w:id="13" w:name="_GoBack"/>
      <w:bookmarkEnd w:id="13"/>
      <w:r w:rsidR="0075561B" w:rsidRPr="00A44DA6">
        <w:rPr>
          <w:b/>
          <w:i/>
          <w:lang w:val="en-GB"/>
        </w:rPr>
        <w:t>he precise institutional form of these bodies is the responsibility of the Member States</w:t>
      </w:r>
      <w:r w:rsidR="0075561B" w:rsidRPr="00A44DA6">
        <w:rPr>
          <w:b/>
          <w:lang w:val="en-GB"/>
        </w:rPr>
        <w:t>”.</w:t>
      </w:r>
      <w:r w:rsidR="0075561B">
        <w:rPr>
          <w:lang w:val="en-GB"/>
        </w:rPr>
        <w:t xml:space="preserve"> </w:t>
      </w:r>
    </w:p>
    <w:p w14:paraId="4A341EE1" w14:textId="77777777" w:rsidR="0075561B" w:rsidRPr="008C34B4" w:rsidRDefault="0075561B" w:rsidP="006B09E5">
      <w:pPr>
        <w:pStyle w:val="ListParagraph"/>
        <w:spacing w:line="276" w:lineRule="auto"/>
        <w:jc w:val="both"/>
        <w:rPr>
          <w:lang w:val="en-GB"/>
        </w:rPr>
      </w:pPr>
    </w:p>
    <w:p w14:paraId="0436ECD4" w14:textId="6E88AC03" w:rsidR="00A24A95" w:rsidRDefault="00A44DA6" w:rsidP="006B09E5">
      <w:pPr>
        <w:pStyle w:val="ListParagraph"/>
        <w:numPr>
          <w:ilvl w:val="0"/>
          <w:numId w:val="34"/>
        </w:numPr>
        <w:spacing w:line="276" w:lineRule="auto"/>
        <w:jc w:val="both"/>
        <w:rPr>
          <w:lang w:val="en-GB"/>
        </w:rPr>
      </w:pPr>
      <w:hyperlink r:id="rId21" w:history="1">
        <w:r w:rsidR="00A24A95">
          <w:rPr>
            <w:rStyle w:val="Hyperlink"/>
            <w:b/>
            <w:lang w:val="en-GB"/>
          </w:rPr>
          <w:t>O</w:t>
        </w:r>
        <w:r w:rsidR="00A24A95" w:rsidRPr="00A24A95">
          <w:rPr>
            <w:rStyle w:val="Hyperlink"/>
            <w:b/>
            <w:lang w:val="en-GB"/>
          </w:rPr>
          <w:t>pinion on cohesion policy and marginalised communities</w:t>
        </w:r>
      </w:hyperlink>
      <w:r w:rsidR="00A24A95">
        <w:rPr>
          <w:b/>
          <w:lang w:val="en-GB"/>
        </w:rPr>
        <w:t xml:space="preserve"> </w:t>
      </w:r>
      <w:r w:rsidR="00A24A95" w:rsidRPr="00A24A95">
        <w:rPr>
          <w:lang w:val="en-GB"/>
        </w:rPr>
        <w:t>(15</w:t>
      </w:r>
      <w:r w:rsidR="00A24A95" w:rsidRPr="00A24A95">
        <w:rPr>
          <w:vertAlign w:val="superscript"/>
          <w:lang w:val="en-GB"/>
        </w:rPr>
        <w:t>th</w:t>
      </w:r>
      <w:r w:rsidR="00A24A95" w:rsidRPr="00A24A95">
        <w:rPr>
          <w:lang w:val="en-GB"/>
        </w:rPr>
        <w:t xml:space="preserve"> July 2015).</w:t>
      </w:r>
      <w:r w:rsidR="00A24A95">
        <w:rPr>
          <w:lang w:val="en-GB"/>
        </w:rPr>
        <w:t xml:space="preserve"> The opinion calls for “</w:t>
      </w:r>
      <w:r w:rsidR="00A24A95" w:rsidRPr="00A24A95">
        <w:rPr>
          <w:i/>
          <w:lang w:val="en-GB"/>
        </w:rPr>
        <w:t>a gender perspective and an intersectional analysis to be incorporated into all EU-funded integration and social inclusion initiatives, programmes, actions and funding arrangements so that the specific needs of women in marginalised communities can be better addressed and the variety of voices and perspectives of women in different structural positions and roles can be better captured</w:t>
      </w:r>
      <w:r w:rsidR="00A24A95">
        <w:rPr>
          <w:lang w:val="en-GB"/>
        </w:rPr>
        <w:t xml:space="preserve">”. </w:t>
      </w:r>
    </w:p>
    <w:p w14:paraId="7B5E5D06" w14:textId="77777777" w:rsidR="008C34B4" w:rsidRDefault="008C34B4" w:rsidP="006B09E5">
      <w:pPr>
        <w:pStyle w:val="ListParagraph"/>
        <w:spacing w:line="276" w:lineRule="auto"/>
        <w:jc w:val="both"/>
        <w:rPr>
          <w:lang w:val="en-GB"/>
        </w:rPr>
      </w:pPr>
    </w:p>
    <w:p w14:paraId="25DF22F1" w14:textId="77777777" w:rsidR="00AE1674" w:rsidRDefault="00A44DA6" w:rsidP="006B09E5">
      <w:pPr>
        <w:pStyle w:val="ListParagraph"/>
        <w:numPr>
          <w:ilvl w:val="0"/>
          <w:numId w:val="34"/>
        </w:numPr>
        <w:spacing w:line="276" w:lineRule="auto"/>
        <w:jc w:val="both"/>
        <w:rPr>
          <w:lang w:val="en-GB"/>
        </w:rPr>
      </w:pPr>
      <w:hyperlink r:id="rId22" w:history="1">
        <w:r w:rsidR="00A24A95" w:rsidRPr="008C34B4">
          <w:rPr>
            <w:rStyle w:val="Hyperlink"/>
            <w:b/>
            <w:lang w:val="en-GB"/>
          </w:rPr>
          <w:t xml:space="preserve">Opinion </w:t>
        </w:r>
        <w:r w:rsidR="008C34B4" w:rsidRPr="008C34B4">
          <w:rPr>
            <w:rStyle w:val="Hyperlink"/>
            <w:b/>
            <w:lang w:val="en-GB"/>
          </w:rPr>
          <w:t>on the EU Strategic Framework on Health and Safety at Work 2014-2020</w:t>
        </w:r>
      </w:hyperlink>
      <w:r w:rsidR="008C34B4">
        <w:rPr>
          <w:lang w:val="en-GB"/>
        </w:rPr>
        <w:t xml:space="preserve"> (15</w:t>
      </w:r>
      <w:r w:rsidR="008C34B4" w:rsidRPr="008C34B4">
        <w:rPr>
          <w:vertAlign w:val="superscript"/>
          <w:lang w:val="en-GB"/>
        </w:rPr>
        <w:t>th</w:t>
      </w:r>
      <w:r w:rsidR="008C34B4">
        <w:rPr>
          <w:lang w:val="en-GB"/>
        </w:rPr>
        <w:t xml:space="preserve"> July 2015). For instance, the opinion calls on</w:t>
      </w:r>
      <w:r w:rsidR="008C34B4" w:rsidRPr="008C34B4">
        <w:rPr>
          <w:lang w:val="en-GB"/>
        </w:rPr>
        <w:t xml:space="preserve"> </w:t>
      </w:r>
      <w:r w:rsidR="008C34B4">
        <w:rPr>
          <w:lang w:val="en-GB"/>
        </w:rPr>
        <w:t>“</w:t>
      </w:r>
      <w:r w:rsidR="008C34B4" w:rsidRPr="008C34B4">
        <w:rPr>
          <w:i/>
          <w:lang w:val="en-GB"/>
        </w:rPr>
        <w:t>the Member States to implement Commission Recommendation 92/131/EEC to promote awareness against sexual harassment, or other conduct based on sex and affecting dignity; calls on the Member States also to take action in the public sector in order to implement the Commission’s code of conduct, as an example to the private sector</w:t>
      </w:r>
      <w:r w:rsidR="008C34B4">
        <w:rPr>
          <w:lang w:val="en-GB"/>
        </w:rPr>
        <w:t>.”</w:t>
      </w:r>
      <w:r w:rsidR="008C34B4">
        <w:rPr>
          <w:lang w:val="en-GB"/>
        </w:rPr>
        <w:tab/>
      </w:r>
    </w:p>
    <w:p w14:paraId="154E8CDA" w14:textId="77777777" w:rsidR="00AE1674" w:rsidRPr="00AE1674" w:rsidRDefault="00AE1674" w:rsidP="006B09E5">
      <w:pPr>
        <w:pStyle w:val="ListParagraph"/>
        <w:spacing w:line="276" w:lineRule="auto"/>
        <w:rPr>
          <w:lang w:val="en-GB"/>
        </w:rPr>
      </w:pPr>
    </w:p>
    <w:p w14:paraId="0C7FD7BF" w14:textId="6C48BC5C" w:rsidR="00AE1674" w:rsidRDefault="00AE1674" w:rsidP="006B09E5">
      <w:pPr>
        <w:spacing w:line="276" w:lineRule="auto"/>
        <w:jc w:val="both"/>
        <w:rPr>
          <w:b/>
          <w:sz w:val="24"/>
          <w:lang w:val="en-GB"/>
        </w:rPr>
      </w:pPr>
      <w:r w:rsidRPr="00AE1674">
        <w:rPr>
          <w:b/>
          <w:sz w:val="24"/>
          <w:lang w:val="en-GB"/>
        </w:rPr>
        <w:t>Council of the European Union adopts conclusions on the gender pension gap</w:t>
      </w:r>
    </w:p>
    <w:p w14:paraId="42406361" w14:textId="77777777" w:rsidR="00F70639" w:rsidRPr="00AE1674" w:rsidRDefault="00F70639" w:rsidP="006B09E5">
      <w:pPr>
        <w:spacing w:line="276" w:lineRule="auto"/>
        <w:jc w:val="both"/>
        <w:rPr>
          <w:b/>
          <w:sz w:val="24"/>
          <w:lang w:val="en-GB"/>
        </w:rPr>
      </w:pPr>
    </w:p>
    <w:p w14:paraId="3BCB24D1" w14:textId="77777777" w:rsidR="00062097" w:rsidRDefault="00AE1674" w:rsidP="00310BFC">
      <w:pPr>
        <w:pBdr>
          <w:bottom w:val="dotted" w:sz="4" w:space="1" w:color="auto"/>
        </w:pBdr>
        <w:spacing w:line="276" w:lineRule="auto"/>
        <w:jc w:val="both"/>
        <w:rPr>
          <w:lang w:val="en-GB"/>
        </w:rPr>
      </w:pPr>
      <w:r>
        <w:rPr>
          <w:lang w:val="en-GB"/>
        </w:rPr>
        <w:t xml:space="preserve">On </w:t>
      </w:r>
      <w:r w:rsidR="006F2B63">
        <w:rPr>
          <w:lang w:val="en-GB"/>
        </w:rPr>
        <w:t>1</w:t>
      </w:r>
      <w:r>
        <w:rPr>
          <w:lang w:val="en-GB"/>
        </w:rPr>
        <w:t>4</w:t>
      </w:r>
      <w:r w:rsidRPr="00AE1674">
        <w:rPr>
          <w:vertAlign w:val="superscript"/>
          <w:lang w:val="en-GB"/>
        </w:rPr>
        <w:t>th</w:t>
      </w:r>
      <w:r>
        <w:rPr>
          <w:lang w:val="en-GB"/>
        </w:rPr>
        <w:t xml:space="preserve"> June 2015, the Council of the EU adopted conclusions calling on EU Member States to address the gender pension gap in the European Union and promote research and awareness-raising in this area. The full conclusions are available </w:t>
      </w:r>
      <w:hyperlink r:id="rId23" w:history="1">
        <w:r w:rsidRPr="00AE1674">
          <w:rPr>
            <w:rStyle w:val="Hyperlink"/>
            <w:lang w:val="en-GB"/>
          </w:rPr>
          <w:t>here</w:t>
        </w:r>
      </w:hyperlink>
      <w:r>
        <w:rPr>
          <w:lang w:val="en-GB"/>
        </w:rPr>
        <w:t>.</w:t>
      </w:r>
      <w:r>
        <w:rPr>
          <w:lang w:val="en-GB"/>
        </w:rPr>
        <w:tab/>
      </w:r>
    </w:p>
    <w:p w14:paraId="6FDAEC7F" w14:textId="77777777" w:rsidR="00310BFC" w:rsidRDefault="00310BFC" w:rsidP="00310BFC">
      <w:pPr>
        <w:pBdr>
          <w:bottom w:val="dotted" w:sz="4" w:space="1" w:color="auto"/>
        </w:pBdr>
        <w:spacing w:line="276" w:lineRule="auto"/>
        <w:jc w:val="both"/>
        <w:rPr>
          <w:lang w:val="en-GB"/>
        </w:rPr>
      </w:pPr>
    </w:p>
    <w:p w14:paraId="3B315E80" w14:textId="77777777" w:rsidR="00F70639" w:rsidRDefault="00F70639" w:rsidP="006B09E5">
      <w:pPr>
        <w:spacing w:line="276" w:lineRule="auto"/>
        <w:jc w:val="both"/>
        <w:rPr>
          <w:lang w:val="en-GB"/>
        </w:rPr>
      </w:pPr>
    </w:p>
    <w:p w14:paraId="6E4E1C61" w14:textId="77777777" w:rsidR="00062097" w:rsidRDefault="00062097" w:rsidP="006B09E5">
      <w:pPr>
        <w:pStyle w:val="Heading2"/>
        <w:spacing w:line="276" w:lineRule="auto"/>
        <w:rPr>
          <w:lang w:val="en-GB"/>
        </w:rPr>
      </w:pPr>
      <w:bookmarkStart w:id="14" w:name="_Ref425868054"/>
      <w:r>
        <w:rPr>
          <w:lang w:val="en-GB"/>
        </w:rPr>
        <w:t>Race and Ethnicity</w:t>
      </w:r>
      <w:bookmarkEnd w:id="14"/>
    </w:p>
    <w:p w14:paraId="1E7D69B9" w14:textId="77777777" w:rsidR="00F70639" w:rsidRDefault="00F70639" w:rsidP="006B09E5">
      <w:pPr>
        <w:spacing w:line="276" w:lineRule="auto"/>
        <w:rPr>
          <w:rFonts w:asciiTheme="majorHAnsi" w:eastAsiaTheme="majorEastAsia" w:hAnsiTheme="majorHAnsi" w:cstheme="majorBidi"/>
          <w:b/>
          <w:color w:val="BF8F00" w:themeColor="accent4" w:themeShade="BF"/>
          <w:sz w:val="28"/>
          <w:szCs w:val="26"/>
          <w:lang w:val="en-GB" w:eastAsia="en-US"/>
        </w:rPr>
      </w:pPr>
    </w:p>
    <w:p w14:paraId="5DEE4548" w14:textId="0B52EC51" w:rsidR="00F70639" w:rsidRPr="00F70639" w:rsidRDefault="00062097" w:rsidP="006B09E5">
      <w:pPr>
        <w:spacing w:line="276" w:lineRule="auto"/>
        <w:jc w:val="both"/>
        <w:rPr>
          <w:b/>
          <w:sz w:val="24"/>
          <w:lang w:val="en-US"/>
        </w:rPr>
      </w:pPr>
      <w:r w:rsidRPr="00F70639">
        <w:rPr>
          <w:b/>
          <w:sz w:val="24"/>
          <w:lang w:val="en-GB"/>
        </w:rPr>
        <w:t xml:space="preserve">Council of Europe – </w:t>
      </w:r>
      <w:r w:rsidR="00F70639">
        <w:rPr>
          <w:b/>
          <w:sz w:val="24"/>
          <w:lang w:val="en-GB"/>
        </w:rPr>
        <w:t xml:space="preserve">ECRI: </w:t>
      </w:r>
      <w:r w:rsidRPr="00F70639">
        <w:rPr>
          <w:b/>
          <w:sz w:val="24"/>
          <w:lang w:val="en-GB"/>
        </w:rPr>
        <w:t xml:space="preserve">Consultation </w:t>
      </w:r>
      <w:r w:rsidR="00F70639" w:rsidRPr="00F70639">
        <w:rPr>
          <w:b/>
          <w:sz w:val="24"/>
          <w:lang w:val="en-GB"/>
        </w:rPr>
        <w:t xml:space="preserve">on the next </w:t>
      </w:r>
      <w:r w:rsidR="00F70639" w:rsidRPr="00F70639">
        <w:rPr>
          <w:b/>
          <w:sz w:val="24"/>
          <w:lang w:val="en-US"/>
        </w:rPr>
        <w:t>draft of the ECRI General Policy Recommendation No. 16 on safeguarding irregularly present migrants from discrimination.</w:t>
      </w:r>
    </w:p>
    <w:p w14:paraId="18E4C196" w14:textId="77777777" w:rsidR="00F70639" w:rsidRDefault="00F70639" w:rsidP="006B09E5">
      <w:pPr>
        <w:spacing w:line="276" w:lineRule="auto"/>
        <w:rPr>
          <w:lang w:val="en-US"/>
        </w:rPr>
      </w:pPr>
    </w:p>
    <w:p w14:paraId="3C9460A2" w14:textId="0A413C1F" w:rsidR="00A975CF" w:rsidRDefault="00F70639" w:rsidP="00310BFC">
      <w:pPr>
        <w:spacing w:line="276" w:lineRule="auto"/>
        <w:jc w:val="both"/>
        <w:rPr>
          <w:lang w:val="en-US"/>
        </w:rPr>
      </w:pPr>
      <w:r>
        <w:rPr>
          <w:lang w:val="en-US"/>
        </w:rPr>
        <w:t>The European Commission against Racism and Intolerance (ECRI) is welcoming comments on the draft General Policy Recommendation No. 16 on safeguarding irregularly present migrants from discrimination by 14</w:t>
      </w:r>
      <w:r w:rsidRPr="00F70639">
        <w:rPr>
          <w:vertAlign w:val="superscript"/>
          <w:lang w:val="en-US"/>
        </w:rPr>
        <w:t>th</w:t>
      </w:r>
      <w:r>
        <w:rPr>
          <w:lang w:val="en-US"/>
        </w:rPr>
        <w:t xml:space="preserve"> September 2015. More information is available on </w:t>
      </w:r>
      <w:hyperlink r:id="rId24" w:history="1">
        <w:proofErr w:type="spellStart"/>
        <w:r w:rsidRPr="00F70639">
          <w:rPr>
            <w:rStyle w:val="Hyperlink"/>
            <w:lang w:val="en-US"/>
          </w:rPr>
          <w:t>Equinet’s</w:t>
        </w:r>
        <w:proofErr w:type="spellEnd"/>
        <w:r w:rsidRPr="00F70639">
          <w:rPr>
            <w:rStyle w:val="Hyperlink"/>
            <w:lang w:val="en-US"/>
          </w:rPr>
          <w:t xml:space="preserve"> Members’ Area</w:t>
        </w:r>
      </w:hyperlink>
      <w:r>
        <w:rPr>
          <w:lang w:val="en-US"/>
        </w:rPr>
        <w:t xml:space="preserve">. </w:t>
      </w:r>
      <w:bookmarkEnd w:id="10"/>
      <w:bookmarkEnd w:id="11"/>
    </w:p>
    <w:p w14:paraId="3CAFAF49" w14:textId="77777777" w:rsidR="00310BFC" w:rsidRPr="00F70639" w:rsidRDefault="00310BFC" w:rsidP="00310BFC">
      <w:pPr>
        <w:pBdr>
          <w:bottom w:val="dotted" w:sz="4" w:space="1" w:color="auto"/>
        </w:pBdr>
        <w:spacing w:line="276" w:lineRule="auto"/>
        <w:jc w:val="both"/>
        <w:rPr>
          <w:lang w:val="en-US"/>
        </w:rPr>
      </w:pPr>
    </w:p>
    <w:p w14:paraId="5FE284E5" w14:textId="7A3066BA" w:rsidR="00F70639" w:rsidRDefault="00F70639" w:rsidP="006B09E5">
      <w:pPr>
        <w:pStyle w:val="Heading2"/>
        <w:spacing w:line="276" w:lineRule="auto"/>
        <w:rPr>
          <w:lang w:val="en-GB"/>
        </w:rPr>
      </w:pPr>
      <w:bookmarkStart w:id="15" w:name="_Toc418770749"/>
      <w:bookmarkStart w:id="16" w:name="_Ref418784327"/>
      <w:bookmarkStart w:id="17" w:name="_Ref421267533"/>
    </w:p>
    <w:p w14:paraId="33EB7810" w14:textId="0AF69EF7" w:rsidR="004A7771" w:rsidRDefault="004A7771" w:rsidP="006B09E5">
      <w:pPr>
        <w:pStyle w:val="Heading2"/>
        <w:spacing w:line="276" w:lineRule="auto"/>
        <w:rPr>
          <w:lang w:val="en-GB"/>
        </w:rPr>
      </w:pPr>
      <w:bookmarkStart w:id="18" w:name="_Ref425868056"/>
      <w:r w:rsidRPr="009116E4">
        <w:rPr>
          <w:lang w:val="en-GB"/>
        </w:rPr>
        <w:t>Religion and Belief</w:t>
      </w:r>
      <w:bookmarkEnd w:id="15"/>
      <w:bookmarkEnd w:id="16"/>
      <w:bookmarkEnd w:id="17"/>
      <w:bookmarkEnd w:id="18"/>
      <w:r w:rsidRPr="009116E4">
        <w:rPr>
          <w:lang w:val="en-GB"/>
        </w:rPr>
        <w:br/>
      </w:r>
    </w:p>
    <w:p w14:paraId="4A4E8427" w14:textId="323D16FD" w:rsidR="006F2B63" w:rsidRDefault="00310BFC" w:rsidP="006B09E5">
      <w:pPr>
        <w:spacing w:line="276" w:lineRule="auto"/>
        <w:jc w:val="both"/>
        <w:rPr>
          <w:b/>
          <w:sz w:val="24"/>
          <w:lang w:val="en-US"/>
        </w:rPr>
      </w:pPr>
      <w:r>
        <w:rPr>
          <w:noProof/>
        </w:rPr>
        <w:drawing>
          <wp:anchor distT="0" distB="0" distL="114300" distR="114300" simplePos="0" relativeHeight="251661312" behindDoc="0" locked="0" layoutInCell="1" allowOverlap="1" wp14:anchorId="4E2987CE" wp14:editId="0D2134F5">
            <wp:simplePos x="0" y="0"/>
            <wp:positionH relativeFrom="margin">
              <wp:align>right</wp:align>
            </wp:positionH>
            <wp:positionV relativeFrom="margin">
              <wp:posOffset>1021080</wp:posOffset>
            </wp:positionV>
            <wp:extent cx="2357120" cy="1530985"/>
            <wp:effectExtent l="0" t="0" r="5080" b="0"/>
            <wp:wrapSquare wrapText="bothSides"/>
            <wp:docPr id="5" name="Picture 5" descr="http://ec.europa.eu/justice/newsroom/media/photos/jourova-timmerm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justice/newsroom/media/photos/jourova-timmermans.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57120" cy="1530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E15">
        <w:rPr>
          <w:b/>
          <w:sz w:val="24"/>
          <w:lang w:val="en-US"/>
        </w:rPr>
        <w:t xml:space="preserve">European Commission: </w:t>
      </w:r>
      <w:r w:rsidR="009116E4">
        <w:rPr>
          <w:b/>
          <w:sz w:val="24"/>
          <w:lang w:val="en-US"/>
        </w:rPr>
        <w:t xml:space="preserve">Statement of </w:t>
      </w:r>
      <w:proofErr w:type="spellStart"/>
      <w:r w:rsidR="006F2B63" w:rsidRPr="006F2B63">
        <w:rPr>
          <w:b/>
          <w:sz w:val="24"/>
          <w:lang w:val="en-US"/>
        </w:rPr>
        <w:t>Frans</w:t>
      </w:r>
      <w:proofErr w:type="spellEnd"/>
      <w:r w:rsidR="006F2B63" w:rsidRPr="006F2B63">
        <w:rPr>
          <w:b/>
          <w:sz w:val="24"/>
          <w:lang w:val="en-US"/>
        </w:rPr>
        <w:t xml:space="preserve"> Timmermans and </w:t>
      </w:r>
      <w:proofErr w:type="spellStart"/>
      <w:r w:rsidR="006F2B63" w:rsidRPr="006F2B63">
        <w:rPr>
          <w:b/>
          <w:sz w:val="24"/>
          <w:lang w:val="en-US"/>
        </w:rPr>
        <w:t>Věra</w:t>
      </w:r>
      <w:proofErr w:type="spellEnd"/>
      <w:r w:rsidR="006F2B63" w:rsidRPr="006F2B63">
        <w:rPr>
          <w:b/>
          <w:sz w:val="24"/>
          <w:lang w:val="en-US"/>
        </w:rPr>
        <w:t xml:space="preserve"> </w:t>
      </w:r>
      <w:proofErr w:type="spellStart"/>
      <w:r w:rsidR="006F2B63" w:rsidRPr="006F2B63">
        <w:rPr>
          <w:b/>
          <w:sz w:val="24"/>
          <w:lang w:val="en-US"/>
        </w:rPr>
        <w:t>Jourová</w:t>
      </w:r>
      <w:proofErr w:type="spellEnd"/>
      <w:r w:rsidR="006F2B63" w:rsidRPr="006F2B63">
        <w:rPr>
          <w:b/>
          <w:sz w:val="24"/>
          <w:lang w:val="en-US"/>
        </w:rPr>
        <w:t xml:space="preserve"> on anti-Semitism, hate speech and hate crime</w:t>
      </w:r>
    </w:p>
    <w:p w14:paraId="0FF859FD" w14:textId="77777777" w:rsidR="00F70639" w:rsidRPr="006F2B63" w:rsidRDefault="00F70639" w:rsidP="006B09E5">
      <w:pPr>
        <w:spacing w:line="276" w:lineRule="auto"/>
        <w:jc w:val="both"/>
        <w:rPr>
          <w:b/>
          <w:sz w:val="24"/>
          <w:lang w:val="en-US"/>
        </w:rPr>
      </w:pPr>
    </w:p>
    <w:p w14:paraId="20F29ADE" w14:textId="6F3E61B3" w:rsidR="009116E4" w:rsidRDefault="006F2B63" w:rsidP="006B09E5">
      <w:pPr>
        <w:spacing w:line="276" w:lineRule="auto"/>
        <w:jc w:val="both"/>
        <w:rPr>
          <w:lang w:val="en-US"/>
        </w:rPr>
      </w:pPr>
      <w:r>
        <w:rPr>
          <w:lang w:val="en-US"/>
        </w:rPr>
        <w:t>On 13</w:t>
      </w:r>
      <w:r w:rsidRPr="006F2B63">
        <w:rPr>
          <w:vertAlign w:val="superscript"/>
          <w:lang w:val="en-US"/>
        </w:rPr>
        <w:t>th</w:t>
      </w:r>
      <w:r>
        <w:rPr>
          <w:lang w:val="en-US"/>
        </w:rPr>
        <w:t xml:space="preserve"> July 2015, </w:t>
      </w:r>
      <w:proofErr w:type="spellStart"/>
      <w:r w:rsidRPr="006F2B63">
        <w:rPr>
          <w:lang w:val="en-US"/>
        </w:rPr>
        <w:t>Frans</w:t>
      </w:r>
      <w:proofErr w:type="spellEnd"/>
      <w:r w:rsidRPr="006F2B63">
        <w:rPr>
          <w:lang w:val="en-US"/>
        </w:rPr>
        <w:t xml:space="preserve"> Timmermans, First Vice-President of the European Commission, and </w:t>
      </w:r>
      <w:proofErr w:type="spellStart"/>
      <w:r w:rsidRPr="006F2B63">
        <w:rPr>
          <w:lang w:val="en-US"/>
        </w:rPr>
        <w:t>Věra</w:t>
      </w:r>
      <w:proofErr w:type="spellEnd"/>
      <w:r w:rsidRPr="006F2B63">
        <w:rPr>
          <w:lang w:val="en-US"/>
        </w:rPr>
        <w:t xml:space="preserve"> </w:t>
      </w:r>
      <w:proofErr w:type="spellStart"/>
      <w:r w:rsidRPr="006F2B63">
        <w:rPr>
          <w:lang w:val="en-US"/>
        </w:rPr>
        <w:t>Jourová</w:t>
      </w:r>
      <w:proofErr w:type="spellEnd"/>
      <w:r>
        <w:rPr>
          <w:lang w:val="en-US"/>
        </w:rPr>
        <w:t xml:space="preserve">, EU Commissioner for Justice, Consumers and Gender Equality </w:t>
      </w:r>
      <w:r w:rsidR="009116E4">
        <w:rPr>
          <w:lang w:val="en-US"/>
        </w:rPr>
        <w:t xml:space="preserve">published </w:t>
      </w:r>
      <w:hyperlink r:id="rId26" w:history="1">
        <w:r w:rsidR="009116E4" w:rsidRPr="009116E4">
          <w:rPr>
            <w:rStyle w:val="Hyperlink"/>
            <w:lang w:val="en-US"/>
          </w:rPr>
          <w:t>a statement</w:t>
        </w:r>
      </w:hyperlink>
      <w:r w:rsidR="009116E4">
        <w:rPr>
          <w:lang w:val="en-US"/>
        </w:rPr>
        <w:t xml:space="preserve"> recalling the role and efforts of the EU in combating anti-Semitism, hate speech and hate crime. The statement highlights that “t</w:t>
      </w:r>
      <w:r w:rsidR="009116E4" w:rsidRPr="009116E4">
        <w:rPr>
          <w:lang w:val="en-US"/>
        </w:rPr>
        <w:t>he Commission is actively engaged in awareness-raising. It supports Member States in monitoring incidents of hate crime and hate speech, and provides funding for training of public officials and for actions against racism and xenophobia. Moreover, EU legislation is in place to ensure that victims of hate crime get the help, support and protection they need.</w:t>
      </w:r>
      <w:r w:rsidR="009116E4">
        <w:rPr>
          <w:lang w:val="en-US"/>
        </w:rPr>
        <w:t>”</w:t>
      </w:r>
    </w:p>
    <w:p w14:paraId="7F110BBB" w14:textId="1D30C179" w:rsidR="006F2B63" w:rsidRDefault="009116E4" w:rsidP="006B09E5">
      <w:pPr>
        <w:spacing w:line="276" w:lineRule="auto"/>
        <w:jc w:val="both"/>
        <w:rPr>
          <w:lang w:val="en-US"/>
        </w:rPr>
      </w:pPr>
      <w:r>
        <w:rPr>
          <w:lang w:val="en-US"/>
        </w:rPr>
        <w:t xml:space="preserve">The statement also recalls the organisation of the </w:t>
      </w:r>
      <w:hyperlink r:id="rId27" w:history="1">
        <w:r w:rsidRPr="009116E4">
          <w:rPr>
            <w:rStyle w:val="Hyperlink"/>
            <w:lang w:val="en-US"/>
          </w:rPr>
          <w:t>first Annual Colloquium on Fundamental Rights</w:t>
        </w:r>
      </w:hyperlink>
      <w:r>
        <w:rPr>
          <w:lang w:val="en-US"/>
        </w:rPr>
        <w:t>, which will be held on 1</w:t>
      </w:r>
      <w:r w:rsidRPr="009116E4">
        <w:rPr>
          <w:vertAlign w:val="superscript"/>
          <w:lang w:val="en-US"/>
        </w:rPr>
        <w:t>st</w:t>
      </w:r>
      <w:r>
        <w:rPr>
          <w:lang w:val="en-US"/>
        </w:rPr>
        <w:t xml:space="preserve"> and 2</w:t>
      </w:r>
      <w:r w:rsidRPr="009116E4">
        <w:rPr>
          <w:vertAlign w:val="superscript"/>
          <w:lang w:val="en-US"/>
        </w:rPr>
        <w:t>nd</w:t>
      </w:r>
      <w:r>
        <w:rPr>
          <w:lang w:val="en-US"/>
        </w:rPr>
        <w:t xml:space="preserve"> October 2015 in Brussels and focus on antisemitism and anti-Muslim </w:t>
      </w:r>
      <w:r w:rsidR="00232E25">
        <w:rPr>
          <w:lang w:val="en-US"/>
        </w:rPr>
        <w:t>hatred in the EU.</w:t>
      </w:r>
    </w:p>
    <w:p w14:paraId="4DF96628" w14:textId="77777777" w:rsidR="00310BFC" w:rsidRPr="006F2B63" w:rsidRDefault="00310BFC" w:rsidP="00310BFC">
      <w:pPr>
        <w:pBdr>
          <w:bottom w:val="dotted" w:sz="4" w:space="1" w:color="auto"/>
        </w:pBdr>
        <w:spacing w:line="276" w:lineRule="auto"/>
        <w:jc w:val="both"/>
        <w:rPr>
          <w:lang w:val="en-US"/>
        </w:rPr>
      </w:pPr>
    </w:p>
    <w:p w14:paraId="487571A9" w14:textId="3133AFE6" w:rsidR="00EB2CCC" w:rsidRPr="00232E25" w:rsidRDefault="00310BFC" w:rsidP="006B09E5">
      <w:pPr>
        <w:pStyle w:val="Heading2"/>
        <w:spacing w:line="276" w:lineRule="auto"/>
        <w:rPr>
          <w:lang w:val="en-GB"/>
        </w:rPr>
      </w:pPr>
      <w:bookmarkStart w:id="19" w:name="_Toc418770750"/>
      <w:bookmarkStart w:id="20" w:name="_Ref418784334"/>
      <w:bookmarkStart w:id="21" w:name="_Ref421267538"/>
      <w:bookmarkStart w:id="22" w:name="_Ref425868057"/>
      <w:r>
        <w:rPr>
          <w:lang w:val="en-GB"/>
        </w:rPr>
        <w:br/>
      </w:r>
      <w:r w:rsidR="004A7771" w:rsidRPr="00232E25">
        <w:rPr>
          <w:lang w:val="en-GB"/>
        </w:rPr>
        <w:t>Disability</w:t>
      </w:r>
      <w:bookmarkEnd w:id="19"/>
      <w:bookmarkEnd w:id="20"/>
      <w:bookmarkEnd w:id="21"/>
      <w:bookmarkEnd w:id="22"/>
    </w:p>
    <w:p w14:paraId="0F7B6DF3" w14:textId="52898EE1" w:rsidR="0021158A" w:rsidRDefault="0034362B" w:rsidP="006B09E5">
      <w:pPr>
        <w:spacing w:line="276" w:lineRule="auto"/>
        <w:rPr>
          <w:b/>
          <w:sz w:val="24"/>
          <w:lang w:val="en-US"/>
        </w:rPr>
      </w:pPr>
      <w:r w:rsidRPr="006075A4">
        <w:rPr>
          <w:lang w:val="en-GB"/>
        </w:rPr>
        <w:br/>
      </w:r>
      <w:r w:rsidR="0021158A" w:rsidRPr="0021158A">
        <w:rPr>
          <w:b/>
          <w:sz w:val="24"/>
          <w:lang w:val="en-US"/>
        </w:rPr>
        <w:t>European Parliament: adoption of a written declaration on accessible tourism</w:t>
      </w:r>
    </w:p>
    <w:p w14:paraId="45A0F3E2" w14:textId="77777777" w:rsidR="00F70639" w:rsidRPr="0021158A" w:rsidRDefault="00F70639" w:rsidP="006B09E5">
      <w:pPr>
        <w:spacing w:line="276" w:lineRule="auto"/>
        <w:rPr>
          <w:b/>
          <w:sz w:val="24"/>
          <w:lang w:val="en-US"/>
        </w:rPr>
      </w:pPr>
    </w:p>
    <w:p w14:paraId="431BA762" w14:textId="7F923ABB" w:rsidR="005165D2" w:rsidRDefault="0021158A" w:rsidP="006B09E5">
      <w:pPr>
        <w:spacing w:line="276" w:lineRule="auto"/>
        <w:jc w:val="both"/>
        <w:rPr>
          <w:lang w:val="en-US"/>
        </w:rPr>
      </w:pPr>
      <w:r>
        <w:rPr>
          <w:lang w:val="en-US"/>
        </w:rPr>
        <w:t>On 24</w:t>
      </w:r>
      <w:r w:rsidRPr="0021158A">
        <w:rPr>
          <w:vertAlign w:val="superscript"/>
          <w:lang w:val="en-US"/>
        </w:rPr>
        <w:t>th</w:t>
      </w:r>
      <w:r>
        <w:rPr>
          <w:lang w:val="en-US"/>
        </w:rPr>
        <w:t xml:space="preserve"> July, 380 Members of the European Parliament adopted a </w:t>
      </w:r>
      <w:hyperlink r:id="rId28" w:history="1">
        <w:r w:rsidRPr="0021158A">
          <w:rPr>
            <w:rStyle w:val="Hyperlink"/>
            <w:lang w:val="en-US"/>
          </w:rPr>
          <w:t>written declaration on accessible tourism.</w:t>
        </w:r>
      </w:hyperlink>
      <w:r>
        <w:rPr>
          <w:lang w:val="en-US"/>
        </w:rPr>
        <w:t xml:space="preserve"> The declaration calls on the European Commission to raise awareness among economic operators and other stakeholders on the need to increase accessibility for travelers. </w:t>
      </w:r>
      <w:r w:rsidR="00232E25">
        <w:rPr>
          <w:lang w:val="en-US"/>
        </w:rPr>
        <w:tab/>
      </w:r>
    </w:p>
    <w:p w14:paraId="12F71FD7" w14:textId="77777777" w:rsidR="00F70639" w:rsidRDefault="00F70639" w:rsidP="00310BFC">
      <w:pPr>
        <w:pStyle w:val="Heading2"/>
        <w:pBdr>
          <w:bottom w:val="dotted" w:sz="4" w:space="1" w:color="auto"/>
        </w:pBdr>
        <w:spacing w:line="276" w:lineRule="auto"/>
        <w:rPr>
          <w:lang w:val="en-GB"/>
        </w:rPr>
      </w:pPr>
    </w:p>
    <w:p w14:paraId="73D0ED7C" w14:textId="77777777" w:rsidR="00310BFC" w:rsidRDefault="00310BFC" w:rsidP="006B09E5">
      <w:pPr>
        <w:pStyle w:val="Heading2"/>
        <w:spacing w:line="276" w:lineRule="auto"/>
        <w:rPr>
          <w:lang w:val="en-GB"/>
        </w:rPr>
      </w:pPr>
      <w:bookmarkStart w:id="23" w:name="_Ref425868058"/>
    </w:p>
    <w:p w14:paraId="4E1ABA7B" w14:textId="31AFAD6C" w:rsidR="003E3B16" w:rsidRDefault="008C34B4" w:rsidP="006B09E5">
      <w:pPr>
        <w:pStyle w:val="Heading2"/>
        <w:spacing w:line="276" w:lineRule="auto"/>
        <w:rPr>
          <w:lang w:val="en-GB"/>
        </w:rPr>
      </w:pPr>
      <w:r>
        <w:rPr>
          <w:lang w:val="en-GB"/>
        </w:rPr>
        <w:t>Other</w:t>
      </w:r>
      <w:bookmarkEnd w:id="23"/>
    </w:p>
    <w:p w14:paraId="74EA39AB" w14:textId="51009D74" w:rsidR="008C34B4" w:rsidRPr="004354AE" w:rsidRDefault="00310BFC" w:rsidP="004354AE">
      <w:pPr>
        <w:spacing w:line="276" w:lineRule="auto"/>
        <w:jc w:val="both"/>
        <w:rPr>
          <w:b/>
          <w:sz w:val="24"/>
          <w:lang w:val="en-US"/>
        </w:rPr>
      </w:pPr>
      <w:r>
        <w:rPr>
          <w:b/>
          <w:noProof/>
          <w:sz w:val="24"/>
        </w:rPr>
        <w:drawing>
          <wp:anchor distT="0" distB="0" distL="114300" distR="114300" simplePos="0" relativeHeight="251662336" behindDoc="0" locked="0" layoutInCell="1" allowOverlap="1" wp14:anchorId="65488854" wp14:editId="672EFEA3">
            <wp:simplePos x="0" y="0"/>
            <wp:positionH relativeFrom="margin">
              <wp:align>right</wp:align>
            </wp:positionH>
            <wp:positionV relativeFrom="margin">
              <wp:posOffset>6839453</wp:posOffset>
            </wp:positionV>
            <wp:extent cx="2380615" cy="1115695"/>
            <wp:effectExtent l="19050" t="19050" r="19685" b="273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0615" cy="11156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32E25">
        <w:rPr>
          <w:lang w:val="en-GB"/>
        </w:rPr>
        <w:br/>
      </w:r>
      <w:r w:rsidR="004354AE">
        <w:rPr>
          <w:b/>
          <w:sz w:val="24"/>
          <w:lang w:val="en-GB"/>
        </w:rPr>
        <w:t>No Hate Speech Movement</w:t>
      </w:r>
      <w:r w:rsidR="00232E25">
        <w:rPr>
          <w:b/>
          <w:sz w:val="24"/>
          <w:lang w:val="en-GB"/>
        </w:rPr>
        <w:t xml:space="preserve">: </w:t>
      </w:r>
      <w:r w:rsidR="008C34B4" w:rsidRPr="00232E25">
        <w:rPr>
          <w:b/>
          <w:sz w:val="24"/>
          <w:lang w:val="en-GB"/>
        </w:rPr>
        <w:t>European Action Day for Victims of Hate Crime</w:t>
      </w:r>
    </w:p>
    <w:p w14:paraId="4AB90F0D" w14:textId="70B557DC" w:rsidR="00F70639" w:rsidRPr="00232E25" w:rsidRDefault="00F70639" w:rsidP="006B09E5">
      <w:pPr>
        <w:spacing w:line="276" w:lineRule="auto"/>
        <w:rPr>
          <w:b/>
          <w:sz w:val="24"/>
          <w:lang w:val="en-GB"/>
        </w:rPr>
      </w:pPr>
    </w:p>
    <w:p w14:paraId="34EF1B49" w14:textId="27083F2F" w:rsidR="00232E25" w:rsidRDefault="00232E25" w:rsidP="004354AE">
      <w:pPr>
        <w:spacing w:line="276" w:lineRule="auto"/>
        <w:jc w:val="both"/>
        <w:rPr>
          <w:lang w:val="en-GB"/>
        </w:rPr>
      </w:pPr>
      <w:r>
        <w:rPr>
          <w:lang w:val="en-GB"/>
        </w:rPr>
        <w:t>22</w:t>
      </w:r>
      <w:r w:rsidRPr="00232E25">
        <w:rPr>
          <w:vertAlign w:val="superscript"/>
          <w:lang w:val="en-GB"/>
        </w:rPr>
        <w:t>nd</w:t>
      </w:r>
      <w:r>
        <w:rPr>
          <w:lang w:val="en-GB"/>
        </w:rPr>
        <w:t xml:space="preserve"> July 2015 marked the 4</w:t>
      </w:r>
      <w:r w:rsidRPr="00232E25">
        <w:rPr>
          <w:vertAlign w:val="superscript"/>
          <w:lang w:val="en-GB"/>
        </w:rPr>
        <w:t>th</w:t>
      </w:r>
      <w:r>
        <w:rPr>
          <w:lang w:val="en-GB"/>
        </w:rPr>
        <w:t xml:space="preserve"> anniversary of the attacks on Oslo and </w:t>
      </w:r>
      <w:proofErr w:type="spellStart"/>
      <w:r>
        <w:rPr>
          <w:lang w:val="en-GB"/>
        </w:rPr>
        <w:t>Utoya</w:t>
      </w:r>
      <w:proofErr w:type="spellEnd"/>
      <w:r>
        <w:rPr>
          <w:lang w:val="en-GB"/>
        </w:rPr>
        <w:t xml:space="preserve"> in Norway. </w:t>
      </w:r>
      <w:r w:rsidR="00FA30B0">
        <w:rPr>
          <w:lang w:val="en-GB"/>
        </w:rPr>
        <w:t>To commemorate this day, the Council of Europe</w:t>
      </w:r>
      <w:r w:rsidR="004354AE">
        <w:rPr>
          <w:lang w:val="en-GB"/>
        </w:rPr>
        <w:t>’s</w:t>
      </w:r>
      <w:r w:rsidR="007729A0">
        <w:rPr>
          <w:lang w:val="en-GB"/>
        </w:rPr>
        <w:t xml:space="preserve"> No Hate Speech Movement,</w:t>
      </w:r>
      <w:r w:rsidR="00FA30B0">
        <w:rPr>
          <w:lang w:val="en-GB"/>
        </w:rPr>
        <w:t xml:space="preserve"> </w:t>
      </w:r>
      <w:r w:rsidR="004354AE">
        <w:rPr>
          <w:lang w:val="en-GB"/>
        </w:rPr>
        <w:t>ran</w:t>
      </w:r>
      <w:r w:rsidR="00FA30B0">
        <w:rPr>
          <w:lang w:val="en-GB"/>
        </w:rPr>
        <w:t xml:space="preserve"> the </w:t>
      </w:r>
      <w:r w:rsidR="00FA30B0" w:rsidRPr="007729A0">
        <w:rPr>
          <w:b/>
          <w:lang w:val="en-GB"/>
        </w:rPr>
        <w:t>European Action Day for Victims of Hate Crime</w:t>
      </w:r>
      <w:r w:rsidR="00FA30B0">
        <w:rPr>
          <w:lang w:val="en-GB"/>
        </w:rPr>
        <w:t xml:space="preserve">. </w:t>
      </w:r>
      <w:r w:rsidR="007729A0">
        <w:rPr>
          <w:lang w:val="en-GB"/>
        </w:rPr>
        <w:t xml:space="preserve">This Action Day aims to commemorate the victims of the attacks, give voice to the victims and raise public awareness about hate crime and hate speech. </w:t>
      </w:r>
      <w:r w:rsidR="004354AE">
        <w:rPr>
          <w:lang w:val="en-GB"/>
        </w:rPr>
        <w:t xml:space="preserve">It also aims to gain the political support for the recognition of the European Day for Victims of Hate Crime. </w:t>
      </w:r>
      <w:r w:rsidR="00FA30B0">
        <w:rPr>
          <w:lang w:val="en-GB"/>
        </w:rPr>
        <w:t xml:space="preserve">More information is available </w:t>
      </w:r>
      <w:hyperlink r:id="rId30" w:history="1">
        <w:r w:rsidR="00FA30B0" w:rsidRPr="00FA30B0">
          <w:rPr>
            <w:rStyle w:val="Hyperlink"/>
            <w:lang w:val="en-GB"/>
          </w:rPr>
          <w:t>here</w:t>
        </w:r>
      </w:hyperlink>
      <w:r w:rsidR="00FA30B0">
        <w:rPr>
          <w:lang w:val="en-GB"/>
        </w:rPr>
        <w:t xml:space="preserve">.  </w:t>
      </w:r>
    </w:p>
    <w:p w14:paraId="770A62A5" w14:textId="77777777" w:rsidR="00EB2CCC" w:rsidRPr="00EB2CCC" w:rsidRDefault="00EB2CCC" w:rsidP="006B09E5">
      <w:pPr>
        <w:spacing w:line="276" w:lineRule="auto"/>
        <w:rPr>
          <w:lang w:val="en-GB"/>
        </w:rPr>
      </w:pPr>
    </w:p>
    <w:p w14:paraId="613A1BA6" w14:textId="77777777" w:rsidR="00E91D96" w:rsidRPr="006075A4" w:rsidRDefault="00E91D96" w:rsidP="006B09E5">
      <w:pPr>
        <w:pBdr>
          <w:bottom w:val="dotted" w:sz="36" w:space="1" w:color="auto"/>
        </w:pBdr>
        <w:spacing w:line="276" w:lineRule="auto"/>
        <w:rPr>
          <w:lang w:val="en-GB"/>
        </w:rPr>
      </w:pPr>
    </w:p>
    <w:p w14:paraId="0D439E6D" w14:textId="43517B1B" w:rsidR="004A7771" w:rsidRPr="006075A4" w:rsidRDefault="0021158A" w:rsidP="006B09E5">
      <w:pPr>
        <w:pStyle w:val="Heading1"/>
        <w:spacing w:line="276" w:lineRule="auto"/>
        <w:rPr>
          <w:lang w:val="en-GB"/>
        </w:rPr>
      </w:pPr>
      <w:bookmarkStart w:id="24" w:name="_Toc418770751"/>
      <w:bookmarkStart w:id="25" w:name="_Ref418784342"/>
      <w:bookmarkStart w:id="26" w:name="_Ref421267554"/>
      <w:bookmarkStart w:id="27" w:name="_Ref425868059"/>
      <w:r>
        <w:rPr>
          <w:lang w:val="en-GB"/>
        </w:rPr>
        <w:t>New resources</w:t>
      </w:r>
      <w:r w:rsidR="00E91D96" w:rsidRPr="006075A4">
        <w:rPr>
          <w:lang w:val="en-GB"/>
        </w:rPr>
        <w:t xml:space="preserve">, funding opportunities and </w:t>
      </w:r>
      <w:bookmarkEnd w:id="24"/>
      <w:bookmarkEnd w:id="25"/>
      <w:bookmarkEnd w:id="26"/>
      <w:r w:rsidR="00B53E15">
        <w:rPr>
          <w:lang w:val="en-GB"/>
        </w:rPr>
        <w:t>events</w:t>
      </w:r>
      <w:bookmarkEnd w:id="27"/>
    </w:p>
    <w:p w14:paraId="7BE4DE86" w14:textId="5B08BE30" w:rsidR="00566380" w:rsidRPr="006075A4" w:rsidRDefault="00566380" w:rsidP="006B09E5">
      <w:pPr>
        <w:pStyle w:val="Heading2"/>
        <w:spacing w:line="276" w:lineRule="auto"/>
        <w:rPr>
          <w:lang w:val="en-GB"/>
        </w:rPr>
      </w:pPr>
    </w:p>
    <w:p w14:paraId="66B7C019" w14:textId="7C4F51BC" w:rsidR="00F93FE2" w:rsidRDefault="00F93FE2" w:rsidP="006B09E5">
      <w:pPr>
        <w:pStyle w:val="Heading2"/>
        <w:spacing w:line="276" w:lineRule="auto"/>
        <w:rPr>
          <w:lang w:val="en-GB"/>
        </w:rPr>
      </w:pPr>
      <w:bookmarkStart w:id="28" w:name="_Ref425868063"/>
      <w:r w:rsidRPr="006075A4">
        <w:rPr>
          <w:lang w:val="en-GB"/>
        </w:rPr>
        <w:t>General information</w:t>
      </w:r>
      <w:bookmarkEnd w:id="28"/>
      <w:r w:rsidRPr="006075A4">
        <w:rPr>
          <w:lang w:val="en-GB"/>
        </w:rPr>
        <w:br/>
      </w:r>
    </w:p>
    <w:p w14:paraId="7C1ADD3A" w14:textId="24247440" w:rsidR="00B53E15" w:rsidRDefault="00B53E15" w:rsidP="006B09E5">
      <w:pPr>
        <w:spacing w:line="276" w:lineRule="auto"/>
        <w:jc w:val="both"/>
        <w:rPr>
          <w:rFonts w:eastAsia="Calibri"/>
          <w:b/>
          <w:sz w:val="24"/>
          <w:lang w:val="en-GB"/>
        </w:rPr>
      </w:pPr>
      <w:r w:rsidRPr="00B53E15">
        <w:rPr>
          <w:rFonts w:eastAsia="Calibri"/>
          <w:b/>
          <w:sz w:val="24"/>
          <w:lang w:val="en-GB"/>
        </w:rPr>
        <w:t>Event: European Commission Annual Legal Seminar on gender equality and anti-discrimination law, Brussels, Tuesday 24</w:t>
      </w:r>
      <w:r w:rsidRPr="00B53E15">
        <w:rPr>
          <w:rFonts w:eastAsia="Calibri"/>
          <w:b/>
          <w:sz w:val="24"/>
          <w:vertAlign w:val="superscript"/>
          <w:lang w:val="en-GB"/>
        </w:rPr>
        <w:t>th</w:t>
      </w:r>
      <w:r w:rsidRPr="00B53E15">
        <w:rPr>
          <w:rFonts w:eastAsia="Calibri"/>
          <w:b/>
          <w:sz w:val="24"/>
          <w:lang w:val="en-GB"/>
        </w:rPr>
        <w:t xml:space="preserve"> November 2015</w:t>
      </w:r>
    </w:p>
    <w:p w14:paraId="3C963B86" w14:textId="77777777" w:rsidR="00F70639" w:rsidRPr="00B53E15" w:rsidRDefault="00F70639" w:rsidP="006B09E5">
      <w:pPr>
        <w:spacing w:line="276" w:lineRule="auto"/>
        <w:jc w:val="both"/>
        <w:rPr>
          <w:rFonts w:eastAsia="Calibri"/>
          <w:b/>
          <w:sz w:val="24"/>
          <w:lang w:val="en-GB"/>
        </w:rPr>
      </w:pPr>
    </w:p>
    <w:p w14:paraId="7ADCDA17" w14:textId="77777777" w:rsidR="00EC73B6" w:rsidRDefault="00B53E15" w:rsidP="006B09E5">
      <w:pPr>
        <w:spacing w:line="276" w:lineRule="auto"/>
        <w:jc w:val="both"/>
        <w:rPr>
          <w:rFonts w:eastAsia="Calibri"/>
          <w:lang w:val="en-GB"/>
        </w:rPr>
      </w:pPr>
      <w:r w:rsidRPr="00B53E15">
        <w:rPr>
          <w:rFonts w:eastAsia="Calibri"/>
          <w:lang w:val="en-GB"/>
        </w:rPr>
        <w:t>The seminar is organised in cooperation with the European Network of Legal Experts in gender eq</w:t>
      </w:r>
      <w:r>
        <w:rPr>
          <w:rFonts w:eastAsia="Calibri"/>
          <w:lang w:val="en-GB"/>
        </w:rPr>
        <w:t xml:space="preserve">uality and non-discrimination. </w:t>
      </w:r>
      <w:r w:rsidRPr="00B53E15">
        <w:rPr>
          <w:rFonts w:eastAsia="Calibri"/>
          <w:lang w:val="en-GB"/>
        </w:rPr>
        <w:t xml:space="preserve">The purpose of the seminar is to </w:t>
      </w:r>
      <w:r w:rsidRPr="00EC73B6">
        <w:rPr>
          <w:rFonts w:eastAsia="Calibri"/>
          <w:b/>
          <w:lang w:val="en-GB"/>
        </w:rPr>
        <w:t>provide an update on issues concerning the implementation of the EU non-discrimination and gender equality Directives</w:t>
      </w:r>
      <w:r w:rsidRPr="00B53E15">
        <w:rPr>
          <w:rFonts w:eastAsia="Calibri"/>
          <w:lang w:val="en-GB"/>
        </w:rPr>
        <w:t>. It will bring together representatives of national governments, national equality bodies, experts from the Network of Le</w:t>
      </w:r>
      <w:r>
        <w:rPr>
          <w:rFonts w:eastAsia="Calibri"/>
          <w:lang w:val="en-GB"/>
        </w:rPr>
        <w:t xml:space="preserve">gal Experts in gender equality </w:t>
      </w:r>
      <w:r w:rsidRPr="00B53E15">
        <w:rPr>
          <w:rFonts w:eastAsia="Calibri"/>
          <w:lang w:val="en-GB"/>
        </w:rPr>
        <w:t>and non-discrimination, representatives of NGOs and Commission officials.  It will assess current legal developments and look to future prospects in the area of anti-disc</w:t>
      </w:r>
      <w:r w:rsidR="00EC73B6">
        <w:rPr>
          <w:rFonts w:eastAsia="Calibri"/>
          <w:lang w:val="en-GB"/>
        </w:rPr>
        <w:t>rimination and gender equality.</w:t>
      </w:r>
    </w:p>
    <w:p w14:paraId="3E221541" w14:textId="77777777" w:rsidR="00F70639" w:rsidRDefault="00F70639" w:rsidP="006B09E5">
      <w:pPr>
        <w:spacing w:line="276" w:lineRule="auto"/>
        <w:jc w:val="both"/>
        <w:rPr>
          <w:rFonts w:eastAsia="Calibri"/>
          <w:lang w:val="en-GB"/>
        </w:rPr>
      </w:pPr>
    </w:p>
    <w:p w14:paraId="6DFC2CBE" w14:textId="05A79414" w:rsidR="00EC73B6" w:rsidRDefault="00B53E15" w:rsidP="006B09E5">
      <w:pPr>
        <w:spacing w:line="276" w:lineRule="auto"/>
        <w:jc w:val="both"/>
        <w:rPr>
          <w:rFonts w:eastAsia="Calibri"/>
          <w:lang w:val="en-GB"/>
        </w:rPr>
      </w:pPr>
      <w:r w:rsidRPr="00B53E15">
        <w:rPr>
          <w:rFonts w:eastAsia="Calibri"/>
          <w:lang w:val="en-GB"/>
        </w:rPr>
        <w:t xml:space="preserve">In addition to plenary sessions, there will be </w:t>
      </w:r>
      <w:r w:rsidRPr="00EC73B6">
        <w:rPr>
          <w:rFonts w:eastAsia="Calibri"/>
          <w:b/>
          <w:lang w:val="en-GB"/>
        </w:rPr>
        <w:t>five parallel wor</w:t>
      </w:r>
      <w:r w:rsidR="00EC73B6" w:rsidRPr="00EC73B6">
        <w:rPr>
          <w:rFonts w:eastAsia="Calibri"/>
          <w:b/>
          <w:lang w:val="en-GB"/>
        </w:rPr>
        <w:t>kshops</w:t>
      </w:r>
      <w:r w:rsidR="00EC73B6">
        <w:rPr>
          <w:rFonts w:eastAsia="Calibri"/>
          <w:lang w:val="en-GB"/>
        </w:rPr>
        <w:t xml:space="preserve"> on the following topics:</w:t>
      </w:r>
    </w:p>
    <w:p w14:paraId="68938083" w14:textId="44A16AFD" w:rsidR="00B53E15" w:rsidRDefault="00B53E15" w:rsidP="006B09E5">
      <w:pPr>
        <w:spacing w:line="276" w:lineRule="auto"/>
        <w:jc w:val="both"/>
        <w:rPr>
          <w:rFonts w:eastAsia="Calibri"/>
          <w:lang w:val="en-GB"/>
        </w:rPr>
      </w:pPr>
      <w:r w:rsidRPr="00B53E15">
        <w:rPr>
          <w:rFonts w:eastAsia="Calibri"/>
          <w:lang w:val="en-GB"/>
        </w:rPr>
        <w:t xml:space="preserve">1.   </w:t>
      </w:r>
      <w:r w:rsidR="00EC73B6">
        <w:rPr>
          <w:rFonts w:eastAsia="Calibri"/>
          <w:lang w:val="en-GB"/>
        </w:rPr>
        <w:t xml:space="preserve">    Update on European case Law</w:t>
      </w:r>
      <w:r w:rsidR="00EC73B6">
        <w:rPr>
          <w:rFonts w:eastAsia="Calibri"/>
          <w:lang w:val="en-GB"/>
        </w:rPr>
        <w:tab/>
      </w:r>
      <w:r w:rsidR="00EC73B6">
        <w:rPr>
          <w:rFonts w:eastAsia="Calibri"/>
          <w:lang w:val="en-GB"/>
        </w:rPr>
        <w:br/>
      </w:r>
      <w:r w:rsidRPr="00B53E15">
        <w:rPr>
          <w:rFonts w:eastAsia="Calibri"/>
          <w:lang w:val="en-GB"/>
        </w:rPr>
        <w:t>2.       Reasona</w:t>
      </w:r>
      <w:r w:rsidR="00EC73B6">
        <w:rPr>
          <w:rFonts w:eastAsia="Calibri"/>
          <w:lang w:val="en-GB"/>
        </w:rPr>
        <w:t>ble accommodation in employment</w:t>
      </w:r>
      <w:r w:rsidR="00EC73B6">
        <w:rPr>
          <w:rFonts w:eastAsia="Calibri"/>
          <w:lang w:val="en-GB"/>
        </w:rPr>
        <w:tab/>
      </w:r>
      <w:r w:rsidR="00EC73B6">
        <w:rPr>
          <w:rFonts w:eastAsia="Calibri"/>
          <w:lang w:val="en-GB"/>
        </w:rPr>
        <w:br/>
      </w:r>
      <w:r w:rsidRPr="00B53E15">
        <w:rPr>
          <w:rFonts w:eastAsia="Calibri"/>
          <w:lang w:val="en-GB"/>
        </w:rPr>
        <w:t>3.       Laws to facilitate work-l</w:t>
      </w:r>
      <w:r w:rsidR="00EC73B6">
        <w:rPr>
          <w:rFonts w:eastAsia="Calibri"/>
          <w:lang w:val="en-GB"/>
        </w:rPr>
        <w:t>ife balance for working parents</w:t>
      </w:r>
      <w:r w:rsidR="00EC73B6">
        <w:rPr>
          <w:rFonts w:eastAsia="Calibri"/>
          <w:lang w:val="en-GB"/>
        </w:rPr>
        <w:tab/>
      </w:r>
      <w:r w:rsidR="00EC73B6">
        <w:rPr>
          <w:rFonts w:eastAsia="Calibri"/>
          <w:lang w:val="en-GB"/>
        </w:rPr>
        <w:br/>
      </w:r>
      <w:r w:rsidRPr="00B53E15">
        <w:rPr>
          <w:rFonts w:eastAsia="Calibri"/>
          <w:lang w:val="en-GB"/>
        </w:rPr>
        <w:t>4.       Disability law outside employment with particular rega</w:t>
      </w:r>
      <w:r w:rsidR="00EC73B6">
        <w:rPr>
          <w:rFonts w:eastAsia="Calibri"/>
          <w:lang w:val="en-GB"/>
        </w:rPr>
        <w:t>rd to reasonable accommodation</w:t>
      </w:r>
      <w:r w:rsidR="00EC73B6">
        <w:rPr>
          <w:rFonts w:eastAsia="Calibri"/>
          <w:lang w:val="en-GB"/>
        </w:rPr>
        <w:tab/>
      </w:r>
      <w:r w:rsidR="00EC73B6">
        <w:rPr>
          <w:rFonts w:eastAsia="Calibri"/>
          <w:lang w:val="en-GB"/>
        </w:rPr>
        <w:br/>
      </w:r>
      <w:r w:rsidRPr="00B53E15">
        <w:rPr>
          <w:rFonts w:eastAsia="Calibri"/>
          <w:lang w:val="en-GB"/>
        </w:rPr>
        <w:t>5.       Istanbul Convention on combating and pr</w:t>
      </w:r>
      <w:r w:rsidR="00462517">
        <w:rPr>
          <w:rFonts w:eastAsia="Calibri"/>
          <w:lang w:val="en-GB"/>
        </w:rPr>
        <w:t>eventing violence against women</w:t>
      </w:r>
    </w:p>
    <w:p w14:paraId="40E7760F" w14:textId="77777777" w:rsidR="00F70639" w:rsidRDefault="00F70639" w:rsidP="00310BFC">
      <w:pPr>
        <w:pBdr>
          <w:bottom w:val="dotted" w:sz="4" w:space="1" w:color="auto"/>
        </w:pBdr>
        <w:spacing w:line="276" w:lineRule="auto"/>
        <w:jc w:val="both"/>
        <w:rPr>
          <w:rFonts w:eastAsia="Calibri"/>
          <w:lang w:val="en-GB"/>
        </w:rPr>
      </w:pPr>
    </w:p>
    <w:p w14:paraId="2F742AE3" w14:textId="77777777" w:rsidR="007C2E97" w:rsidRPr="007C2E97" w:rsidRDefault="007C2E97" w:rsidP="006B09E5">
      <w:pPr>
        <w:spacing w:line="276" w:lineRule="auto"/>
        <w:jc w:val="both"/>
        <w:rPr>
          <w:rFonts w:eastAsia="Calibri"/>
          <w:lang w:val="en-GB"/>
        </w:rPr>
      </w:pPr>
    </w:p>
    <w:p w14:paraId="304BAFCC" w14:textId="62A3FC19" w:rsidR="00462517" w:rsidRDefault="00F93FE2" w:rsidP="006B09E5">
      <w:pPr>
        <w:pStyle w:val="Heading2"/>
        <w:spacing w:line="276" w:lineRule="auto"/>
        <w:rPr>
          <w:lang w:val="en-GB"/>
        </w:rPr>
      </w:pPr>
      <w:bookmarkStart w:id="29" w:name="_Ref425868065"/>
      <w:r w:rsidRPr="006075A4">
        <w:rPr>
          <w:lang w:val="en-GB"/>
        </w:rPr>
        <w:t>Gender Equality</w:t>
      </w:r>
      <w:bookmarkEnd w:id="29"/>
      <w:r w:rsidRPr="006075A4">
        <w:rPr>
          <w:lang w:val="en-GB"/>
        </w:rPr>
        <w:br/>
      </w:r>
    </w:p>
    <w:p w14:paraId="480B46DD" w14:textId="0127843B" w:rsidR="00462517" w:rsidRDefault="00462517" w:rsidP="006B09E5">
      <w:pPr>
        <w:pStyle w:val="ListParagraph"/>
        <w:numPr>
          <w:ilvl w:val="0"/>
          <w:numId w:val="35"/>
        </w:numPr>
        <w:spacing w:line="276" w:lineRule="auto"/>
        <w:jc w:val="both"/>
        <w:rPr>
          <w:lang w:val="en-GB"/>
        </w:rPr>
      </w:pPr>
      <w:r>
        <w:rPr>
          <w:b/>
          <w:lang w:val="en-GB"/>
        </w:rPr>
        <w:t xml:space="preserve">European Commission - </w:t>
      </w:r>
      <w:hyperlink r:id="rId31" w:history="1">
        <w:r w:rsidRPr="00462517">
          <w:rPr>
            <w:rStyle w:val="Hyperlink"/>
            <w:b/>
            <w:lang w:val="en-GB"/>
          </w:rPr>
          <w:t>Report</w:t>
        </w:r>
      </w:hyperlink>
      <w:r w:rsidRPr="00462517">
        <w:rPr>
          <w:b/>
          <w:lang w:val="en-GB"/>
        </w:rPr>
        <w:t xml:space="preserve">: </w:t>
      </w:r>
      <w:r w:rsidRPr="00462517">
        <w:rPr>
          <w:lang w:val="en-GB"/>
        </w:rPr>
        <w:t>Forum on the Future of Gender Equality in the European Union (held in Brussels on 20</w:t>
      </w:r>
      <w:r w:rsidRPr="00462517">
        <w:rPr>
          <w:vertAlign w:val="superscript"/>
          <w:lang w:val="en-GB"/>
        </w:rPr>
        <w:t>th</w:t>
      </w:r>
      <w:r w:rsidRPr="00462517">
        <w:rPr>
          <w:lang w:val="en-GB"/>
        </w:rPr>
        <w:t xml:space="preserve"> and 21</w:t>
      </w:r>
      <w:r w:rsidRPr="00462517">
        <w:rPr>
          <w:vertAlign w:val="superscript"/>
          <w:lang w:val="en-GB"/>
        </w:rPr>
        <w:t>st</w:t>
      </w:r>
      <w:r w:rsidRPr="00462517">
        <w:rPr>
          <w:lang w:val="en-GB"/>
        </w:rPr>
        <w:t xml:space="preserve"> April 2015)</w:t>
      </w:r>
    </w:p>
    <w:p w14:paraId="1A1EBB6A" w14:textId="77777777" w:rsidR="00462517" w:rsidRDefault="00462517" w:rsidP="006B09E5">
      <w:pPr>
        <w:pStyle w:val="ListParagraph"/>
        <w:spacing w:line="276" w:lineRule="auto"/>
        <w:rPr>
          <w:lang w:val="en-GB"/>
        </w:rPr>
      </w:pPr>
    </w:p>
    <w:p w14:paraId="3AABBAC2" w14:textId="22623CB8" w:rsidR="00462517" w:rsidRDefault="00462517" w:rsidP="006B09E5">
      <w:pPr>
        <w:pStyle w:val="ListParagraph"/>
        <w:numPr>
          <w:ilvl w:val="0"/>
          <w:numId w:val="35"/>
        </w:numPr>
        <w:spacing w:line="276" w:lineRule="auto"/>
        <w:jc w:val="both"/>
        <w:rPr>
          <w:lang w:val="en-US"/>
        </w:rPr>
      </w:pPr>
      <w:r w:rsidRPr="00462517">
        <w:rPr>
          <w:b/>
          <w:lang w:val="en-GB"/>
        </w:rPr>
        <w:t>European Commission</w:t>
      </w:r>
      <w:r>
        <w:rPr>
          <w:lang w:val="en-GB"/>
        </w:rPr>
        <w:t xml:space="preserve"> - </w:t>
      </w:r>
      <w:hyperlink r:id="rId32" w:history="1">
        <w:r w:rsidRPr="00462517">
          <w:rPr>
            <w:rStyle w:val="Hyperlink"/>
            <w:b/>
            <w:lang w:val="en-GB"/>
          </w:rPr>
          <w:t>Call for proposals</w:t>
        </w:r>
      </w:hyperlink>
      <w:r>
        <w:rPr>
          <w:lang w:val="en-GB"/>
        </w:rPr>
        <w:t xml:space="preserve">: </w:t>
      </w:r>
      <w:r w:rsidRPr="00462517">
        <w:rPr>
          <w:lang w:val="en-US"/>
        </w:rPr>
        <w:t>Daphne call - Action grants to support transnational projects to combat sexual harassment and sexual violence against women</w:t>
      </w:r>
      <w:r>
        <w:rPr>
          <w:lang w:val="en-US"/>
        </w:rPr>
        <w:t xml:space="preserve"> (Deadline: 13</w:t>
      </w:r>
      <w:r w:rsidRPr="00462517">
        <w:rPr>
          <w:vertAlign w:val="superscript"/>
          <w:lang w:val="en-US"/>
        </w:rPr>
        <w:t>th</w:t>
      </w:r>
      <w:r>
        <w:rPr>
          <w:lang w:val="en-US"/>
        </w:rPr>
        <w:t xml:space="preserve"> October 2015)</w:t>
      </w:r>
    </w:p>
    <w:p w14:paraId="2DC02E58" w14:textId="77777777" w:rsidR="00462517" w:rsidRPr="00462517" w:rsidRDefault="00462517" w:rsidP="006B09E5">
      <w:pPr>
        <w:pStyle w:val="ListParagraph"/>
        <w:spacing w:line="276" w:lineRule="auto"/>
        <w:rPr>
          <w:lang w:val="en-US"/>
        </w:rPr>
      </w:pPr>
    </w:p>
    <w:p w14:paraId="1A149343" w14:textId="28EFFFA2" w:rsidR="00462517" w:rsidRPr="00462517" w:rsidRDefault="00462517" w:rsidP="006B09E5">
      <w:pPr>
        <w:pStyle w:val="ListParagraph"/>
        <w:numPr>
          <w:ilvl w:val="0"/>
          <w:numId w:val="35"/>
        </w:numPr>
        <w:spacing w:line="276" w:lineRule="auto"/>
        <w:jc w:val="both"/>
        <w:rPr>
          <w:lang w:val="en-US"/>
        </w:rPr>
      </w:pPr>
      <w:r w:rsidRPr="00462517">
        <w:rPr>
          <w:b/>
          <w:lang w:val="en-US"/>
        </w:rPr>
        <w:t xml:space="preserve">European Institute for Gender Equality </w:t>
      </w:r>
      <w:r>
        <w:rPr>
          <w:b/>
          <w:lang w:val="en-US"/>
        </w:rPr>
        <w:t>-</w:t>
      </w:r>
      <w:r w:rsidRPr="00462517">
        <w:rPr>
          <w:b/>
          <w:lang w:val="en-US"/>
        </w:rPr>
        <w:t xml:space="preserve"> </w:t>
      </w:r>
      <w:hyperlink r:id="rId33" w:history="1">
        <w:r w:rsidRPr="00462517">
          <w:rPr>
            <w:rStyle w:val="Hyperlink"/>
            <w:b/>
            <w:lang w:val="en-US"/>
          </w:rPr>
          <w:t>Procurement</w:t>
        </w:r>
      </w:hyperlink>
      <w:r>
        <w:rPr>
          <w:lang w:val="en-US"/>
        </w:rPr>
        <w:t>: Study on the economic benefits of gender equality in the European Union (Deadline: 14</w:t>
      </w:r>
      <w:r w:rsidRPr="00462517">
        <w:rPr>
          <w:vertAlign w:val="superscript"/>
          <w:lang w:val="en-US"/>
        </w:rPr>
        <w:t>th</w:t>
      </w:r>
      <w:r>
        <w:rPr>
          <w:lang w:val="en-US"/>
        </w:rPr>
        <w:t xml:space="preserve"> August 2015)</w:t>
      </w:r>
    </w:p>
    <w:p w14:paraId="074A15B6" w14:textId="77777777" w:rsidR="00462517" w:rsidRDefault="00462517" w:rsidP="00310BFC">
      <w:pPr>
        <w:pBdr>
          <w:bottom w:val="dotted" w:sz="4" w:space="1" w:color="auto"/>
        </w:pBdr>
        <w:rPr>
          <w:lang w:val="en-GB"/>
        </w:rPr>
      </w:pPr>
    </w:p>
    <w:p w14:paraId="26EFDC27" w14:textId="77777777" w:rsidR="00310BFC" w:rsidRDefault="00310BFC" w:rsidP="004354AE">
      <w:pPr>
        <w:rPr>
          <w:lang w:val="en-GB"/>
        </w:rPr>
      </w:pPr>
      <w:bookmarkStart w:id="30" w:name="_Ref425868066"/>
    </w:p>
    <w:p w14:paraId="026CC0A6" w14:textId="77777777" w:rsidR="004354AE" w:rsidRDefault="004354AE" w:rsidP="004354AE">
      <w:pPr>
        <w:rPr>
          <w:lang w:val="en-GB"/>
        </w:rPr>
      </w:pPr>
    </w:p>
    <w:p w14:paraId="21275A3A" w14:textId="77777777" w:rsidR="004354AE" w:rsidRDefault="004354AE" w:rsidP="004354AE">
      <w:pPr>
        <w:rPr>
          <w:lang w:val="en-GB"/>
        </w:rPr>
      </w:pPr>
    </w:p>
    <w:p w14:paraId="7DBD2634" w14:textId="77777777" w:rsidR="004354AE" w:rsidRDefault="004354AE" w:rsidP="006B09E5">
      <w:pPr>
        <w:pStyle w:val="Heading2"/>
        <w:spacing w:line="276" w:lineRule="auto"/>
        <w:rPr>
          <w:lang w:val="en-GB"/>
        </w:rPr>
      </w:pPr>
    </w:p>
    <w:p w14:paraId="1F4DF171" w14:textId="1DC9A770" w:rsidR="00F93FE2" w:rsidRDefault="00F93FE2" w:rsidP="006B09E5">
      <w:pPr>
        <w:pStyle w:val="Heading2"/>
        <w:spacing w:line="276" w:lineRule="auto"/>
        <w:rPr>
          <w:lang w:val="en-GB"/>
        </w:rPr>
      </w:pPr>
      <w:r>
        <w:rPr>
          <w:lang w:val="en-GB"/>
        </w:rPr>
        <w:t>Race/ethnic origin</w:t>
      </w:r>
      <w:bookmarkEnd w:id="30"/>
    </w:p>
    <w:p w14:paraId="5C29298F" w14:textId="77777777" w:rsidR="0082437A" w:rsidRDefault="0082437A" w:rsidP="006B09E5">
      <w:pPr>
        <w:spacing w:line="276" w:lineRule="auto"/>
        <w:rPr>
          <w:lang w:val="en-GB"/>
        </w:rPr>
      </w:pPr>
    </w:p>
    <w:p w14:paraId="496F36E6" w14:textId="6C6BE88D" w:rsidR="007C2E97" w:rsidRDefault="007C2E97" w:rsidP="006B09E5">
      <w:pPr>
        <w:pStyle w:val="ListParagraph"/>
        <w:numPr>
          <w:ilvl w:val="0"/>
          <w:numId w:val="36"/>
        </w:numPr>
        <w:spacing w:line="276" w:lineRule="auto"/>
        <w:jc w:val="both"/>
        <w:rPr>
          <w:lang w:val="en-GB"/>
        </w:rPr>
      </w:pPr>
      <w:r w:rsidRPr="007C2E97">
        <w:rPr>
          <w:b/>
          <w:lang w:val="en-GB"/>
        </w:rPr>
        <w:t xml:space="preserve">European Commission </w:t>
      </w:r>
      <w:r w:rsidR="001904AB">
        <w:rPr>
          <w:b/>
          <w:lang w:val="en-GB"/>
        </w:rPr>
        <w:t xml:space="preserve">- </w:t>
      </w:r>
      <w:hyperlink r:id="rId34" w:history="1">
        <w:r w:rsidRPr="007C2E97">
          <w:rPr>
            <w:rStyle w:val="Hyperlink"/>
            <w:b/>
            <w:lang w:val="en-GB"/>
          </w:rPr>
          <w:t>Call for tenders</w:t>
        </w:r>
      </w:hyperlink>
      <w:r w:rsidRPr="007C2E97">
        <w:rPr>
          <w:b/>
          <w:lang w:val="en-GB"/>
        </w:rPr>
        <w:t>:</w:t>
      </w:r>
      <w:r>
        <w:rPr>
          <w:lang w:val="en-GB"/>
        </w:rPr>
        <w:t xml:space="preserve"> </w:t>
      </w:r>
      <w:r w:rsidRPr="007C2E97">
        <w:rPr>
          <w:lang w:val="en-GB"/>
        </w:rPr>
        <w:t>Pilot project — capacity building for Roma civil society and strengthening its involvement in the monitoring of national Roma integration strategies</w:t>
      </w:r>
      <w:r>
        <w:rPr>
          <w:lang w:val="en-GB"/>
        </w:rPr>
        <w:t xml:space="preserve"> (Deadline: 9</w:t>
      </w:r>
      <w:r w:rsidRPr="007C2E97">
        <w:rPr>
          <w:vertAlign w:val="superscript"/>
          <w:lang w:val="en-GB"/>
        </w:rPr>
        <w:t>th</w:t>
      </w:r>
      <w:r>
        <w:rPr>
          <w:lang w:val="en-GB"/>
        </w:rPr>
        <w:t xml:space="preserve"> October 2015)</w:t>
      </w:r>
    </w:p>
    <w:p w14:paraId="41114651" w14:textId="77777777" w:rsidR="007C2E97" w:rsidRDefault="007C2E97" w:rsidP="006B09E5">
      <w:pPr>
        <w:pStyle w:val="ListParagraph"/>
        <w:spacing w:line="276" w:lineRule="auto"/>
        <w:rPr>
          <w:lang w:val="en-GB"/>
        </w:rPr>
      </w:pPr>
    </w:p>
    <w:p w14:paraId="6A76C35F" w14:textId="55D5C9DF" w:rsidR="007C2E97" w:rsidRDefault="007C2E97" w:rsidP="006B09E5">
      <w:pPr>
        <w:pStyle w:val="ListParagraph"/>
        <w:numPr>
          <w:ilvl w:val="0"/>
          <w:numId w:val="36"/>
        </w:numPr>
        <w:spacing w:line="276" w:lineRule="auto"/>
        <w:jc w:val="both"/>
        <w:rPr>
          <w:lang w:val="en-GB"/>
        </w:rPr>
      </w:pPr>
      <w:r>
        <w:rPr>
          <w:b/>
          <w:lang w:val="en-GB"/>
        </w:rPr>
        <w:t xml:space="preserve">European Commission </w:t>
      </w:r>
      <w:r w:rsidR="001904AB">
        <w:rPr>
          <w:b/>
          <w:lang w:val="en-GB"/>
        </w:rPr>
        <w:t xml:space="preserve">- </w:t>
      </w:r>
      <w:hyperlink r:id="rId35" w:history="1">
        <w:r w:rsidRPr="007C2E97">
          <w:rPr>
            <w:rStyle w:val="Hyperlink"/>
            <w:b/>
            <w:lang w:val="en-GB"/>
          </w:rPr>
          <w:t>Action grants</w:t>
        </w:r>
      </w:hyperlink>
      <w:r w:rsidRPr="007C2E97">
        <w:rPr>
          <w:b/>
          <w:lang w:val="en-GB"/>
        </w:rPr>
        <w:t>:</w:t>
      </w:r>
      <w:r>
        <w:rPr>
          <w:lang w:val="en-GB"/>
        </w:rPr>
        <w:t xml:space="preserve"> R</w:t>
      </w:r>
      <w:r w:rsidRPr="007C2E97">
        <w:rPr>
          <w:lang w:val="en-GB"/>
        </w:rPr>
        <w:t>estricted call (Member-States) to support MS activitie</w:t>
      </w:r>
      <w:r>
        <w:rPr>
          <w:lang w:val="en-GB"/>
        </w:rPr>
        <w:t>s to promote Roma integration (Deadline: 10</w:t>
      </w:r>
      <w:r w:rsidRPr="007C2E97">
        <w:rPr>
          <w:vertAlign w:val="superscript"/>
          <w:lang w:val="en-GB"/>
        </w:rPr>
        <w:t>th</w:t>
      </w:r>
      <w:r>
        <w:rPr>
          <w:lang w:val="en-GB"/>
        </w:rPr>
        <w:t xml:space="preserve"> September 2015)</w:t>
      </w:r>
    </w:p>
    <w:p w14:paraId="471499F6" w14:textId="77777777" w:rsidR="007C2E97" w:rsidRPr="007C2E97" w:rsidRDefault="007C2E97" w:rsidP="006B09E5">
      <w:pPr>
        <w:pStyle w:val="ListParagraph"/>
        <w:spacing w:line="276" w:lineRule="auto"/>
        <w:rPr>
          <w:lang w:val="en-GB"/>
        </w:rPr>
      </w:pPr>
    </w:p>
    <w:p w14:paraId="3C3E8F84" w14:textId="740C5D14" w:rsidR="007C2E97" w:rsidRDefault="001904AB" w:rsidP="006B09E5">
      <w:pPr>
        <w:pStyle w:val="ListParagraph"/>
        <w:numPr>
          <w:ilvl w:val="0"/>
          <w:numId w:val="36"/>
        </w:numPr>
        <w:spacing w:line="276" w:lineRule="auto"/>
        <w:jc w:val="both"/>
        <w:rPr>
          <w:lang w:val="en-GB"/>
        </w:rPr>
      </w:pPr>
      <w:r>
        <w:rPr>
          <w:b/>
          <w:lang w:val="en-GB"/>
        </w:rPr>
        <w:t>Council of Europe</w:t>
      </w:r>
      <w:r w:rsidR="007C2E97" w:rsidRPr="001904AB">
        <w:rPr>
          <w:b/>
          <w:lang w:val="en-GB"/>
        </w:rPr>
        <w:t xml:space="preserve"> </w:t>
      </w:r>
      <w:r>
        <w:rPr>
          <w:b/>
          <w:lang w:val="en-GB"/>
        </w:rPr>
        <w:t>-</w:t>
      </w:r>
      <w:r w:rsidR="007C2E97" w:rsidRPr="001904AB">
        <w:rPr>
          <w:b/>
          <w:lang w:val="en-GB"/>
        </w:rPr>
        <w:t xml:space="preserve"> European Commission agai</w:t>
      </w:r>
      <w:r w:rsidRPr="001904AB">
        <w:rPr>
          <w:b/>
          <w:lang w:val="en-GB"/>
        </w:rPr>
        <w:t>ns</w:t>
      </w:r>
      <w:r>
        <w:rPr>
          <w:b/>
          <w:lang w:val="en-GB"/>
        </w:rPr>
        <w:t>t Racism and Intolerance (ECRI) -</w:t>
      </w:r>
      <w:r>
        <w:rPr>
          <w:lang w:val="en-GB"/>
        </w:rPr>
        <w:t xml:space="preserve"> </w:t>
      </w:r>
      <w:hyperlink r:id="rId36" w:history="1">
        <w:r w:rsidRPr="001904AB">
          <w:rPr>
            <w:rStyle w:val="Hyperlink"/>
            <w:lang w:val="en-GB"/>
          </w:rPr>
          <w:t>Annual Report 2014</w:t>
        </w:r>
      </w:hyperlink>
    </w:p>
    <w:p w14:paraId="4DF623CD" w14:textId="77777777" w:rsidR="001904AB" w:rsidRPr="001904AB" w:rsidRDefault="001904AB" w:rsidP="006B09E5">
      <w:pPr>
        <w:pStyle w:val="ListParagraph"/>
        <w:spacing w:line="276" w:lineRule="auto"/>
        <w:rPr>
          <w:lang w:val="en-GB"/>
        </w:rPr>
      </w:pPr>
    </w:p>
    <w:p w14:paraId="169E045C" w14:textId="4CE81167" w:rsidR="007C2E97" w:rsidRPr="00F70639" w:rsidRDefault="001904AB" w:rsidP="006B09E5">
      <w:pPr>
        <w:pStyle w:val="ListParagraph"/>
        <w:numPr>
          <w:ilvl w:val="0"/>
          <w:numId w:val="36"/>
        </w:numPr>
        <w:spacing w:line="276" w:lineRule="auto"/>
        <w:jc w:val="both"/>
        <w:rPr>
          <w:lang w:val="en-GB"/>
        </w:rPr>
      </w:pPr>
      <w:r>
        <w:rPr>
          <w:b/>
          <w:lang w:val="en-GB"/>
        </w:rPr>
        <w:t xml:space="preserve">Council of Europe - </w:t>
      </w:r>
      <w:r w:rsidRPr="001904AB">
        <w:rPr>
          <w:b/>
          <w:lang w:val="en-GB"/>
        </w:rPr>
        <w:t>European Commission agains</w:t>
      </w:r>
      <w:r>
        <w:rPr>
          <w:b/>
          <w:lang w:val="en-GB"/>
        </w:rPr>
        <w:t>t Racism and Intolerance (ECRI)</w:t>
      </w:r>
      <w:r w:rsidRPr="001904AB">
        <w:rPr>
          <w:lang w:val="en-GB"/>
        </w:rPr>
        <w:t xml:space="preserve"> -</w:t>
      </w:r>
      <w:r>
        <w:rPr>
          <w:b/>
          <w:lang w:val="en-GB"/>
        </w:rPr>
        <w:t xml:space="preserve"> </w:t>
      </w:r>
      <w:hyperlink r:id="rId37" w:history="1">
        <w:r w:rsidRPr="001904AB">
          <w:rPr>
            <w:rStyle w:val="Hyperlink"/>
            <w:b/>
            <w:lang w:val="en-GB"/>
          </w:rPr>
          <w:t>Study</w:t>
        </w:r>
      </w:hyperlink>
      <w:r>
        <w:rPr>
          <w:b/>
          <w:lang w:val="en-GB"/>
        </w:rPr>
        <w:t xml:space="preserve"> </w:t>
      </w:r>
      <w:r w:rsidRPr="001904AB">
        <w:rPr>
          <w:lang w:val="en-GB"/>
        </w:rPr>
        <w:t>“Cooperation for effectiveness: local authorities and national specialised bodies combating racism and intolerance”</w:t>
      </w:r>
    </w:p>
    <w:p w14:paraId="4719F23F" w14:textId="77777777" w:rsidR="007C2E97" w:rsidRPr="007C2E97" w:rsidRDefault="007C2E97" w:rsidP="00310BFC">
      <w:pPr>
        <w:pBdr>
          <w:bottom w:val="dotted" w:sz="4" w:space="1" w:color="auto"/>
        </w:pBdr>
        <w:spacing w:line="276" w:lineRule="auto"/>
        <w:rPr>
          <w:lang w:val="en-US"/>
        </w:rPr>
      </w:pPr>
    </w:p>
    <w:p w14:paraId="5ADD9696" w14:textId="77777777" w:rsidR="00310BFC" w:rsidRDefault="00310BFC" w:rsidP="006B09E5">
      <w:pPr>
        <w:pStyle w:val="Heading2"/>
        <w:spacing w:line="276" w:lineRule="auto"/>
        <w:rPr>
          <w:lang w:val="en-GB"/>
        </w:rPr>
      </w:pPr>
      <w:bookmarkStart w:id="31" w:name="_Ref425868067"/>
    </w:p>
    <w:p w14:paraId="48BFA356" w14:textId="77777777" w:rsidR="00F93FE2" w:rsidRPr="006075A4" w:rsidRDefault="00F93FE2" w:rsidP="006B09E5">
      <w:pPr>
        <w:pStyle w:val="Heading2"/>
        <w:spacing w:line="276" w:lineRule="auto"/>
        <w:rPr>
          <w:rFonts w:ascii="Calibri" w:eastAsia="Calibri" w:hAnsi="Calibri" w:cs="Times New Roman"/>
          <w:color w:val="auto"/>
          <w:sz w:val="22"/>
          <w:szCs w:val="22"/>
          <w:lang w:val="en-GB"/>
        </w:rPr>
      </w:pPr>
      <w:r w:rsidRPr="006075A4">
        <w:rPr>
          <w:lang w:val="en-GB"/>
        </w:rPr>
        <w:t>Sexual Orientation and Gender Identity</w:t>
      </w:r>
      <w:bookmarkEnd w:id="31"/>
      <w:r w:rsidRPr="006075A4">
        <w:rPr>
          <w:lang w:val="en-GB"/>
        </w:rPr>
        <w:br/>
      </w:r>
    </w:p>
    <w:p w14:paraId="38D6DE95" w14:textId="13BB15FC" w:rsidR="00F93FE2" w:rsidRDefault="00F70639" w:rsidP="006B09E5">
      <w:pPr>
        <w:pStyle w:val="ListParagraph"/>
        <w:numPr>
          <w:ilvl w:val="0"/>
          <w:numId w:val="37"/>
        </w:numPr>
        <w:spacing w:line="276" w:lineRule="auto"/>
        <w:jc w:val="both"/>
        <w:rPr>
          <w:lang w:val="en-GB"/>
        </w:rPr>
      </w:pPr>
      <w:r w:rsidRPr="00F70639">
        <w:rPr>
          <w:b/>
          <w:lang w:val="en-GB"/>
        </w:rPr>
        <w:t xml:space="preserve">Council of Europe - </w:t>
      </w:r>
      <w:hyperlink r:id="rId38" w:history="1">
        <w:r w:rsidRPr="00F70639">
          <w:rPr>
            <w:rStyle w:val="Hyperlink"/>
            <w:b/>
            <w:lang w:val="en-GB"/>
          </w:rPr>
          <w:t>Online database</w:t>
        </w:r>
      </w:hyperlink>
      <w:r>
        <w:rPr>
          <w:lang w:val="en-GB"/>
        </w:rPr>
        <w:t xml:space="preserve">: </w:t>
      </w:r>
      <w:r w:rsidRPr="003C5416">
        <w:rPr>
          <w:lang w:val="en-GB"/>
        </w:rPr>
        <w:t>Good practices and promising policies on combatting discrimination on grounds of sexual orient</w:t>
      </w:r>
      <w:r>
        <w:rPr>
          <w:lang w:val="en-GB"/>
        </w:rPr>
        <w:t>ation or gender identity (SOGI)</w:t>
      </w:r>
    </w:p>
    <w:p w14:paraId="0B47146E" w14:textId="77777777" w:rsidR="00F70639" w:rsidRPr="00310BFC" w:rsidRDefault="00F70639" w:rsidP="00310BFC">
      <w:pPr>
        <w:pBdr>
          <w:bottom w:val="dotted" w:sz="4" w:space="1" w:color="auto"/>
        </w:pBdr>
        <w:spacing w:line="276" w:lineRule="auto"/>
        <w:jc w:val="both"/>
        <w:rPr>
          <w:lang w:val="en-GB"/>
        </w:rPr>
      </w:pPr>
    </w:p>
    <w:p w14:paraId="7255106E" w14:textId="77777777" w:rsidR="00310BFC" w:rsidRDefault="00310BFC" w:rsidP="006B09E5">
      <w:pPr>
        <w:pStyle w:val="Heading2"/>
        <w:spacing w:line="276" w:lineRule="auto"/>
        <w:rPr>
          <w:lang w:val="en-GB"/>
        </w:rPr>
      </w:pPr>
      <w:bookmarkStart w:id="32" w:name="_Ref425868068"/>
    </w:p>
    <w:p w14:paraId="2625C7AE" w14:textId="77777777" w:rsidR="00F93FE2" w:rsidRDefault="00F93FE2" w:rsidP="006B09E5">
      <w:pPr>
        <w:pStyle w:val="Heading2"/>
        <w:spacing w:line="276" w:lineRule="auto"/>
        <w:rPr>
          <w:lang w:val="en-GB"/>
        </w:rPr>
      </w:pPr>
      <w:r w:rsidRPr="006075A4">
        <w:rPr>
          <w:lang w:val="en-GB"/>
        </w:rPr>
        <w:t>Disability</w:t>
      </w:r>
      <w:bookmarkEnd w:id="32"/>
      <w:r w:rsidRPr="006075A4">
        <w:rPr>
          <w:rFonts w:ascii="Calibri" w:eastAsia="Calibri" w:hAnsi="Calibri" w:cs="Times New Roman"/>
          <w:color w:val="auto"/>
          <w:sz w:val="22"/>
          <w:szCs w:val="22"/>
          <w:lang w:val="en-GB"/>
        </w:rPr>
        <w:br/>
      </w:r>
    </w:p>
    <w:p w14:paraId="6A766682" w14:textId="008F0207" w:rsidR="00F70639" w:rsidRPr="00F70639" w:rsidRDefault="00F70639" w:rsidP="006B09E5">
      <w:pPr>
        <w:pStyle w:val="ListParagraph"/>
        <w:numPr>
          <w:ilvl w:val="0"/>
          <w:numId w:val="37"/>
        </w:numPr>
        <w:spacing w:line="276" w:lineRule="auto"/>
        <w:rPr>
          <w:lang w:val="en-GB"/>
        </w:rPr>
      </w:pPr>
      <w:r w:rsidRPr="00F70639">
        <w:rPr>
          <w:b/>
          <w:lang w:val="en-GB"/>
        </w:rPr>
        <w:t>FRA – European Union Agency for Fundamental Rights Agency</w:t>
      </w:r>
      <w:r>
        <w:rPr>
          <w:lang w:val="en-GB"/>
        </w:rPr>
        <w:t xml:space="preserve"> – </w:t>
      </w:r>
      <w:hyperlink r:id="rId39" w:history="1">
        <w:r w:rsidRPr="00F70639">
          <w:rPr>
            <w:rStyle w:val="Hyperlink"/>
            <w:b/>
            <w:lang w:val="en-GB"/>
          </w:rPr>
          <w:t>Website</w:t>
        </w:r>
      </w:hyperlink>
      <w:r>
        <w:rPr>
          <w:lang w:val="en-GB"/>
        </w:rPr>
        <w:t>: EU Framework for the UN Convention on the Rights of Persons with Disabilities</w:t>
      </w:r>
    </w:p>
    <w:p w14:paraId="6C53EA1D" w14:textId="77777777" w:rsidR="00B07813" w:rsidRPr="006075A4" w:rsidRDefault="00B07813" w:rsidP="006B09E5">
      <w:pPr>
        <w:pBdr>
          <w:bottom w:val="dotted" w:sz="36" w:space="1" w:color="auto"/>
        </w:pBdr>
        <w:spacing w:line="276" w:lineRule="auto"/>
        <w:rPr>
          <w:lang w:val="en-GB"/>
        </w:rPr>
      </w:pPr>
    </w:p>
    <w:p w14:paraId="6A49563D" w14:textId="77777777" w:rsidR="00B07813" w:rsidRPr="006075A4" w:rsidRDefault="00B07813" w:rsidP="006B09E5">
      <w:pPr>
        <w:pStyle w:val="Heading1"/>
        <w:spacing w:line="276" w:lineRule="auto"/>
        <w:rPr>
          <w:lang w:val="en-GB"/>
        </w:rPr>
      </w:pPr>
      <w:bookmarkStart w:id="33" w:name="_Toc418770756"/>
      <w:bookmarkStart w:id="34" w:name="_Ref418784375"/>
      <w:bookmarkStart w:id="35" w:name="_Ref421267634"/>
      <w:bookmarkStart w:id="36" w:name="_Ref425868069"/>
      <w:r w:rsidRPr="006075A4">
        <w:rPr>
          <w:lang w:val="en-GB"/>
        </w:rPr>
        <w:t>Recent case-law</w:t>
      </w:r>
      <w:bookmarkEnd w:id="33"/>
      <w:bookmarkEnd w:id="34"/>
      <w:bookmarkEnd w:id="35"/>
      <w:bookmarkEnd w:id="36"/>
    </w:p>
    <w:p w14:paraId="1A7E5E2B" w14:textId="77777777" w:rsidR="00AB116C" w:rsidRPr="006075A4" w:rsidRDefault="00AB116C" w:rsidP="006B09E5">
      <w:pPr>
        <w:pStyle w:val="Heading2"/>
        <w:spacing w:line="276" w:lineRule="auto"/>
        <w:rPr>
          <w:lang w:val="en-GB"/>
        </w:rPr>
      </w:pPr>
      <w:bookmarkStart w:id="37" w:name="_Toc418770757"/>
      <w:bookmarkStart w:id="38" w:name="_Ref418784385"/>
    </w:p>
    <w:p w14:paraId="5E641C49" w14:textId="6F33C33D" w:rsidR="00542158" w:rsidRDefault="00B07813" w:rsidP="006B09E5">
      <w:pPr>
        <w:pStyle w:val="Heading2"/>
        <w:spacing w:line="276" w:lineRule="auto"/>
        <w:rPr>
          <w:lang w:val="en-GB"/>
        </w:rPr>
      </w:pPr>
      <w:bookmarkStart w:id="39" w:name="_Ref421267642"/>
      <w:r w:rsidRPr="006075A4">
        <w:rPr>
          <w:lang w:val="en-GB"/>
        </w:rPr>
        <w:t>Court of Justice</w:t>
      </w:r>
      <w:r w:rsidR="00B62088">
        <w:rPr>
          <w:lang w:val="en-GB"/>
        </w:rPr>
        <w:t xml:space="preserve"> of the European Union</w:t>
      </w:r>
      <w:r w:rsidRPr="006075A4">
        <w:rPr>
          <w:lang w:val="en-GB"/>
        </w:rPr>
        <w:t xml:space="preserve"> (ECJ)</w:t>
      </w:r>
      <w:bookmarkEnd w:id="37"/>
      <w:bookmarkEnd w:id="38"/>
      <w:bookmarkEnd w:id="39"/>
    </w:p>
    <w:p w14:paraId="5F335AA0" w14:textId="77777777" w:rsidR="0082437A" w:rsidRDefault="0082437A" w:rsidP="006B09E5">
      <w:pPr>
        <w:spacing w:line="276" w:lineRule="auto"/>
        <w:rPr>
          <w:lang w:val="en-GB"/>
        </w:rPr>
      </w:pPr>
    </w:p>
    <w:p w14:paraId="6E14DB87" w14:textId="707ED4D8" w:rsidR="00D515AA" w:rsidRPr="00D515AA" w:rsidRDefault="00D515AA" w:rsidP="006B09E5">
      <w:pPr>
        <w:pStyle w:val="ListParagraph"/>
        <w:numPr>
          <w:ilvl w:val="0"/>
          <w:numId w:val="37"/>
        </w:numPr>
        <w:spacing w:line="276" w:lineRule="auto"/>
        <w:jc w:val="both"/>
        <w:rPr>
          <w:b/>
          <w:sz w:val="24"/>
          <w:lang w:val="en-US"/>
        </w:rPr>
      </w:pPr>
      <w:r w:rsidRPr="00D515AA">
        <w:rPr>
          <w:b/>
          <w:sz w:val="24"/>
          <w:lang w:val="en-US"/>
        </w:rPr>
        <w:t>Judgment in Case C-153/14</w:t>
      </w:r>
      <w:r>
        <w:rPr>
          <w:b/>
          <w:sz w:val="24"/>
          <w:lang w:val="en-US"/>
        </w:rPr>
        <w:t xml:space="preserve"> </w:t>
      </w:r>
      <w:r w:rsidRPr="00D515AA">
        <w:rPr>
          <w:b/>
          <w:sz w:val="24"/>
          <w:lang w:val="en-US"/>
        </w:rPr>
        <w:t xml:space="preserve">Minister van </w:t>
      </w:r>
      <w:proofErr w:type="spellStart"/>
      <w:r w:rsidRPr="00D515AA">
        <w:rPr>
          <w:b/>
          <w:sz w:val="24"/>
          <w:lang w:val="en-US"/>
        </w:rPr>
        <w:t>Buitenlandse</w:t>
      </w:r>
      <w:proofErr w:type="spellEnd"/>
      <w:r w:rsidRPr="00D515AA">
        <w:rPr>
          <w:b/>
          <w:sz w:val="24"/>
          <w:lang w:val="en-US"/>
        </w:rPr>
        <w:t xml:space="preserve"> </w:t>
      </w:r>
      <w:proofErr w:type="spellStart"/>
      <w:r w:rsidRPr="00D515AA">
        <w:rPr>
          <w:b/>
          <w:sz w:val="24"/>
          <w:lang w:val="en-US"/>
        </w:rPr>
        <w:t>Zaken</w:t>
      </w:r>
      <w:proofErr w:type="spellEnd"/>
      <w:r w:rsidRPr="00D515AA">
        <w:rPr>
          <w:b/>
          <w:sz w:val="24"/>
          <w:lang w:val="en-US"/>
        </w:rPr>
        <w:t xml:space="preserve"> v K and A</w:t>
      </w:r>
      <w:r>
        <w:rPr>
          <w:b/>
          <w:sz w:val="24"/>
          <w:lang w:val="en-US"/>
        </w:rPr>
        <w:t xml:space="preserve"> (9</w:t>
      </w:r>
      <w:r w:rsidRPr="00D515AA">
        <w:rPr>
          <w:b/>
          <w:sz w:val="24"/>
          <w:vertAlign w:val="superscript"/>
          <w:lang w:val="en-US"/>
        </w:rPr>
        <w:t>th</w:t>
      </w:r>
      <w:r>
        <w:rPr>
          <w:b/>
          <w:sz w:val="24"/>
          <w:lang w:val="en-US"/>
        </w:rPr>
        <w:t xml:space="preserve"> July 2015)</w:t>
      </w:r>
    </w:p>
    <w:p w14:paraId="5A3DF818" w14:textId="43D62181" w:rsidR="00D515AA" w:rsidRPr="00D515AA" w:rsidRDefault="00D515AA" w:rsidP="006B09E5">
      <w:pPr>
        <w:spacing w:line="276" w:lineRule="auto"/>
        <w:jc w:val="both"/>
        <w:rPr>
          <w:lang w:val="en-US"/>
        </w:rPr>
      </w:pPr>
      <w:r w:rsidRPr="00D515AA">
        <w:rPr>
          <w:lang w:val="en-US"/>
        </w:rPr>
        <w:t xml:space="preserve">Member States may require third country nationals to pass a civic integration examination prior to family reunification. Press release and judgement available </w:t>
      </w:r>
      <w:hyperlink r:id="rId40" w:history="1">
        <w:r w:rsidRPr="00D515AA">
          <w:rPr>
            <w:rStyle w:val="Hyperlink"/>
            <w:lang w:val="en-US"/>
          </w:rPr>
          <w:t>here</w:t>
        </w:r>
      </w:hyperlink>
      <w:r w:rsidRPr="00D515AA">
        <w:rPr>
          <w:lang w:val="en-US"/>
        </w:rPr>
        <w:t xml:space="preserve">. </w:t>
      </w:r>
    </w:p>
    <w:p w14:paraId="4379D0BB" w14:textId="77777777" w:rsidR="00D515AA" w:rsidRPr="00D515AA" w:rsidRDefault="00D515AA" w:rsidP="006B09E5">
      <w:pPr>
        <w:spacing w:line="276" w:lineRule="auto"/>
        <w:jc w:val="both"/>
        <w:rPr>
          <w:b/>
          <w:sz w:val="24"/>
          <w:lang w:val="en-US"/>
        </w:rPr>
      </w:pPr>
    </w:p>
    <w:p w14:paraId="38C218DC" w14:textId="7DA4D5A7" w:rsidR="00C02D3A" w:rsidRPr="00C02D3A" w:rsidRDefault="00C02D3A" w:rsidP="006B09E5">
      <w:pPr>
        <w:pStyle w:val="ListParagraph"/>
        <w:numPr>
          <w:ilvl w:val="0"/>
          <w:numId w:val="37"/>
        </w:numPr>
        <w:spacing w:line="276" w:lineRule="auto"/>
        <w:jc w:val="both"/>
        <w:rPr>
          <w:b/>
          <w:sz w:val="24"/>
          <w:lang w:val="en-US"/>
        </w:rPr>
      </w:pPr>
      <w:r w:rsidRPr="00C02D3A">
        <w:rPr>
          <w:b/>
          <w:sz w:val="24"/>
          <w:lang w:val="en-US"/>
        </w:rPr>
        <w:t xml:space="preserve">Judgment in Case C-83/14 - CHEZ </w:t>
      </w:r>
      <w:proofErr w:type="spellStart"/>
      <w:r w:rsidRPr="00C02D3A">
        <w:rPr>
          <w:b/>
          <w:sz w:val="24"/>
          <w:lang w:val="en-US"/>
        </w:rPr>
        <w:t>Razpredelenie</w:t>
      </w:r>
      <w:proofErr w:type="spellEnd"/>
      <w:r w:rsidRPr="00C02D3A">
        <w:rPr>
          <w:b/>
          <w:sz w:val="24"/>
          <w:lang w:val="en-US"/>
        </w:rPr>
        <w:t xml:space="preserve"> Bulgaria AD v </w:t>
      </w:r>
      <w:proofErr w:type="spellStart"/>
      <w:r w:rsidRPr="00C02D3A">
        <w:rPr>
          <w:b/>
          <w:sz w:val="24"/>
          <w:lang w:val="en-US"/>
        </w:rPr>
        <w:t>Komisia</w:t>
      </w:r>
      <w:proofErr w:type="spellEnd"/>
      <w:r w:rsidRPr="00C02D3A">
        <w:rPr>
          <w:b/>
          <w:sz w:val="24"/>
          <w:lang w:val="en-US"/>
        </w:rPr>
        <w:t xml:space="preserve"> </w:t>
      </w:r>
      <w:proofErr w:type="spellStart"/>
      <w:r w:rsidRPr="00C02D3A">
        <w:rPr>
          <w:b/>
          <w:sz w:val="24"/>
          <w:lang w:val="en-US"/>
        </w:rPr>
        <w:t>za</w:t>
      </w:r>
      <w:proofErr w:type="spellEnd"/>
      <w:r w:rsidRPr="00C02D3A">
        <w:rPr>
          <w:b/>
          <w:sz w:val="24"/>
          <w:lang w:val="en-US"/>
        </w:rPr>
        <w:t xml:space="preserve"> </w:t>
      </w:r>
      <w:proofErr w:type="spellStart"/>
      <w:r w:rsidRPr="00C02D3A">
        <w:rPr>
          <w:b/>
          <w:sz w:val="24"/>
          <w:lang w:val="en-US"/>
        </w:rPr>
        <w:t>zashtita</w:t>
      </w:r>
      <w:proofErr w:type="spellEnd"/>
      <w:r w:rsidRPr="00C02D3A">
        <w:rPr>
          <w:b/>
          <w:sz w:val="24"/>
          <w:lang w:val="en-US"/>
        </w:rPr>
        <w:t xml:space="preserve"> </w:t>
      </w:r>
      <w:proofErr w:type="spellStart"/>
      <w:r w:rsidRPr="00C02D3A">
        <w:rPr>
          <w:b/>
          <w:sz w:val="24"/>
          <w:lang w:val="en-US"/>
        </w:rPr>
        <w:t>ot</w:t>
      </w:r>
      <w:proofErr w:type="spellEnd"/>
      <w:r w:rsidRPr="00C02D3A">
        <w:rPr>
          <w:b/>
          <w:sz w:val="24"/>
          <w:lang w:val="en-US"/>
        </w:rPr>
        <w:t xml:space="preserve"> </w:t>
      </w:r>
      <w:proofErr w:type="spellStart"/>
      <w:r w:rsidRPr="00C02D3A">
        <w:rPr>
          <w:b/>
          <w:sz w:val="24"/>
          <w:lang w:val="en-US"/>
        </w:rPr>
        <w:t>diskriminatsia</w:t>
      </w:r>
      <w:proofErr w:type="spellEnd"/>
      <w:r w:rsidRPr="00C02D3A">
        <w:rPr>
          <w:b/>
          <w:sz w:val="24"/>
          <w:lang w:val="en-US"/>
        </w:rPr>
        <w:t xml:space="preserve"> (16</w:t>
      </w:r>
      <w:r w:rsidRPr="00C02D3A">
        <w:rPr>
          <w:b/>
          <w:sz w:val="24"/>
          <w:vertAlign w:val="superscript"/>
          <w:lang w:val="en-US"/>
        </w:rPr>
        <w:t>th</w:t>
      </w:r>
      <w:r w:rsidRPr="00C02D3A">
        <w:rPr>
          <w:b/>
          <w:sz w:val="24"/>
          <w:lang w:val="en-US"/>
        </w:rPr>
        <w:t xml:space="preserve"> July 2015)</w:t>
      </w:r>
    </w:p>
    <w:p w14:paraId="50073E35" w14:textId="03F487D2" w:rsidR="00C02D3A" w:rsidRDefault="00C02D3A" w:rsidP="006B09E5">
      <w:pPr>
        <w:spacing w:line="276" w:lineRule="auto"/>
        <w:jc w:val="both"/>
        <w:rPr>
          <w:lang w:val="en-US"/>
        </w:rPr>
      </w:pPr>
      <w:r w:rsidRPr="00C02D3A">
        <w:rPr>
          <w:lang w:val="en-US"/>
        </w:rPr>
        <w:t>The installation of electricity meters at an inaccessible height in a district densely populated by Roma is liable to constitute discrimination on the grounds of ethnic origin when such meters are installed in oth</w:t>
      </w:r>
      <w:r>
        <w:rPr>
          <w:lang w:val="en-US"/>
        </w:rPr>
        <w:t xml:space="preserve">er districts at a normal height. Press release and judgement available </w:t>
      </w:r>
      <w:hyperlink r:id="rId41" w:history="1">
        <w:r w:rsidRPr="00C02D3A">
          <w:rPr>
            <w:rStyle w:val="Hyperlink"/>
            <w:lang w:val="en-US"/>
          </w:rPr>
          <w:t>here</w:t>
        </w:r>
      </w:hyperlink>
      <w:r>
        <w:rPr>
          <w:lang w:val="en-US"/>
        </w:rPr>
        <w:t xml:space="preserve">. </w:t>
      </w:r>
    </w:p>
    <w:p w14:paraId="23BF38FA" w14:textId="77777777" w:rsidR="00D515AA" w:rsidRDefault="00D515AA" w:rsidP="006B09E5">
      <w:pPr>
        <w:spacing w:line="276" w:lineRule="auto"/>
        <w:jc w:val="both"/>
        <w:rPr>
          <w:lang w:val="en-US"/>
        </w:rPr>
      </w:pPr>
    </w:p>
    <w:p w14:paraId="40059044" w14:textId="544AF24B" w:rsidR="00D515AA" w:rsidRPr="00D515AA" w:rsidRDefault="00D515AA" w:rsidP="006B09E5">
      <w:pPr>
        <w:pStyle w:val="ListParagraph"/>
        <w:numPr>
          <w:ilvl w:val="0"/>
          <w:numId w:val="37"/>
        </w:numPr>
        <w:spacing w:line="276" w:lineRule="auto"/>
        <w:jc w:val="both"/>
        <w:rPr>
          <w:b/>
          <w:sz w:val="24"/>
          <w:lang w:val="en-US"/>
        </w:rPr>
      </w:pPr>
      <w:r w:rsidRPr="00D515AA">
        <w:rPr>
          <w:b/>
          <w:sz w:val="24"/>
          <w:lang w:val="en-US"/>
        </w:rPr>
        <w:t xml:space="preserve">Judgment in Case C-222/14 - Konstantinos </w:t>
      </w:r>
      <w:proofErr w:type="spellStart"/>
      <w:r w:rsidRPr="00D515AA">
        <w:rPr>
          <w:b/>
          <w:sz w:val="24"/>
          <w:lang w:val="en-US"/>
        </w:rPr>
        <w:t>Maïstrellis</w:t>
      </w:r>
      <w:proofErr w:type="spellEnd"/>
      <w:r w:rsidRPr="00D515AA">
        <w:rPr>
          <w:b/>
          <w:sz w:val="24"/>
          <w:lang w:val="en-US"/>
        </w:rPr>
        <w:t xml:space="preserve"> v </w:t>
      </w:r>
      <w:proofErr w:type="spellStart"/>
      <w:r w:rsidRPr="00D515AA">
        <w:rPr>
          <w:b/>
          <w:sz w:val="24"/>
          <w:lang w:val="en-US"/>
        </w:rPr>
        <w:t>Ypourgos</w:t>
      </w:r>
      <w:proofErr w:type="spellEnd"/>
      <w:r w:rsidRPr="00D515AA">
        <w:rPr>
          <w:b/>
          <w:sz w:val="24"/>
          <w:lang w:val="en-US"/>
        </w:rPr>
        <w:t xml:space="preserve"> </w:t>
      </w:r>
      <w:proofErr w:type="spellStart"/>
      <w:r w:rsidRPr="00D515AA">
        <w:rPr>
          <w:b/>
          <w:sz w:val="24"/>
          <w:lang w:val="en-US"/>
        </w:rPr>
        <w:t>Dikaiosynis</w:t>
      </w:r>
      <w:proofErr w:type="spellEnd"/>
      <w:r w:rsidRPr="00D515AA">
        <w:rPr>
          <w:b/>
          <w:sz w:val="24"/>
          <w:lang w:val="en-US"/>
        </w:rPr>
        <w:t xml:space="preserve">, </w:t>
      </w:r>
      <w:proofErr w:type="spellStart"/>
      <w:r w:rsidRPr="00D515AA">
        <w:rPr>
          <w:b/>
          <w:sz w:val="24"/>
          <w:lang w:val="en-US"/>
        </w:rPr>
        <w:t>Diafaneias</w:t>
      </w:r>
      <w:proofErr w:type="spellEnd"/>
      <w:r w:rsidRPr="00D515AA">
        <w:rPr>
          <w:b/>
          <w:sz w:val="24"/>
          <w:lang w:val="en-US"/>
        </w:rPr>
        <w:t xml:space="preserve"> kai </w:t>
      </w:r>
      <w:proofErr w:type="spellStart"/>
      <w:r w:rsidRPr="00D515AA">
        <w:rPr>
          <w:b/>
          <w:sz w:val="24"/>
          <w:lang w:val="en-US"/>
        </w:rPr>
        <w:t>Anthropinon</w:t>
      </w:r>
      <w:proofErr w:type="spellEnd"/>
      <w:r w:rsidRPr="00D515AA">
        <w:rPr>
          <w:b/>
          <w:sz w:val="24"/>
          <w:lang w:val="en-US"/>
        </w:rPr>
        <w:t xml:space="preserve"> </w:t>
      </w:r>
      <w:proofErr w:type="spellStart"/>
      <w:r w:rsidRPr="00D515AA">
        <w:rPr>
          <w:b/>
          <w:sz w:val="24"/>
          <w:lang w:val="en-US"/>
        </w:rPr>
        <w:t>Dikaiomaton</w:t>
      </w:r>
      <w:proofErr w:type="spellEnd"/>
      <w:r w:rsidRPr="00D515AA">
        <w:rPr>
          <w:b/>
          <w:sz w:val="24"/>
          <w:lang w:val="en-US"/>
        </w:rPr>
        <w:t xml:space="preserve"> (16</w:t>
      </w:r>
      <w:r w:rsidRPr="00D515AA">
        <w:rPr>
          <w:b/>
          <w:sz w:val="24"/>
          <w:vertAlign w:val="superscript"/>
          <w:lang w:val="en-US"/>
        </w:rPr>
        <w:t>th</w:t>
      </w:r>
      <w:r w:rsidRPr="00D515AA">
        <w:rPr>
          <w:b/>
          <w:sz w:val="24"/>
          <w:lang w:val="en-US"/>
        </w:rPr>
        <w:t xml:space="preserve"> July 2015)</w:t>
      </w:r>
    </w:p>
    <w:p w14:paraId="307C6376" w14:textId="7F7417BA" w:rsidR="00D515AA" w:rsidRDefault="00D515AA" w:rsidP="006B09E5">
      <w:pPr>
        <w:spacing w:line="276" w:lineRule="auto"/>
        <w:jc w:val="both"/>
        <w:rPr>
          <w:lang w:val="en-US"/>
        </w:rPr>
      </w:pPr>
      <w:r w:rsidRPr="00D515AA">
        <w:rPr>
          <w:lang w:val="en-US"/>
        </w:rPr>
        <w:t>By prohibiting a male civil servant whose wife doe</w:t>
      </w:r>
      <w:r>
        <w:rPr>
          <w:lang w:val="en-US"/>
        </w:rPr>
        <w:t xml:space="preserve">s not work from taking parental </w:t>
      </w:r>
      <w:r w:rsidRPr="00D515AA">
        <w:rPr>
          <w:lang w:val="en-US"/>
        </w:rPr>
        <w:t>leave, Greek legislation is incompatible with EU law</w:t>
      </w:r>
      <w:r>
        <w:rPr>
          <w:lang w:val="en-US"/>
        </w:rPr>
        <w:t xml:space="preserve">. Press release and judgement available </w:t>
      </w:r>
      <w:hyperlink r:id="rId42" w:history="1">
        <w:r w:rsidRPr="00D515AA">
          <w:rPr>
            <w:rStyle w:val="Hyperlink"/>
            <w:lang w:val="en-US"/>
          </w:rPr>
          <w:t>here</w:t>
        </w:r>
      </w:hyperlink>
      <w:r>
        <w:rPr>
          <w:lang w:val="en-US"/>
        </w:rPr>
        <w:t xml:space="preserve">. </w:t>
      </w:r>
    </w:p>
    <w:p w14:paraId="6C244683" w14:textId="77777777" w:rsidR="00310BFC" w:rsidRPr="00C02D3A" w:rsidRDefault="00310BFC" w:rsidP="006B09E5">
      <w:pPr>
        <w:spacing w:line="276" w:lineRule="auto"/>
        <w:jc w:val="both"/>
        <w:rPr>
          <w:lang w:val="en-US"/>
        </w:rPr>
      </w:pPr>
    </w:p>
    <w:p w14:paraId="7B10DD56" w14:textId="02E77F2D" w:rsidR="009913B6" w:rsidRDefault="00AB116C" w:rsidP="006B09E5">
      <w:pPr>
        <w:pStyle w:val="Heading2"/>
        <w:spacing w:line="276" w:lineRule="auto"/>
        <w:rPr>
          <w:lang w:val="en-GB"/>
        </w:rPr>
      </w:pPr>
      <w:bookmarkStart w:id="40" w:name="_Ref421267644"/>
      <w:r w:rsidRPr="00B62088">
        <w:rPr>
          <w:lang w:val="en-GB"/>
        </w:rPr>
        <w:t>European Court of Human Rights (ECHR)</w:t>
      </w:r>
      <w:bookmarkEnd w:id="40"/>
      <w:r w:rsidR="009913B6" w:rsidRPr="00B62088">
        <w:rPr>
          <w:lang w:val="en-GB"/>
        </w:rPr>
        <w:br/>
      </w:r>
    </w:p>
    <w:p w14:paraId="4CBE8850" w14:textId="77777777" w:rsidR="001731AD" w:rsidRDefault="001731AD" w:rsidP="006B09E5">
      <w:pPr>
        <w:pStyle w:val="NormalWeb"/>
        <w:numPr>
          <w:ilvl w:val="0"/>
          <w:numId w:val="37"/>
        </w:numPr>
        <w:shd w:val="clear" w:color="auto" w:fill="FFFFFF"/>
        <w:spacing w:before="0" w:beforeAutospacing="0" w:after="90" w:afterAutospacing="0" w:line="276" w:lineRule="auto"/>
        <w:jc w:val="both"/>
        <w:rPr>
          <w:rFonts w:asciiTheme="minorHAnsi" w:hAnsiTheme="minorHAnsi" w:cs="Helvetica"/>
          <w:b/>
          <w:szCs w:val="22"/>
          <w:lang w:val="en-US"/>
        </w:rPr>
      </w:pPr>
      <w:proofErr w:type="spellStart"/>
      <w:r w:rsidRPr="00B62088">
        <w:rPr>
          <w:rFonts w:asciiTheme="minorHAnsi" w:hAnsiTheme="minorHAnsi" w:cs="Helvetica"/>
          <w:b/>
          <w:szCs w:val="22"/>
          <w:lang w:val="en-US"/>
        </w:rPr>
        <w:t>Martzaklis</w:t>
      </w:r>
      <w:proofErr w:type="spellEnd"/>
      <w:r w:rsidRPr="00B62088">
        <w:rPr>
          <w:rFonts w:asciiTheme="minorHAnsi" w:hAnsiTheme="minorHAnsi" w:cs="Helvetica"/>
          <w:b/>
          <w:szCs w:val="22"/>
          <w:lang w:val="en-US"/>
        </w:rPr>
        <w:t xml:space="preserve"> and Others v. Greece – 9</w:t>
      </w:r>
      <w:r w:rsidRPr="00B62088">
        <w:rPr>
          <w:rFonts w:asciiTheme="minorHAnsi" w:hAnsiTheme="minorHAnsi" w:cs="Helvetica"/>
          <w:b/>
          <w:szCs w:val="22"/>
          <w:vertAlign w:val="superscript"/>
          <w:lang w:val="en-US"/>
        </w:rPr>
        <w:t>th</w:t>
      </w:r>
      <w:r w:rsidRPr="00B62088">
        <w:rPr>
          <w:rFonts w:asciiTheme="minorHAnsi" w:hAnsiTheme="minorHAnsi" w:cs="Helvetica"/>
          <w:b/>
          <w:szCs w:val="22"/>
          <w:lang w:val="en-US"/>
        </w:rPr>
        <w:t xml:space="preserve"> July 2015</w:t>
      </w:r>
    </w:p>
    <w:p w14:paraId="44803935" w14:textId="77777777" w:rsidR="001731AD" w:rsidRDefault="001731AD" w:rsidP="006B09E5">
      <w:pPr>
        <w:pStyle w:val="NormalWeb"/>
        <w:shd w:val="clear" w:color="auto" w:fill="FFFFFF"/>
        <w:spacing w:before="0" w:beforeAutospacing="0" w:after="90" w:afterAutospacing="0" w:line="276" w:lineRule="auto"/>
        <w:jc w:val="both"/>
        <w:rPr>
          <w:rFonts w:asciiTheme="minorHAnsi" w:hAnsiTheme="minorHAnsi" w:cs="Helvetica"/>
          <w:sz w:val="22"/>
          <w:szCs w:val="22"/>
          <w:lang w:val="en-US"/>
        </w:rPr>
      </w:pPr>
      <w:r>
        <w:rPr>
          <w:rFonts w:asciiTheme="minorHAnsi" w:hAnsiTheme="minorHAnsi" w:cs="Helvetica"/>
          <w:sz w:val="22"/>
          <w:szCs w:val="22"/>
          <w:lang w:val="en-US"/>
        </w:rPr>
        <w:t xml:space="preserve">The European Court of Human Rights held, unanimously, that there had been a violation of </w:t>
      </w:r>
      <w:r w:rsidRPr="00B62088">
        <w:rPr>
          <w:rFonts w:asciiTheme="minorHAnsi" w:hAnsiTheme="minorHAnsi" w:cs="Helvetica"/>
          <w:b/>
          <w:sz w:val="22"/>
          <w:szCs w:val="22"/>
          <w:lang w:val="en-US"/>
        </w:rPr>
        <w:t>Article 3</w:t>
      </w:r>
      <w:r>
        <w:rPr>
          <w:rFonts w:asciiTheme="minorHAnsi" w:hAnsiTheme="minorHAnsi" w:cs="Helvetica"/>
          <w:sz w:val="22"/>
          <w:szCs w:val="22"/>
          <w:lang w:val="en-US"/>
        </w:rPr>
        <w:t xml:space="preserve">  </w:t>
      </w:r>
      <w:r w:rsidRPr="00B62088">
        <w:rPr>
          <w:rFonts w:asciiTheme="minorHAnsi" w:hAnsiTheme="minorHAnsi" w:cs="Helvetica"/>
          <w:sz w:val="22"/>
          <w:szCs w:val="22"/>
          <w:lang w:val="en-US"/>
        </w:rPr>
        <w:t>(prohibition of torture and inhuman or d</w:t>
      </w:r>
      <w:r>
        <w:rPr>
          <w:rFonts w:asciiTheme="minorHAnsi" w:hAnsiTheme="minorHAnsi" w:cs="Helvetica"/>
          <w:sz w:val="22"/>
          <w:szCs w:val="22"/>
          <w:lang w:val="en-US"/>
        </w:rPr>
        <w:t xml:space="preserve">egrading treatment) taken alone </w:t>
      </w:r>
      <w:r w:rsidRPr="00B62088">
        <w:rPr>
          <w:rFonts w:asciiTheme="minorHAnsi" w:hAnsiTheme="minorHAnsi" w:cs="Helvetica"/>
          <w:sz w:val="22"/>
          <w:szCs w:val="22"/>
          <w:lang w:val="en-US"/>
        </w:rPr>
        <w:t xml:space="preserve">and in conjunction with </w:t>
      </w:r>
      <w:r w:rsidRPr="00B62088">
        <w:rPr>
          <w:rFonts w:asciiTheme="minorHAnsi" w:hAnsiTheme="minorHAnsi" w:cs="Helvetica"/>
          <w:b/>
          <w:sz w:val="22"/>
          <w:szCs w:val="22"/>
          <w:lang w:val="en-US"/>
        </w:rPr>
        <w:t>Article 14</w:t>
      </w:r>
      <w:r w:rsidRPr="00B62088">
        <w:rPr>
          <w:rFonts w:asciiTheme="minorHAnsi" w:hAnsiTheme="minorHAnsi" w:cs="Helvetica"/>
          <w:sz w:val="22"/>
          <w:szCs w:val="22"/>
          <w:lang w:val="en-US"/>
        </w:rPr>
        <w:t xml:space="preserve"> (prohibition of discrimin</w:t>
      </w:r>
      <w:r>
        <w:rPr>
          <w:rFonts w:asciiTheme="minorHAnsi" w:hAnsiTheme="minorHAnsi" w:cs="Helvetica"/>
          <w:sz w:val="22"/>
          <w:szCs w:val="22"/>
          <w:lang w:val="en-US"/>
        </w:rPr>
        <w:t xml:space="preserve">ation) of the Convention of the </w:t>
      </w:r>
      <w:r w:rsidRPr="00B62088">
        <w:rPr>
          <w:rFonts w:asciiTheme="minorHAnsi" w:hAnsiTheme="minorHAnsi" w:cs="Helvetica"/>
          <w:sz w:val="22"/>
          <w:szCs w:val="22"/>
          <w:lang w:val="en-US"/>
        </w:rPr>
        <w:t>Europ</w:t>
      </w:r>
      <w:r>
        <w:rPr>
          <w:rFonts w:asciiTheme="minorHAnsi" w:hAnsiTheme="minorHAnsi" w:cs="Helvetica"/>
          <w:sz w:val="22"/>
          <w:szCs w:val="22"/>
          <w:lang w:val="en-US"/>
        </w:rPr>
        <w:t xml:space="preserve">ean Convention on Human Rights and </w:t>
      </w:r>
      <w:r w:rsidRPr="00B62088">
        <w:rPr>
          <w:rFonts w:asciiTheme="minorHAnsi" w:hAnsiTheme="minorHAnsi" w:cs="Helvetica"/>
          <w:sz w:val="22"/>
          <w:szCs w:val="22"/>
          <w:lang w:val="en-US"/>
        </w:rPr>
        <w:t xml:space="preserve">a violation of </w:t>
      </w:r>
      <w:r w:rsidRPr="00B62088">
        <w:rPr>
          <w:rFonts w:asciiTheme="minorHAnsi" w:hAnsiTheme="minorHAnsi" w:cs="Helvetica"/>
          <w:b/>
          <w:sz w:val="22"/>
          <w:szCs w:val="22"/>
          <w:lang w:val="en-US"/>
        </w:rPr>
        <w:t>Article 13</w:t>
      </w:r>
      <w:r w:rsidRPr="00B62088">
        <w:rPr>
          <w:rFonts w:asciiTheme="minorHAnsi" w:hAnsiTheme="minorHAnsi" w:cs="Helvetica"/>
          <w:sz w:val="22"/>
          <w:szCs w:val="22"/>
          <w:lang w:val="en-US"/>
        </w:rPr>
        <w:t xml:space="preserve"> (right to an effective remedy) of the Convention.</w:t>
      </w:r>
      <w:r>
        <w:rPr>
          <w:rFonts w:asciiTheme="minorHAnsi" w:hAnsiTheme="minorHAnsi" w:cs="Helvetica"/>
          <w:sz w:val="22"/>
          <w:szCs w:val="22"/>
          <w:lang w:val="en-US"/>
        </w:rPr>
        <w:t xml:space="preserve"> Link to the press release and judgement available </w:t>
      </w:r>
      <w:hyperlink r:id="rId43" w:history="1">
        <w:r w:rsidRPr="001731AD">
          <w:rPr>
            <w:rStyle w:val="Hyperlink"/>
            <w:rFonts w:asciiTheme="minorHAnsi" w:hAnsiTheme="minorHAnsi" w:cs="Helvetica"/>
            <w:sz w:val="22"/>
            <w:szCs w:val="22"/>
            <w:lang w:val="en-US"/>
          </w:rPr>
          <w:t>here</w:t>
        </w:r>
      </w:hyperlink>
      <w:r>
        <w:rPr>
          <w:rFonts w:asciiTheme="minorHAnsi" w:hAnsiTheme="minorHAnsi" w:cs="Helvetica"/>
          <w:sz w:val="22"/>
          <w:szCs w:val="22"/>
          <w:lang w:val="en-US"/>
        </w:rPr>
        <w:t xml:space="preserve">. </w:t>
      </w:r>
    </w:p>
    <w:p w14:paraId="5FEE0378" w14:textId="77777777" w:rsidR="001731AD" w:rsidRPr="00B62088" w:rsidRDefault="001731AD" w:rsidP="006B09E5">
      <w:pPr>
        <w:pStyle w:val="NormalWeb"/>
        <w:shd w:val="clear" w:color="auto" w:fill="FFFFFF"/>
        <w:spacing w:before="0" w:beforeAutospacing="0" w:after="90" w:afterAutospacing="0" w:line="276" w:lineRule="auto"/>
        <w:jc w:val="both"/>
        <w:rPr>
          <w:rFonts w:asciiTheme="minorHAnsi" w:hAnsiTheme="minorHAnsi" w:cs="Helvetica"/>
          <w:sz w:val="22"/>
          <w:szCs w:val="22"/>
          <w:lang w:val="en-US"/>
        </w:rPr>
      </w:pPr>
    </w:p>
    <w:p w14:paraId="2324C6BF" w14:textId="163AB37B" w:rsidR="00B62088" w:rsidRPr="00B62088" w:rsidRDefault="00B62088" w:rsidP="006B09E5">
      <w:pPr>
        <w:pStyle w:val="ListParagraph"/>
        <w:numPr>
          <w:ilvl w:val="0"/>
          <w:numId w:val="37"/>
        </w:numPr>
        <w:spacing w:line="276" w:lineRule="auto"/>
        <w:rPr>
          <w:b/>
          <w:sz w:val="24"/>
          <w:lang w:val="en-GB"/>
        </w:rPr>
      </w:pPr>
      <w:proofErr w:type="spellStart"/>
      <w:r w:rsidRPr="00B62088">
        <w:rPr>
          <w:b/>
          <w:sz w:val="24"/>
          <w:lang w:val="en-GB"/>
        </w:rPr>
        <w:t>Oliari</w:t>
      </w:r>
      <w:proofErr w:type="spellEnd"/>
      <w:r w:rsidRPr="00B62088">
        <w:rPr>
          <w:b/>
          <w:sz w:val="24"/>
          <w:lang w:val="en-GB"/>
        </w:rPr>
        <w:t xml:space="preserve"> and others v. Italy – 21</w:t>
      </w:r>
      <w:r w:rsidRPr="00B62088">
        <w:rPr>
          <w:b/>
          <w:sz w:val="24"/>
          <w:vertAlign w:val="superscript"/>
          <w:lang w:val="en-GB"/>
        </w:rPr>
        <w:t>st</w:t>
      </w:r>
      <w:r w:rsidRPr="00B62088">
        <w:rPr>
          <w:b/>
          <w:sz w:val="24"/>
          <w:lang w:val="en-GB"/>
        </w:rPr>
        <w:t xml:space="preserve"> July 2015</w:t>
      </w:r>
    </w:p>
    <w:p w14:paraId="5FF3E8BC" w14:textId="34B94B85" w:rsidR="0082437A" w:rsidRDefault="00B62088" w:rsidP="006B09E5">
      <w:pPr>
        <w:pStyle w:val="NormalWeb"/>
        <w:shd w:val="clear" w:color="auto" w:fill="FFFFFF"/>
        <w:spacing w:before="0" w:beforeAutospacing="0" w:after="90" w:afterAutospacing="0" w:line="276" w:lineRule="auto"/>
        <w:jc w:val="both"/>
        <w:rPr>
          <w:rStyle w:val="textexposedshow"/>
          <w:rFonts w:asciiTheme="minorHAnsi" w:hAnsiTheme="minorHAnsi" w:cs="Helvetica"/>
          <w:sz w:val="22"/>
          <w:szCs w:val="22"/>
          <w:lang w:val="en-US"/>
        </w:rPr>
      </w:pPr>
      <w:r w:rsidRPr="00B62088">
        <w:rPr>
          <w:rFonts w:asciiTheme="minorHAnsi" w:hAnsiTheme="minorHAnsi" w:cs="Helvetica"/>
          <w:sz w:val="22"/>
          <w:szCs w:val="22"/>
          <w:lang w:val="en-US"/>
        </w:rPr>
        <w:t xml:space="preserve">The </w:t>
      </w:r>
      <w:r w:rsidR="0082437A" w:rsidRPr="00B62088">
        <w:rPr>
          <w:rFonts w:asciiTheme="minorHAnsi" w:hAnsiTheme="minorHAnsi" w:cs="Helvetica"/>
          <w:sz w:val="22"/>
          <w:szCs w:val="22"/>
          <w:lang w:val="en-US"/>
        </w:rPr>
        <w:t>European Court of Human Rights stated that Italy breached the European Convention of Human Rights by not providing any legal form of recognition of same-sex partnerships.</w:t>
      </w:r>
      <w:r w:rsidRPr="00B62088">
        <w:rPr>
          <w:rFonts w:asciiTheme="minorHAnsi" w:hAnsiTheme="minorHAnsi" w:cs="Helvetica"/>
          <w:sz w:val="22"/>
          <w:szCs w:val="22"/>
          <w:lang w:val="en-US"/>
        </w:rPr>
        <w:t xml:space="preserve"> </w:t>
      </w:r>
      <w:r w:rsidR="0082437A" w:rsidRPr="00B62088">
        <w:rPr>
          <w:rFonts w:asciiTheme="minorHAnsi" w:hAnsiTheme="minorHAnsi" w:cs="Helvetica"/>
          <w:b/>
          <w:sz w:val="22"/>
          <w:szCs w:val="22"/>
          <w:lang w:val="en-US"/>
        </w:rPr>
        <w:t>This is the first time the European Court of Human Rights states that legal recognition of same-sex unions (civil union or registered partnership) should be available to same-sex coup</w:t>
      </w:r>
      <w:r w:rsidR="0082437A" w:rsidRPr="00B62088">
        <w:rPr>
          <w:rStyle w:val="textexposedshow"/>
          <w:rFonts w:asciiTheme="minorHAnsi" w:hAnsiTheme="minorHAnsi" w:cs="Helvetica"/>
          <w:b/>
          <w:sz w:val="22"/>
          <w:szCs w:val="22"/>
          <w:lang w:val="en-US"/>
        </w:rPr>
        <w:t>les.</w:t>
      </w:r>
      <w:r w:rsidRPr="00B62088">
        <w:rPr>
          <w:rStyle w:val="textexposedshow"/>
          <w:rFonts w:asciiTheme="minorHAnsi" w:hAnsiTheme="minorHAnsi" w:cs="Helvetica"/>
          <w:b/>
          <w:sz w:val="22"/>
          <w:szCs w:val="22"/>
          <w:lang w:val="en-US"/>
        </w:rPr>
        <w:t xml:space="preserve"> </w:t>
      </w:r>
      <w:r w:rsidRPr="00B62088">
        <w:rPr>
          <w:rStyle w:val="textexposedshow"/>
          <w:rFonts w:asciiTheme="minorHAnsi" w:hAnsiTheme="minorHAnsi" w:cs="Helvetica"/>
          <w:sz w:val="22"/>
          <w:szCs w:val="22"/>
          <w:lang w:val="en-US"/>
        </w:rPr>
        <w:t xml:space="preserve">Link to the judgement is available </w:t>
      </w:r>
      <w:hyperlink r:id="rId44" w:history="1">
        <w:r w:rsidRPr="00B62088">
          <w:rPr>
            <w:rStyle w:val="Hyperlink"/>
            <w:rFonts w:asciiTheme="minorHAnsi" w:hAnsiTheme="minorHAnsi" w:cs="Helvetica"/>
            <w:sz w:val="22"/>
            <w:szCs w:val="22"/>
            <w:lang w:val="en-US"/>
          </w:rPr>
          <w:t>here</w:t>
        </w:r>
      </w:hyperlink>
      <w:r w:rsidRPr="00B62088">
        <w:rPr>
          <w:rStyle w:val="textexposedshow"/>
          <w:rFonts w:asciiTheme="minorHAnsi" w:hAnsiTheme="minorHAnsi" w:cs="Helvetica"/>
          <w:sz w:val="22"/>
          <w:szCs w:val="22"/>
          <w:lang w:val="en-US"/>
        </w:rPr>
        <w:t xml:space="preserve">. </w:t>
      </w:r>
    </w:p>
    <w:p w14:paraId="77981CF4" w14:textId="77777777" w:rsidR="00B62088" w:rsidRDefault="00B62088" w:rsidP="006B09E5">
      <w:pPr>
        <w:pStyle w:val="NormalWeb"/>
        <w:shd w:val="clear" w:color="auto" w:fill="FFFFFF"/>
        <w:spacing w:before="0" w:beforeAutospacing="0" w:after="90" w:afterAutospacing="0" w:line="276" w:lineRule="auto"/>
        <w:jc w:val="both"/>
        <w:rPr>
          <w:rStyle w:val="textexposedshow"/>
          <w:rFonts w:asciiTheme="minorHAnsi" w:hAnsiTheme="minorHAnsi" w:cs="Helvetica"/>
          <w:sz w:val="22"/>
          <w:szCs w:val="22"/>
          <w:lang w:val="en-US"/>
        </w:rPr>
      </w:pPr>
    </w:p>
    <w:p w14:paraId="4392F399" w14:textId="77777777" w:rsidR="00B62088" w:rsidRDefault="00B62088" w:rsidP="006B09E5">
      <w:pPr>
        <w:spacing w:line="276" w:lineRule="auto"/>
        <w:jc w:val="both"/>
        <w:rPr>
          <w:lang w:val="en-US"/>
        </w:rPr>
      </w:pPr>
    </w:p>
    <w:p w14:paraId="024539B6" w14:textId="26F6AA3F" w:rsidR="004F66B3" w:rsidRPr="001731AD" w:rsidRDefault="004F66B3" w:rsidP="006B09E5">
      <w:pPr>
        <w:spacing w:line="276" w:lineRule="auto"/>
        <w:jc w:val="both"/>
        <w:rPr>
          <w:lang w:val="en-US"/>
        </w:rPr>
      </w:pPr>
    </w:p>
    <w:sectPr w:rsidR="004F66B3" w:rsidRPr="001731AD" w:rsidSect="006415D5">
      <w:footerReference w:type="default" r:id="rId4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80A91" w14:textId="77777777" w:rsidR="00B07813" w:rsidRDefault="00B07813" w:rsidP="001140DC">
      <w:r>
        <w:separator/>
      </w:r>
    </w:p>
  </w:endnote>
  <w:endnote w:type="continuationSeparator" w:id="0">
    <w:p w14:paraId="66C38360" w14:textId="77777777" w:rsidR="00B07813" w:rsidRDefault="00B07813" w:rsidP="0011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68080"/>
      <w:docPartObj>
        <w:docPartGallery w:val="Page Numbers (Bottom of Page)"/>
        <w:docPartUnique/>
      </w:docPartObj>
    </w:sdtPr>
    <w:sdtEndPr>
      <w:rPr>
        <w:noProof/>
      </w:rPr>
    </w:sdtEndPr>
    <w:sdtContent>
      <w:p w14:paraId="4691FE19" w14:textId="77777777" w:rsidR="00B07813" w:rsidRDefault="00B07813">
        <w:pPr>
          <w:pStyle w:val="Footer"/>
          <w:jc w:val="center"/>
        </w:pPr>
        <w:r>
          <w:fldChar w:fldCharType="begin"/>
        </w:r>
        <w:r>
          <w:instrText xml:space="preserve"> PAGE   \* MERGEFORMAT </w:instrText>
        </w:r>
        <w:r>
          <w:fldChar w:fldCharType="separate"/>
        </w:r>
        <w:r w:rsidR="00A44DA6">
          <w:rPr>
            <w:noProof/>
          </w:rPr>
          <w:t>5</w:t>
        </w:r>
        <w:r>
          <w:rPr>
            <w:noProof/>
          </w:rPr>
          <w:fldChar w:fldCharType="end"/>
        </w:r>
      </w:p>
    </w:sdtContent>
  </w:sdt>
  <w:p w14:paraId="69CDCD89" w14:textId="77777777" w:rsidR="00B07813" w:rsidRDefault="00B0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7F39C" w14:textId="77777777" w:rsidR="00B07813" w:rsidRDefault="00B07813" w:rsidP="001140DC">
      <w:r>
        <w:separator/>
      </w:r>
    </w:p>
  </w:footnote>
  <w:footnote w:type="continuationSeparator" w:id="0">
    <w:p w14:paraId="2DAA5EEB" w14:textId="77777777" w:rsidR="00B07813" w:rsidRDefault="00B07813" w:rsidP="00114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390C"/>
    <w:multiLevelType w:val="hybridMultilevel"/>
    <w:tmpl w:val="81DC6F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C47729"/>
    <w:multiLevelType w:val="hybridMultilevel"/>
    <w:tmpl w:val="DD98D4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E2214"/>
    <w:multiLevelType w:val="hybridMultilevel"/>
    <w:tmpl w:val="85EC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E1683B"/>
    <w:multiLevelType w:val="hybridMultilevel"/>
    <w:tmpl w:val="CA7A21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0E1381"/>
    <w:multiLevelType w:val="hybridMultilevel"/>
    <w:tmpl w:val="D512D0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6B5BDD"/>
    <w:multiLevelType w:val="hybridMultilevel"/>
    <w:tmpl w:val="07A00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2C676E5"/>
    <w:multiLevelType w:val="hybridMultilevel"/>
    <w:tmpl w:val="FF2E40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40F3AA6"/>
    <w:multiLevelType w:val="hybridMultilevel"/>
    <w:tmpl w:val="5EC8AF9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5394E98"/>
    <w:multiLevelType w:val="hybridMultilevel"/>
    <w:tmpl w:val="7C9E571C"/>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A573A5B"/>
    <w:multiLevelType w:val="hybridMultilevel"/>
    <w:tmpl w:val="0C707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0532EB"/>
    <w:multiLevelType w:val="hybridMultilevel"/>
    <w:tmpl w:val="3F028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3CD1781"/>
    <w:multiLevelType w:val="hybridMultilevel"/>
    <w:tmpl w:val="C89C9DB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A327DD3"/>
    <w:multiLevelType w:val="hybridMultilevel"/>
    <w:tmpl w:val="A1DE41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BEA59BF"/>
    <w:multiLevelType w:val="hybridMultilevel"/>
    <w:tmpl w:val="67A82C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CE86CC4"/>
    <w:multiLevelType w:val="hybridMultilevel"/>
    <w:tmpl w:val="B80C5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0586FCD"/>
    <w:multiLevelType w:val="hybridMultilevel"/>
    <w:tmpl w:val="D9DC66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3F44AE0"/>
    <w:multiLevelType w:val="hybridMultilevel"/>
    <w:tmpl w:val="71985C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5692E43"/>
    <w:multiLevelType w:val="hybridMultilevel"/>
    <w:tmpl w:val="96A606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BD94194"/>
    <w:multiLevelType w:val="hybridMultilevel"/>
    <w:tmpl w:val="0BE838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CEF4E28"/>
    <w:multiLevelType w:val="hybridMultilevel"/>
    <w:tmpl w:val="3E5007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3EAA337E"/>
    <w:multiLevelType w:val="hybridMultilevel"/>
    <w:tmpl w:val="399C9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45AE6005"/>
    <w:multiLevelType w:val="hybridMultilevel"/>
    <w:tmpl w:val="C59697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5DE0D0E"/>
    <w:multiLevelType w:val="hybridMultilevel"/>
    <w:tmpl w:val="1734A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6AF6547"/>
    <w:multiLevelType w:val="hybridMultilevel"/>
    <w:tmpl w:val="400C60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7CA5B6A"/>
    <w:multiLevelType w:val="hybridMultilevel"/>
    <w:tmpl w:val="796C84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A990ED2"/>
    <w:multiLevelType w:val="hybridMultilevel"/>
    <w:tmpl w:val="66FAED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B8313DB"/>
    <w:multiLevelType w:val="hybridMultilevel"/>
    <w:tmpl w:val="E4ECD39A"/>
    <w:lvl w:ilvl="0" w:tplc="080C0001">
      <w:start w:val="1"/>
      <w:numFmt w:val="bullet"/>
      <w:lvlText w:val=""/>
      <w:lvlJc w:val="left"/>
      <w:pPr>
        <w:ind w:left="776" w:hanging="360"/>
      </w:pPr>
      <w:rPr>
        <w:rFonts w:ascii="Symbol" w:hAnsi="Symbol" w:hint="default"/>
      </w:rPr>
    </w:lvl>
    <w:lvl w:ilvl="1" w:tplc="080C0003" w:tentative="1">
      <w:start w:val="1"/>
      <w:numFmt w:val="bullet"/>
      <w:lvlText w:val="o"/>
      <w:lvlJc w:val="left"/>
      <w:pPr>
        <w:ind w:left="1496" w:hanging="360"/>
      </w:pPr>
      <w:rPr>
        <w:rFonts w:ascii="Courier New" w:hAnsi="Courier New" w:cs="Courier New" w:hint="default"/>
      </w:rPr>
    </w:lvl>
    <w:lvl w:ilvl="2" w:tplc="080C0005" w:tentative="1">
      <w:start w:val="1"/>
      <w:numFmt w:val="bullet"/>
      <w:lvlText w:val=""/>
      <w:lvlJc w:val="left"/>
      <w:pPr>
        <w:ind w:left="2216" w:hanging="360"/>
      </w:pPr>
      <w:rPr>
        <w:rFonts w:ascii="Wingdings" w:hAnsi="Wingdings" w:hint="default"/>
      </w:rPr>
    </w:lvl>
    <w:lvl w:ilvl="3" w:tplc="080C0001" w:tentative="1">
      <w:start w:val="1"/>
      <w:numFmt w:val="bullet"/>
      <w:lvlText w:val=""/>
      <w:lvlJc w:val="left"/>
      <w:pPr>
        <w:ind w:left="2936" w:hanging="360"/>
      </w:pPr>
      <w:rPr>
        <w:rFonts w:ascii="Symbol" w:hAnsi="Symbol" w:hint="default"/>
      </w:rPr>
    </w:lvl>
    <w:lvl w:ilvl="4" w:tplc="080C0003" w:tentative="1">
      <w:start w:val="1"/>
      <w:numFmt w:val="bullet"/>
      <w:lvlText w:val="o"/>
      <w:lvlJc w:val="left"/>
      <w:pPr>
        <w:ind w:left="3656" w:hanging="360"/>
      </w:pPr>
      <w:rPr>
        <w:rFonts w:ascii="Courier New" w:hAnsi="Courier New" w:cs="Courier New" w:hint="default"/>
      </w:rPr>
    </w:lvl>
    <w:lvl w:ilvl="5" w:tplc="080C0005" w:tentative="1">
      <w:start w:val="1"/>
      <w:numFmt w:val="bullet"/>
      <w:lvlText w:val=""/>
      <w:lvlJc w:val="left"/>
      <w:pPr>
        <w:ind w:left="4376" w:hanging="360"/>
      </w:pPr>
      <w:rPr>
        <w:rFonts w:ascii="Wingdings" w:hAnsi="Wingdings" w:hint="default"/>
      </w:rPr>
    </w:lvl>
    <w:lvl w:ilvl="6" w:tplc="080C0001" w:tentative="1">
      <w:start w:val="1"/>
      <w:numFmt w:val="bullet"/>
      <w:lvlText w:val=""/>
      <w:lvlJc w:val="left"/>
      <w:pPr>
        <w:ind w:left="5096" w:hanging="360"/>
      </w:pPr>
      <w:rPr>
        <w:rFonts w:ascii="Symbol" w:hAnsi="Symbol" w:hint="default"/>
      </w:rPr>
    </w:lvl>
    <w:lvl w:ilvl="7" w:tplc="080C0003" w:tentative="1">
      <w:start w:val="1"/>
      <w:numFmt w:val="bullet"/>
      <w:lvlText w:val="o"/>
      <w:lvlJc w:val="left"/>
      <w:pPr>
        <w:ind w:left="5816" w:hanging="360"/>
      </w:pPr>
      <w:rPr>
        <w:rFonts w:ascii="Courier New" w:hAnsi="Courier New" w:cs="Courier New" w:hint="default"/>
      </w:rPr>
    </w:lvl>
    <w:lvl w:ilvl="8" w:tplc="080C0005" w:tentative="1">
      <w:start w:val="1"/>
      <w:numFmt w:val="bullet"/>
      <w:lvlText w:val=""/>
      <w:lvlJc w:val="left"/>
      <w:pPr>
        <w:ind w:left="6536" w:hanging="360"/>
      </w:pPr>
      <w:rPr>
        <w:rFonts w:ascii="Wingdings" w:hAnsi="Wingdings" w:hint="default"/>
      </w:rPr>
    </w:lvl>
  </w:abstractNum>
  <w:abstractNum w:abstractNumId="27" w15:restartNumberingAfterBreak="0">
    <w:nsid w:val="50FB7F07"/>
    <w:multiLevelType w:val="hybridMultilevel"/>
    <w:tmpl w:val="EA485B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2E864B6"/>
    <w:multiLevelType w:val="hybridMultilevel"/>
    <w:tmpl w:val="ABB25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54201901"/>
    <w:multiLevelType w:val="hybridMultilevel"/>
    <w:tmpl w:val="08144D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5781939"/>
    <w:multiLevelType w:val="hybridMultilevel"/>
    <w:tmpl w:val="95546638"/>
    <w:lvl w:ilvl="0" w:tplc="69EAA37E">
      <w:numFmt w:val="bullet"/>
      <w:lvlText w:val="-"/>
      <w:lvlJc w:val="left"/>
      <w:pPr>
        <w:ind w:left="405" w:hanging="360"/>
      </w:pPr>
      <w:rPr>
        <w:rFonts w:ascii="Calibri" w:eastAsiaTheme="minorHAnsi" w:hAnsi="Calibri" w:cstheme="minorBidi" w:hint="default"/>
      </w:rPr>
    </w:lvl>
    <w:lvl w:ilvl="1" w:tplc="080C0003"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31" w15:restartNumberingAfterBreak="0">
    <w:nsid w:val="5B0055A2"/>
    <w:multiLevelType w:val="hybridMultilevel"/>
    <w:tmpl w:val="FB6AB3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BB85DA2"/>
    <w:multiLevelType w:val="hybridMultilevel"/>
    <w:tmpl w:val="B81ED6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C3F1FB5"/>
    <w:multiLevelType w:val="hybridMultilevel"/>
    <w:tmpl w:val="5AA25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9704737"/>
    <w:multiLevelType w:val="hybridMultilevel"/>
    <w:tmpl w:val="921CD2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E8F3A8A"/>
    <w:multiLevelType w:val="hybridMultilevel"/>
    <w:tmpl w:val="020609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2DD5D56"/>
    <w:multiLevelType w:val="hybridMultilevel"/>
    <w:tmpl w:val="F184E5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7972EA8"/>
    <w:multiLevelType w:val="hybridMultilevel"/>
    <w:tmpl w:val="4C18A7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B885D91"/>
    <w:multiLevelType w:val="hybridMultilevel"/>
    <w:tmpl w:val="BF860D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7C576F0F"/>
    <w:multiLevelType w:val="hybridMultilevel"/>
    <w:tmpl w:val="BF26C48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2"/>
  </w:num>
  <w:num w:numId="4">
    <w:abstractNumId w:val="32"/>
  </w:num>
  <w:num w:numId="5">
    <w:abstractNumId w:val="34"/>
  </w:num>
  <w:num w:numId="6">
    <w:abstractNumId w:val="21"/>
  </w:num>
  <w:num w:numId="7">
    <w:abstractNumId w:val="11"/>
  </w:num>
  <w:num w:numId="8">
    <w:abstractNumId w:val="15"/>
  </w:num>
  <w:num w:numId="9">
    <w:abstractNumId w:val="2"/>
  </w:num>
  <w:num w:numId="10">
    <w:abstractNumId w:val="17"/>
  </w:num>
  <w:num w:numId="11">
    <w:abstractNumId w:val="36"/>
  </w:num>
  <w:num w:numId="12">
    <w:abstractNumId w:val="31"/>
  </w:num>
  <w:num w:numId="13">
    <w:abstractNumId w:val="7"/>
  </w:num>
  <w:num w:numId="14">
    <w:abstractNumId w:val="28"/>
  </w:num>
  <w:num w:numId="15">
    <w:abstractNumId w:val="23"/>
  </w:num>
  <w:num w:numId="16">
    <w:abstractNumId w:val="4"/>
  </w:num>
  <w:num w:numId="17">
    <w:abstractNumId w:val="27"/>
  </w:num>
  <w:num w:numId="18">
    <w:abstractNumId w:val="10"/>
  </w:num>
  <w:num w:numId="19">
    <w:abstractNumId w:val="5"/>
  </w:num>
  <w:num w:numId="20">
    <w:abstractNumId w:val="14"/>
  </w:num>
  <w:num w:numId="21">
    <w:abstractNumId w:val="29"/>
  </w:num>
  <w:num w:numId="22">
    <w:abstractNumId w:val="37"/>
  </w:num>
  <w:num w:numId="23">
    <w:abstractNumId w:val="6"/>
  </w:num>
  <w:num w:numId="24">
    <w:abstractNumId w:val="20"/>
  </w:num>
  <w:num w:numId="25">
    <w:abstractNumId w:val="39"/>
  </w:num>
  <w:num w:numId="26">
    <w:abstractNumId w:val="30"/>
  </w:num>
  <w:num w:numId="27">
    <w:abstractNumId w:val="8"/>
  </w:num>
  <w:num w:numId="28">
    <w:abstractNumId w:val="12"/>
  </w:num>
  <w:num w:numId="29">
    <w:abstractNumId w:val="19"/>
  </w:num>
  <w:num w:numId="30">
    <w:abstractNumId w:val="35"/>
  </w:num>
  <w:num w:numId="31">
    <w:abstractNumId w:val="38"/>
  </w:num>
  <w:num w:numId="32">
    <w:abstractNumId w:val="16"/>
  </w:num>
  <w:num w:numId="33">
    <w:abstractNumId w:val="26"/>
  </w:num>
  <w:num w:numId="34">
    <w:abstractNumId w:val="0"/>
  </w:num>
  <w:num w:numId="35">
    <w:abstractNumId w:val="24"/>
  </w:num>
  <w:num w:numId="36">
    <w:abstractNumId w:val="25"/>
  </w:num>
  <w:num w:numId="37">
    <w:abstractNumId w:val="1"/>
  </w:num>
  <w:num w:numId="38">
    <w:abstractNumId w:val="13"/>
  </w:num>
  <w:num w:numId="39">
    <w:abstractNumId w:val="18"/>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F6"/>
    <w:rsid w:val="00026281"/>
    <w:rsid w:val="000263B4"/>
    <w:rsid w:val="000348AB"/>
    <w:rsid w:val="00036CEA"/>
    <w:rsid w:val="000515A0"/>
    <w:rsid w:val="00062097"/>
    <w:rsid w:val="000B22AC"/>
    <w:rsid w:val="000B784B"/>
    <w:rsid w:val="000D5978"/>
    <w:rsid w:val="000F46D8"/>
    <w:rsid w:val="000F79AC"/>
    <w:rsid w:val="001140DC"/>
    <w:rsid w:val="0014109E"/>
    <w:rsid w:val="0015744B"/>
    <w:rsid w:val="0016113D"/>
    <w:rsid w:val="001731AD"/>
    <w:rsid w:val="00175EA1"/>
    <w:rsid w:val="00177C56"/>
    <w:rsid w:val="001815EF"/>
    <w:rsid w:val="0018390B"/>
    <w:rsid w:val="0018402A"/>
    <w:rsid w:val="001904AB"/>
    <w:rsid w:val="001B305F"/>
    <w:rsid w:val="001C172F"/>
    <w:rsid w:val="001E3467"/>
    <w:rsid w:val="00207FD0"/>
    <w:rsid w:val="0021158A"/>
    <w:rsid w:val="00217BAD"/>
    <w:rsid w:val="00232E25"/>
    <w:rsid w:val="0025098C"/>
    <w:rsid w:val="002555D9"/>
    <w:rsid w:val="00255FDB"/>
    <w:rsid w:val="00277856"/>
    <w:rsid w:val="00291191"/>
    <w:rsid w:val="002B08F4"/>
    <w:rsid w:val="002C3BF0"/>
    <w:rsid w:val="002D77C2"/>
    <w:rsid w:val="002E2AB7"/>
    <w:rsid w:val="00310BFC"/>
    <w:rsid w:val="0034362B"/>
    <w:rsid w:val="0038736A"/>
    <w:rsid w:val="003C34AB"/>
    <w:rsid w:val="003C5416"/>
    <w:rsid w:val="003E3B16"/>
    <w:rsid w:val="004275EC"/>
    <w:rsid w:val="004354AE"/>
    <w:rsid w:val="0044701A"/>
    <w:rsid w:val="00462517"/>
    <w:rsid w:val="0048576D"/>
    <w:rsid w:val="004A7771"/>
    <w:rsid w:val="004F66B3"/>
    <w:rsid w:val="005047E4"/>
    <w:rsid w:val="0051290D"/>
    <w:rsid w:val="005165D2"/>
    <w:rsid w:val="00522381"/>
    <w:rsid w:val="00536486"/>
    <w:rsid w:val="00542158"/>
    <w:rsid w:val="00552388"/>
    <w:rsid w:val="00562FA3"/>
    <w:rsid w:val="00566380"/>
    <w:rsid w:val="00583803"/>
    <w:rsid w:val="005978FA"/>
    <w:rsid w:val="005A767B"/>
    <w:rsid w:val="005B04DF"/>
    <w:rsid w:val="005D3458"/>
    <w:rsid w:val="0060251B"/>
    <w:rsid w:val="00602677"/>
    <w:rsid w:val="006075A4"/>
    <w:rsid w:val="00624AFF"/>
    <w:rsid w:val="006415D5"/>
    <w:rsid w:val="0067153F"/>
    <w:rsid w:val="00696B41"/>
    <w:rsid w:val="006B09E5"/>
    <w:rsid w:val="006C3CD5"/>
    <w:rsid w:val="006F2B63"/>
    <w:rsid w:val="00702024"/>
    <w:rsid w:val="00702D8C"/>
    <w:rsid w:val="0075561B"/>
    <w:rsid w:val="00757D6D"/>
    <w:rsid w:val="007729A0"/>
    <w:rsid w:val="00782E10"/>
    <w:rsid w:val="00792C11"/>
    <w:rsid w:val="007C2E97"/>
    <w:rsid w:val="007E382E"/>
    <w:rsid w:val="0082437A"/>
    <w:rsid w:val="00837FF6"/>
    <w:rsid w:val="00845CD1"/>
    <w:rsid w:val="00871587"/>
    <w:rsid w:val="008719D8"/>
    <w:rsid w:val="00873850"/>
    <w:rsid w:val="008C34B4"/>
    <w:rsid w:val="009116E4"/>
    <w:rsid w:val="00922F1E"/>
    <w:rsid w:val="00975348"/>
    <w:rsid w:val="0098311A"/>
    <w:rsid w:val="009913B6"/>
    <w:rsid w:val="009B4DBA"/>
    <w:rsid w:val="009C21C3"/>
    <w:rsid w:val="009C2CBE"/>
    <w:rsid w:val="00A24A95"/>
    <w:rsid w:val="00A34EB9"/>
    <w:rsid w:val="00A44DA6"/>
    <w:rsid w:val="00A50089"/>
    <w:rsid w:val="00A66BF2"/>
    <w:rsid w:val="00A73FA9"/>
    <w:rsid w:val="00A74E27"/>
    <w:rsid w:val="00A83053"/>
    <w:rsid w:val="00A86A2F"/>
    <w:rsid w:val="00A91933"/>
    <w:rsid w:val="00A924CE"/>
    <w:rsid w:val="00A965AC"/>
    <w:rsid w:val="00A975CF"/>
    <w:rsid w:val="00AA6679"/>
    <w:rsid w:val="00AB116C"/>
    <w:rsid w:val="00AB7F87"/>
    <w:rsid w:val="00AE1674"/>
    <w:rsid w:val="00AE5FCD"/>
    <w:rsid w:val="00B07813"/>
    <w:rsid w:val="00B33A99"/>
    <w:rsid w:val="00B40C5A"/>
    <w:rsid w:val="00B53E15"/>
    <w:rsid w:val="00B62088"/>
    <w:rsid w:val="00B81B74"/>
    <w:rsid w:val="00BC522B"/>
    <w:rsid w:val="00BD7FB3"/>
    <w:rsid w:val="00BE1F3C"/>
    <w:rsid w:val="00BE506C"/>
    <w:rsid w:val="00BE6DFA"/>
    <w:rsid w:val="00C02D3A"/>
    <w:rsid w:val="00C32196"/>
    <w:rsid w:val="00C558BD"/>
    <w:rsid w:val="00C842B1"/>
    <w:rsid w:val="00C9050B"/>
    <w:rsid w:val="00C91705"/>
    <w:rsid w:val="00C92B6C"/>
    <w:rsid w:val="00CB2E4E"/>
    <w:rsid w:val="00CF7284"/>
    <w:rsid w:val="00D05673"/>
    <w:rsid w:val="00D1064D"/>
    <w:rsid w:val="00D515AA"/>
    <w:rsid w:val="00D54367"/>
    <w:rsid w:val="00D80D0E"/>
    <w:rsid w:val="00DA1BD6"/>
    <w:rsid w:val="00E014FB"/>
    <w:rsid w:val="00E10A4F"/>
    <w:rsid w:val="00E2166F"/>
    <w:rsid w:val="00E300D5"/>
    <w:rsid w:val="00E64486"/>
    <w:rsid w:val="00E756AF"/>
    <w:rsid w:val="00E91D96"/>
    <w:rsid w:val="00EA1275"/>
    <w:rsid w:val="00EB25A2"/>
    <w:rsid w:val="00EB2CCC"/>
    <w:rsid w:val="00EC73B6"/>
    <w:rsid w:val="00F23218"/>
    <w:rsid w:val="00F31126"/>
    <w:rsid w:val="00F66D27"/>
    <w:rsid w:val="00F70639"/>
    <w:rsid w:val="00F92C30"/>
    <w:rsid w:val="00F93FE2"/>
    <w:rsid w:val="00F97C46"/>
    <w:rsid w:val="00FA30B0"/>
    <w:rsid w:val="00FA6B5D"/>
    <w:rsid w:val="00FE263B"/>
    <w:rsid w:val="00FE6920"/>
    <w:rsid w:val="00FE7D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2898E6A"/>
  <w15:chartTrackingRefBased/>
  <w15:docId w15:val="{B0000E28-44AD-419A-A014-2BDD3AB1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639"/>
    <w:pPr>
      <w:spacing w:after="0" w:line="240" w:lineRule="auto"/>
    </w:pPr>
    <w:rPr>
      <w:rFonts w:ascii="Calibri" w:hAnsi="Calibri" w:cs="Times New Roman"/>
      <w:lang w:eastAsia="fr-BE"/>
    </w:rPr>
  </w:style>
  <w:style w:type="paragraph" w:styleId="Heading1">
    <w:name w:val="heading 1"/>
    <w:basedOn w:val="Normal"/>
    <w:next w:val="Normal"/>
    <w:link w:val="Heading1Char"/>
    <w:uiPriority w:val="9"/>
    <w:qFormat/>
    <w:rsid w:val="00A73FA9"/>
    <w:pPr>
      <w:keepNext/>
      <w:keepLines/>
      <w:spacing w:before="240" w:line="259" w:lineRule="auto"/>
      <w:jc w:val="center"/>
      <w:outlineLvl w:val="0"/>
    </w:pPr>
    <w:rPr>
      <w:rFonts w:ascii="Tahoma" w:eastAsiaTheme="majorEastAsia" w:hAnsi="Tahoma" w:cstheme="majorBidi"/>
      <w:b/>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232E25"/>
    <w:pPr>
      <w:keepNext/>
      <w:keepLines/>
      <w:spacing w:before="40" w:line="259" w:lineRule="auto"/>
      <w:outlineLvl w:val="1"/>
    </w:pPr>
    <w:rPr>
      <w:rFonts w:asciiTheme="majorHAnsi" w:eastAsiaTheme="majorEastAsia" w:hAnsiTheme="majorHAnsi" w:cstheme="majorBidi"/>
      <w:b/>
      <w:color w:val="BF8F00" w:themeColor="accent4" w:themeShade="BF"/>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FA9"/>
    <w:rPr>
      <w:rFonts w:ascii="Tahoma" w:eastAsiaTheme="majorEastAsia" w:hAnsi="Tahoma" w:cstheme="majorBidi"/>
      <w:b/>
      <w:color w:val="2E74B5" w:themeColor="accent1" w:themeShade="BF"/>
      <w:sz w:val="32"/>
      <w:szCs w:val="32"/>
    </w:rPr>
  </w:style>
  <w:style w:type="paragraph" w:styleId="TOCHeading">
    <w:name w:val="TOC Heading"/>
    <w:basedOn w:val="Heading1"/>
    <w:next w:val="Normal"/>
    <w:uiPriority w:val="39"/>
    <w:unhideWhenUsed/>
    <w:qFormat/>
    <w:rsid w:val="00BE506C"/>
    <w:pPr>
      <w:outlineLvl w:val="9"/>
    </w:pPr>
    <w:rPr>
      <w:lang w:val="en-US"/>
    </w:rPr>
  </w:style>
  <w:style w:type="paragraph" w:styleId="TOC1">
    <w:name w:val="toc 1"/>
    <w:basedOn w:val="Normal"/>
    <w:next w:val="Normal"/>
    <w:autoRedefine/>
    <w:uiPriority w:val="39"/>
    <w:unhideWhenUsed/>
    <w:rsid w:val="00F66D27"/>
    <w:pPr>
      <w:tabs>
        <w:tab w:val="right" w:leader="dot" w:pos="9736"/>
      </w:tabs>
      <w:spacing w:after="100" w:line="259" w:lineRule="auto"/>
    </w:pPr>
    <w:rPr>
      <w:rFonts w:asciiTheme="minorHAnsi" w:hAnsiTheme="minorHAnsi" w:cstheme="minorBidi"/>
      <w:b/>
      <w:noProof/>
      <w:sz w:val="28"/>
      <w:lang w:val="en-US" w:eastAsia="en-US"/>
    </w:rPr>
  </w:style>
  <w:style w:type="character" w:styleId="Hyperlink">
    <w:name w:val="Hyperlink"/>
    <w:basedOn w:val="DefaultParagraphFont"/>
    <w:uiPriority w:val="99"/>
    <w:unhideWhenUsed/>
    <w:rsid w:val="00922F1E"/>
    <w:rPr>
      <w:color w:val="0563C1" w:themeColor="hyperlink"/>
      <w:u w:val="single"/>
    </w:rPr>
  </w:style>
  <w:style w:type="paragraph" w:styleId="Header">
    <w:name w:val="header"/>
    <w:basedOn w:val="Normal"/>
    <w:link w:val="HeaderChar"/>
    <w:uiPriority w:val="99"/>
    <w:unhideWhenUsed/>
    <w:rsid w:val="001140DC"/>
    <w:pPr>
      <w:tabs>
        <w:tab w:val="center" w:pos="4536"/>
        <w:tab w:val="right" w:pos="9072"/>
      </w:tabs>
    </w:pPr>
    <w:rPr>
      <w:rFonts w:asciiTheme="minorHAnsi" w:hAnsiTheme="minorHAnsi" w:cstheme="minorBidi"/>
      <w:lang w:eastAsia="en-US"/>
    </w:rPr>
  </w:style>
  <w:style w:type="character" w:customStyle="1" w:styleId="HeaderChar">
    <w:name w:val="Header Char"/>
    <w:basedOn w:val="DefaultParagraphFont"/>
    <w:link w:val="Header"/>
    <w:uiPriority w:val="99"/>
    <w:rsid w:val="001140DC"/>
  </w:style>
  <w:style w:type="paragraph" w:styleId="Footer">
    <w:name w:val="footer"/>
    <w:basedOn w:val="Normal"/>
    <w:link w:val="FooterChar"/>
    <w:uiPriority w:val="99"/>
    <w:unhideWhenUsed/>
    <w:rsid w:val="001140DC"/>
    <w:pPr>
      <w:tabs>
        <w:tab w:val="center" w:pos="4536"/>
        <w:tab w:val="right" w:pos="9072"/>
      </w:tabs>
    </w:pPr>
    <w:rPr>
      <w:rFonts w:asciiTheme="minorHAnsi" w:hAnsiTheme="minorHAnsi" w:cstheme="minorBidi"/>
      <w:lang w:eastAsia="en-US"/>
    </w:rPr>
  </w:style>
  <w:style w:type="character" w:customStyle="1" w:styleId="FooterChar">
    <w:name w:val="Footer Char"/>
    <w:basedOn w:val="DefaultParagraphFont"/>
    <w:link w:val="Footer"/>
    <w:uiPriority w:val="99"/>
    <w:rsid w:val="001140DC"/>
  </w:style>
  <w:style w:type="character" w:customStyle="1" w:styleId="Heading2Char">
    <w:name w:val="Heading 2 Char"/>
    <w:basedOn w:val="DefaultParagraphFont"/>
    <w:link w:val="Heading2"/>
    <w:uiPriority w:val="9"/>
    <w:rsid w:val="00232E25"/>
    <w:rPr>
      <w:rFonts w:asciiTheme="majorHAnsi" w:eastAsiaTheme="majorEastAsia" w:hAnsiTheme="majorHAnsi" w:cstheme="majorBidi"/>
      <w:b/>
      <w:color w:val="BF8F00" w:themeColor="accent4" w:themeShade="BF"/>
      <w:sz w:val="28"/>
      <w:szCs w:val="26"/>
    </w:rPr>
  </w:style>
  <w:style w:type="paragraph" w:styleId="TOC2">
    <w:name w:val="toc 2"/>
    <w:basedOn w:val="Normal"/>
    <w:next w:val="Normal"/>
    <w:autoRedefine/>
    <w:uiPriority w:val="39"/>
    <w:unhideWhenUsed/>
    <w:rsid w:val="001140DC"/>
    <w:pPr>
      <w:spacing w:after="100" w:line="259" w:lineRule="auto"/>
      <w:ind w:left="220"/>
    </w:pPr>
    <w:rPr>
      <w:rFonts w:asciiTheme="minorHAnsi" w:hAnsiTheme="minorHAnsi" w:cstheme="minorBidi"/>
      <w:lang w:eastAsia="en-US"/>
    </w:rPr>
  </w:style>
  <w:style w:type="table" w:styleId="TableGrid">
    <w:name w:val="Table Grid"/>
    <w:basedOn w:val="TableNormal"/>
    <w:uiPriority w:val="39"/>
    <w:rsid w:val="00641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E1F3C"/>
    <w:rPr>
      <w:color w:val="954F72" w:themeColor="followedHyperlink"/>
      <w:u w:val="single"/>
    </w:rPr>
  </w:style>
  <w:style w:type="paragraph" w:styleId="ListParagraph">
    <w:name w:val="List Paragraph"/>
    <w:basedOn w:val="Normal"/>
    <w:uiPriority w:val="34"/>
    <w:qFormat/>
    <w:rsid w:val="00A73FA9"/>
    <w:pPr>
      <w:spacing w:after="160" w:line="259" w:lineRule="auto"/>
      <w:ind w:left="720"/>
      <w:contextualSpacing/>
    </w:pPr>
    <w:rPr>
      <w:rFonts w:asciiTheme="minorHAnsi" w:hAnsiTheme="minorHAnsi" w:cstheme="minorBidi"/>
      <w:lang w:eastAsia="en-US"/>
    </w:rPr>
  </w:style>
  <w:style w:type="character" w:styleId="CommentReference">
    <w:name w:val="annotation reference"/>
    <w:basedOn w:val="DefaultParagraphFont"/>
    <w:uiPriority w:val="99"/>
    <w:semiHidden/>
    <w:unhideWhenUsed/>
    <w:rsid w:val="00EA1275"/>
    <w:rPr>
      <w:sz w:val="16"/>
      <w:szCs w:val="16"/>
    </w:rPr>
  </w:style>
  <w:style w:type="paragraph" w:styleId="CommentText">
    <w:name w:val="annotation text"/>
    <w:basedOn w:val="Normal"/>
    <w:link w:val="CommentTextChar"/>
    <w:uiPriority w:val="99"/>
    <w:semiHidden/>
    <w:unhideWhenUsed/>
    <w:rsid w:val="00EA1275"/>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EA1275"/>
    <w:rPr>
      <w:sz w:val="20"/>
      <w:szCs w:val="20"/>
    </w:rPr>
  </w:style>
  <w:style w:type="paragraph" w:styleId="CommentSubject">
    <w:name w:val="annotation subject"/>
    <w:basedOn w:val="CommentText"/>
    <w:next w:val="CommentText"/>
    <w:link w:val="CommentSubjectChar"/>
    <w:uiPriority w:val="99"/>
    <w:semiHidden/>
    <w:unhideWhenUsed/>
    <w:rsid w:val="00EA1275"/>
    <w:rPr>
      <w:b/>
      <w:bCs/>
    </w:rPr>
  </w:style>
  <w:style w:type="character" w:customStyle="1" w:styleId="CommentSubjectChar">
    <w:name w:val="Comment Subject Char"/>
    <w:basedOn w:val="CommentTextChar"/>
    <w:link w:val="CommentSubject"/>
    <w:uiPriority w:val="99"/>
    <w:semiHidden/>
    <w:rsid w:val="00EA1275"/>
    <w:rPr>
      <w:b/>
      <w:bCs/>
      <w:sz w:val="20"/>
      <w:szCs w:val="20"/>
    </w:rPr>
  </w:style>
  <w:style w:type="paragraph" w:styleId="BalloonText">
    <w:name w:val="Balloon Text"/>
    <w:basedOn w:val="Normal"/>
    <w:link w:val="BalloonTextChar"/>
    <w:uiPriority w:val="99"/>
    <w:semiHidden/>
    <w:unhideWhenUsed/>
    <w:rsid w:val="00EA1275"/>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EA1275"/>
    <w:rPr>
      <w:rFonts w:ascii="Segoe UI" w:hAnsi="Segoe UI" w:cs="Segoe UI"/>
      <w:sz w:val="18"/>
      <w:szCs w:val="18"/>
    </w:rPr>
  </w:style>
  <w:style w:type="paragraph" w:styleId="NormalWeb">
    <w:name w:val="Normal (Web)"/>
    <w:basedOn w:val="Normal"/>
    <w:uiPriority w:val="99"/>
    <w:semiHidden/>
    <w:unhideWhenUsed/>
    <w:rsid w:val="0082437A"/>
    <w:pPr>
      <w:spacing w:before="100" w:beforeAutospacing="1" w:after="100" w:afterAutospacing="1"/>
    </w:pPr>
    <w:rPr>
      <w:rFonts w:ascii="Times New Roman" w:hAnsi="Times New Roman"/>
      <w:sz w:val="24"/>
      <w:szCs w:val="24"/>
    </w:rPr>
  </w:style>
  <w:style w:type="character" w:customStyle="1" w:styleId="textexposedshow">
    <w:name w:val="text_exposed_show"/>
    <w:basedOn w:val="DefaultParagraphFont"/>
    <w:rsid w:val="0082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51314">
      <w:bodyDiv w:val="1"/>
      <w:marLeft w:val="0"/>
      <w:marRight w:val="0"/>
      <w:marTop w:val="0"/>
      <w:marBottom w:val="0"/>
      <w:divBdr>
        <w:top w:val="none" w:sz="0" w:space="0" w:color="auto"/>
        <w:left w:val="none" w:sz="0" w:space="0" w:color="auto"/>
        <w:bottom w:val="none" w:sz="0" w:space="0" w:color="auto"/>
        <w:right w:val="none" w:sz="0" w:space="0" w:color="auto"/>
      </w:divBdr>
    </w:div>
    <w:div w:id="358120418">
      <w:bodyDiv w:val="1"/>
      <w:marLeft w:val="0"/>
      <w:marRight w:val="0"/>
      <w:marTop w:val="0"/>
      <w:marBottom w:val="0"/>
      <w:divBdr>
        <w:top w:val="none" w:sz="0" w:space="0" w:color="auto"/>
        <w:left w:val="none" w:sz="0" w:space="0" w:color="auto"/>
        <w:bottom w:val="none" w:sz="0" w:space="0" w:color="auto"/>
        <w:right w:val="none" w:sz="0" w:space="0" w:color="auto"/>
      </w:divBdr>
    </w:div>
    <w:div w:id="629172669">
      <w:bodyDiv w:val="1"/>
      <w:marLeft w:val="0"/>
      <w:marRight w:val="0"/>
      <w:marTop w:val="0"/>
      <w:marBottom w:val="0"/>
      <w:divBdr>
        <w:top w:val="none" w:sz="0" w:space="0" w:color="auto"/>
        <w:left w:val="none" w:sz="0" w:space="0" w:color="auto"/>
        <w:bottom w:val="none" w:sz="0" w:space="0" w:color="auto"/>
        <w:right w:val="none" w:sz="0" w:space="0" w:color="auto"/>
      </w:divBdr>
    </w:div>
    <w:div w:id="638221899">
      <w:bodyDiv w:val="1"/>
      <w:marLeft w:val="0"/>
      <w:marRight w:val="0"/>
      <w:marTop w:val="0"/>
      <w:marBottom w:val="0"/>
      <w:divBdr>
        <w:top w:val="none" w:sz="0" w:space="0" w:color="auto"/>
        <w:left w:val="none" w:sz="0" w:space="0" w:color="auto"/>
        <w:bottom w:val="none" w:sz="0" w:space="0" w:color="auto"/>
        <w:right w:val="none" w:sz="0" w:space="0" w:color="auto"/>
      </w:divBdr>
    </w:div>
    <w:div w:id="805393295">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1489788705">
      <w:bodyDiv w:val="1"/>
      <w:marLeft w:val="0"/>
      <w:marRight w:val="0"/>
      <w:marTop w:val="0"/>
      <w:marBottom w:val="0"/>
      <w:divBdr>
        <w:top w:val="none" w:sz="0" w:space="0" w:color="auto"/>
        <w:left w:val="none" w:sz="0" w:space="0" w:color="auto"/>
        <w:bottom w:val="none" w:sz="0" w:space="0" w:color="auto"/>
        <w:right w:val="none" w:sz="0" w:space="0" w:color="auto"/>
      </w:divBdr>
    </w:div>
    <w:div w:id="1688630473">
      <w:bodyDiv w:val="1"/>
      <w:marLeft w:val="0"/>
      <w:marRight w:val="0"/>
      <w:marTop w:val="0"/>
      <w:marBottom w:val="0"/>
      <w:divBdr>
        <w:top w:val="none" w:sz="0" w:space="0" w:color="auto"/>
        <w:left w:val="none" w:sz="0" w:space="0" w:color="auto"/>
        <w:bottom w:val="none" w:sz="0" w:space="0" w:color="auto"/>
        <w:right w:val="none" w:sz="0" w:space="0" w:color="auto"/>
      </w:divBdr>
    </w:div>
    <w:div w:id="1758289845">
      <w:bodyDiv w:val="1"/>
      <w:marLeft w:val="0"/>
      <w:marRight w:val="0"/>
      <w:marTop w:val="0"/>
      <w:marBottom w:val="0"/>
      <w:divBdr>
        <w:top w:val="none" w:sz="0" w:space="0" w:color="auto"/>
        <w:left w:val="none" w:sz="0" w:space="0" w:color="auto"/>
        <w:bottom w:val="none" w:sz="0" w:space="0" w:color="auto"/>
        <w:right w:val="none" w:sz="0" w:space="0" w:color="auto"/>
      </w:divBdr>
    </w:div>
    <w:div w:id="1857650626">
      <w:bodyDiv w:val="1"/>
      <w:marLeft w:val="0"/>
      <w:marRight w:val="0"/>
      <w:marTop w:val="0"/>
      <w:marBottom w:val="0"/>
      <w:divBdr>
        <w:top w:val="none" w:sz="0" w:space="0" w:color="auto"/>
        <w:left w:val="none" w:sz="0" w:space="0" w:color="auto"/>
        <w:bottom w:val="none" w:sz="0" w:space="0" w:color="auto"/>
        <w:right w:val="none" w:sz="0" w:space="0" w:color="auto"/>
      </w:divBdr>
    </w:div>
    <w:div w:id="1914655890">
      <w:bodyDiv w:val="1"/>
      <w:marLeft w:val="0"/>
      <w:marRight w:val="0"/>
      <w:marTop w:val="0"/>
      <w:marBottom w:val="0"/>
      <w:divBdr>
        <w:top w:val="none" w:sz="0" w:space="0" w:color="auto"/>
        <w:left w:val="none" w:sz="0" w:space="0" w:color="auto"/>
        <w:bottom w:val="none" w:sz="0" w:space="0" w:color="auto"/>
        <w:right w:val="none" w:sz="0" w:space="0" w:color="auto"/>
      </w:divBdr>
    </w:div>
    <w:div w:id="20080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quineteurope.org/Joint-appeal-for-European" TargetMode="External"/><Relationship Id="rId18" Type="http://schemas.openxmlformats.org/officeDocument/2006/relationships/hyperlink" Target="http://fra.europa.eu/en/news/2015/new-fra-management-board-members-take-office?_cldee=amVzc2ljYS5tYWNoYWNvdmFAZXF1aW5ldGV1cm9wZS5vcmc%3d&amp;urlid=10" TargetMode="External"/><Relationship Id="rId26" Type="http://schemas.openxmlformats.org/officeDocument/2006/relationships/hyperlink" Target="http://ec.europa.eu/justice/newsroom/fundamental-rights/news/20150713_en.htm" TargetMode="External"/><Relationship Id="rId39" Type="http://schemas.openxmlformats.org/officeDocument/2006/relationships/hyperlink" Target="http://fra.europa.eu/en/news/2015/eu-crpd-framework-site-launched" TargetMode="External"/><Relationship Id="rId3" Type="http://schemas.openxmlformats.org/officeDocument/2006/relationships/styles" Target="styles.xml"/><Relationship Id="rId21" Type="http://schemas.openxmlformats.org/officeDocument/2006/relationships/hyperlink" Target="http://www.europarl.europa.eu/sides/getDoc.do?type=COMPARL&amp;reference=PE-554.696&amp;format=PDF&amp;language=EN&amp;secondRef=02" TargetMode="External"/><Relationship Id="rId34" Type="http://schemas.openxmlformats.org/officeDocument/2006/relationships/hyperlink" Target="http://ec.europa.eu/justice/newsroom/contracts/2015_239895_en.htm" TargetMode="External"/><Relationship Id="rId42" Type="http://schemas.openxmlformats.org/officeDocument/2006/relationships/hyperlink" Target="http://curia.europa.eu/jcms/upload/docs/application/pdf/2015-07/cp150089en.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ntidiskriminierungsstelle.de/SharedDocs/Aktuelles/DE/2015/20150723_Gemeinsame_Erklaerung.html" TargetMode="External"/><Relationship Id="rId17" Type="http://schemas.openxmlformats.org/officeDocument/2006/relationships/hyperlink" Target="http://www.eu2015lu.eu/en/index.html" TargetMode="External"/><Relationship Id="rId25" Type="http://schemas.openxmlformats.org/officeDocument/2006/relationships/image" Target="media/image4.jpeg"/><Relationship Id="rId33" Type="http://schemas.openxmlformats.org/officeDocument/2006/relationships/hyperlink" Target="http://eige.europa.eu/about-eige/procurement/eige-2015-oper-20" TargetMode="External"/><Relationship Id="rId38" Type="http://schemas.openxmlformats.org/officeDocument/2006/relationships/hyperlink" Target="http://www.coe.int/t/dg4/lgbt/default_EN.asp"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europarl.europa.eu/sides/getDoc.do?type=REPORT&amp;reference=A8-2015-0213&amp;format=XML&amp;language=EN" TargetMode="External"/><Relationship Id="rId29" Type="http://schemas.openxmlformats.org/officeDocument/2006/relationships/image" Target="media/image5.png"/><Relationship Id="rId41" Type="http://schemas.openxmlformats.org/officeDocument/2006/relationships/hyperlink" Target="http://curia.europa.eu/jcms/upload/docs/application/pdf/2015-07/cp150084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neteurope.org/IMG/pdf/20150723_joint_statement_en.pdf" TargetMode="External"/><Relationship Id="rId24" Type="http://schemas.openxmlformats.org/officeDocument/2006/relationships/hyperlink" Target="http://www.equineteurope.org/ECRI-Consultation-on-the-next" TargetMode="External"/><Relationship Id="rId32" Type="http://schemas.openxmlformats.org/officeDocument/2006/relationships/hyperlink" Target="http://ec.europa.eu/justice/grants1/calls/2015_action_grants/just_2015_rdap_ag_sexv_en.htm" TargetMode="External"/><Relationship Id="rId37" Type="http://schemas.openxmlformats.org/officeDocument/2006/relationships/hyperlink" Target="http://www.coe.int/t/dghl/monitoring/ecri/activities/48-Seminar_national_specialised_bodies_2014/Study%20-%20Niall%20Crowley%20-%20with%20cover%20page.pdf" TargetMode="External"/><Relationship Id="rId40" Type="http://schemas.openxmlformats.org/officeDocument/2006/relationships/hyperlink" Target="http://curia.europa.eu/jcms/upload/docs/application/pdf/2015-07/cp150078en.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quineteurope.org/Head-of-Germany-s-Equality-Body" TargetMode="External"/><Relationship Id="rId23" Type="http://schemas.openxmlformats.org/officeDocument/2006/relationships/hyperlink" Target="http://www.consilium.europa.eu/register/en/content/out/?&amp;typ=ENTRY&amp;i=LD&amp;DOC_ID=ST-9302-2015-INIT" TargetMode="External"/><Relationship Id="rId28" Type="http://schemas.openxmlformats.org/officeDocument/2006/relationships/hyperlink" Target="http://www.europarl.europa.eu/sides/getDoc.do?pubRef=-%2f%2fEP%2f%2fNONSGML%2bWDECL%2bP8-DCL-2015-0015%2b0%2bDOC%2bPDF%2bV0%2f%2fEN" TargetMode="External"/><Relationship Id="rId36" Type="http://schemas.openxmlformats.org/officeDocument/2006/relationships/hyperlink" Target="http://www.coe.int/t/dghl/monitoring/ecri/Library/PressReleases/197-09_07_2015_AnnualReport2014_en.asp" TargetMode="External"/><Relationship Id="rId10" Type="http://schemas.openxmlformats.org/officeDocument/2006/relationships/image" Target="media/image2.png"/><Relationship Id="rId19" Type="http://schemas.openxmlformats.org/officeDocument/2006/relationships/hyperlink" Target="http://www.europarl.europa.eu/sides/getDoc.do?type=REPORT&amp;reference=A8-2015-0206&amp;format=XML&amp;language=EN" TargetMode="External"/><Relationship Id="rId31" Type="http://schemas.openxmlformats.org/officeDocument/2006/relationships/hyperlink" Target="http://ec.europa.eu/justice/events/future-of-gender-equality-2015/files/report_forum_gender_equality_en.pdf" TargetMode="External"/><Relationship Id="rId44" Type="http://schemas.openxmlformats.org/officeDocument/2006/relationships/hyperlink" Target="http://hudoc.echr.coe.int/sites/eng/pages/search.aspx?i=001-156265" TargetMode="External"/><Relationship Id="rId4" Type="http://schemas.openxmlformats.org/officeDocument/2006/relationships/settings" Target="settings.xml"/><Relationship Id="rId9" Type="http://schemas.openxmlformats.org/officeDocument/2006/relationships/hyperlink" Target="mailto:Jessica.machacova@equineteurope.org" TargetMode="External"/><Relationship Id="rId14" Type="http://schemas.openxmlformats.org/officeDocument/2006/relationships/hyperlink" Target="http://www.equineteurope.org/FADAmeetingHorizontalDirective" TargetMode="External"/><Relationship Id="rId22" Type="http://schemas.openxmlformats.org/officeDocument/2006/relationships/hyperlink" Target="http://www.europarl.europa.eu/sides/getDoc.do?type=COMPARL&amp;reference=PE-557.295&amp;format=PDF&amp;language=EN&amp;secondRef=02" TargetMode="External"/><Relationship Id="rId27" Type="http://schemas.openxmlformats.org/officeDocument/2006/relationships/hyperlink" Target="http://ec.europa.eu/justice/events/colloquium-fundamental-rights-2015/index_en.htm" TargetMode="External"/><Relationship Id="rId30" Type="http://schemas.openxmlformats.org/officeDocument/2006/relationships/hyperlink" Target="http://blog.nohatespeechmovement.org/european-action-day-for-victims-of-hate-crime/" TargetMode="External"/><Relationship Id="rId35" Type="http://schemas.openxmlformats.org/officeDocument/2006/relationships/hyperlink" Target="http://ec.europa.eu/justice/grants1/calls/2015_action_grants/just_2015_rdis_ag_nrcp_en.htm" TargetMode="External"/><Relationship Id="rId43" Type="http://schemas.openxmlformats.org/officeDocument/2006/relationships/hyperlink" Target="http://hudoc.echr.coe.int/webservices/content/pdf/003-5129513-6330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AD75-A96C-4A9E-98A2-AF6F8D79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8</Pages>
  <Words>2886</Words>
  <Characters>15878</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Machacova</dc:creator>
  <cp:keywords/>
  <dc:description/>
  <cp:lastModifiedBy>Jessica Machacova</cp:lastModifiedBy>
  <cp:revision>34</cp:revision>
  <cp:lastPrinted>2015-06-05T09:25:00Z</cp:lastPrinted>
  <dcterms:created xsi:type="dcterms:W3CDTF">2015-07-28T09:39:00Z</dcterms:created>
  <dcterms:modified xsi:type="dcterms:W3CDTF">2015-07-29T13:09:00Z</dcterms:modified>
</cp:coreProperties>
</file>