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13" w:rsidRDefault="005D3458">
      <w:r w:rsidRPr="00F31126">
        <w:rPr>
          <w:b/>
          <w:noProof/>
          <w:lang w:eastAsia="fr-BE"/>
        </w:rPr>
        <w:drawing>
          <wp:anchor distT="0" distB="0" distL="114300" distR="114300" simplePos="0" relativeHeight="251658240" behindDoc="0" locked="0" layoutInCell="1" allowOverlap="1" wp14:anchorId="4F6EF0C7" wp14:editId="6E17EEB6">
            <wp:simplePos x="0" y="0"/>
            <wp:positionH relativeFrom="page">
              <wp:align>right</wp:align>
            </wp:positionH>
            <wp:positionV relativeFrom="page">
              <wp:posOffset>-19050</wp:posOffset>
            </wp:positionV>
            <wp:extent cx="7667625" cy="20656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625" cy="206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D27" w:rsidRDefault="00F31126" w:rsidP="00F31126">
      <w:pPr>
        <w:jc w:val="both"/>
        <w:rPr>
          <w:lang w:val="en-US"/>
        </w:rPr>
      </w:pPr>
      <w:r w:rsidRPr="00F31126">
        <w:rPr>
          <w:b/>
          <w:lang w:val="en-US"/>
        </w:rPr>
        <w:t xml:space="preserve">Dear Equinet Members, </w:t>
      </w:r>
      <w:r w:rsidRPr="00F31126">
        <w:rPr>
          <w:b/>
          <w:lang w:val="en-US"/>
        </w:rPr>
        <w:tab/>
      </w:r>
      <w:r w:rsidRPr="00F31126">
        <w:rPr>
          <w:b/>
          <w:lang w:val="en-US"/>
        </w:rPr>
        <w:br/>
      </w:r>
      <w:r w:rsidRPr="00F31126">
        <w:rPr>
          <w:lang w:val="en-US"/>
        </w:rPr>
        <w:t xml:space="preserve">This Members’ Bulletin </w:t>
      </w:r>
      <w:r>
        <w:rPr>
          <w:lang w:val="en-US"/>
        </w:rPr>
        <w:t xml:space="preserve">gathers </w:t>
      </w:r>
      <w:r w:rsidRPr="00F66D27">
        <w:rPr>
          <w:b/>
          <w:lang w:val="en-US"/>
        </w:rPr>
        <w:t>the latest European Union (EU) and international developments</w:t>
      </w:r>
      <w:r>
        <w:rPr>
          <w:lang w:val="en-US"/>
        </w:rPr>
        <w:t xml:space="preserve">. It aims to give you an </w:t>
      </w:r>
      <w:r w:rsidRPr="00F66D27">
        <w:rPr>
          <w:b/>
          <w:lang w:val="en-US"/>
        </w:rPr>
        <w:t>overview of relevant policy and legal developments</w:t>
      </w:r>
      <w:r>
        <w:rPr>
          <w:lang w:val="en-US"/>
        </w:rPr>
        <w:t xml:space="preserve">, as well as latest calls for interest, funding opportunities and upcoming events. We very much hope this members’ bulletin will be useful in your day-to-day work and we would be grateful if you could </w:t>
      </w:r>
      <w:r w:rsidRPr="00F66D27">
        <w:rPr>
          <w:b/>
          <w:lang w:val="en-US"/>
        </w:rPr>
        <w:t>disseminate it among your colleagues</w:t>
      </w:r>
      <w:r>
        <w:rPr>
          <w:lang w:val="en-US"/>
        </w:rPr>
        <w:t>. Your feedback is also greatly appreciated. Should you have any comments or further questions, please do not hesitate to contact Jessica Machacova, Equinet Project Officer (</w:t>
      </w:r>
      <w:hyperlink r:id="rId9" w:history="1">
        <w:r w:rsidRPr="00001E93">
          <w:rPr>
            <w:rStyle w:val="Hyperlink"/>
            <w:lang w:val="en-US"/>
          </w:rPr>
          <w:t>Jessica.machacova@equineteurope.org</w:t>
        </w:r>
      </w:hyperlink>
      <w:r>
        <w:rPr>
          <w:lang w:val="en-US"/>
        </w:rPr>
        <w:t xml:space="preserve"> / 0032 2 212 31 80). </w:t>
      </w:r>
    </w:p>
    <w:p w:rsidR="00CF7284" w:rsidRDefault="00CF7284" w:rsidP="00F31126">
      <w:pPr>
        <w:jc w:val="both"/>
        <w:rPr>
          <w:lang w:val="en-US"/>
        </w:rPr>
      </w:pPr>
    </w:p>
    <w:p w:rsidR="002C3BF0" w:rsidRPr="00F66D27" w:rsidRDefault="002C3BF0" w:rsidP="002C3BF0">
      <w:pPr>
        <w:shd w:val="clear" w:color="auto" w:fill="2F5496" w:themeFill="accent5" w:themeFillShade="BF"/>
        <w:jc w:val="center"/>
        <w:rPr>
          <w:b/>
          <w:color w:val="FFFFFF" w:themeColor="background1"/>
          <w:sz w:val="28"/>
          <w:lang w:val="en-US"/>
        </w:rPr>
      </w:pPr>
      <w:r w:rsidRPr="00F66D27">
        <w:rPr>
          <w:b/>
          <w:color w:val="FFFFFF" w:themeColor="background1"/>
          <w:sz w:val="28"/>
          <w:lang w:val="en-US"/>
        </w:rPr>
        <w:t>Equinet Members’ Bulletin on latest EU and internal developments – Table of contents</w:t>
      </w:r>
    </w:p>
    <w:p w:rsidR="002C3BF0" w:rsidRPr="002C3BF0" w:rsidRDefault="002C3BF0" w:rsidP="00F31126">
      <w:pPr>
        <w:jc w:val="both"/>
        <w:rPr>
          <w:b/>
          <w:i/>
          <w:color w:val="FF0000"/>
          <w:lang w:val="en-US"/>
        </w:rPr>
      </w:pPr>
      <w:r w:rsidRPr="002C3BF0">
        <w:rPr>
          <w:b/>
          <w:i/>
          <w:color w:val="FF0000"/>
          <w:lang w:val="en-US"/>
        </w:rPr>
        <w:t>(Ctrl + Click to follow the link)</w:t>
      </w:r>
    </w:p>
    <w:p w:rsidR="002C3BF0" w:rsidRPr="002C3BF0" w:rsidRDefault="002C3BF0" w:rsidP="00F31126">
      <w:pPr>
        <w:jc w:val="both"/>
        <w:rPr>
          <w:color w:val="0070C0"/>
          <w:u w:val="single"/>
          <w:lang w:val="en-US"/>
        </w:rPr>
      </w:pPr>
      <w:r w:rsidRPr="002C3BF0">
        <w:rPr>
          <w:b/>
          <w:color w:val="0070C0"/>
          <w:sz w:val="28"/>
          <w:u w:val="single"/>
          <w:lang w:val="en-US"/>
        </w:rPr>
        <w:fldChar w:fldCharType="begin"/>
      </w:r>
      <w:r w:rsidRPr="002C3BF0">
        <w:rPr>
          <w:b/>
          <w:color w:val="0070C0"/>
          <w:sz w:val="28"/>
          <w:u w:val="single"/>
          <w:lang w:val="en-US"/>
        </w:rPr>
        <w:instrText xml:space="preserve"> REF _Ref418783893 \h  \* MERGEFORMAT </w:instrText>
      </w:r>
      <w:r w:rsidRPr="002C3BF0">
        <w:rPr>
          <w:b/>
          <w:color w:val="0070C0"/>
          <w:sz w:val="28"/>
          <w:u w:val="single"/>
          <w:lang w:val="en-US"/>
        </w:rPr>
      </w:r>
      <w:r w:rsidRPr="002C3BF0">
        <w:rPr>
          <w:b/>
          <w:color w:val="0070C0"/>
          <w:sz w:val="28"/>
          <w:u w:val="single"/>
          <w:lang w:val="en-US"/>
        </w:rPr>
        <w:fldChar w:fldCharType="separate"/>
      </w:r>
      <w:r w:rsidRPr="002C3BF0">
        <w:rPr>
          <w:b/>
          <w:color w:val="0070C0"/>
          <w:sz w:val="28"/>
          <w:u w:val="single"/>
          <w:lang w:val="en-US"/>
        </w:rPr>
        <w:t>Highlight: towards a new Gender Equality Strategy?</w:t>
      </w:r>
      <w:r w:rsidRPr="002C3BF0">
        <w:rPr>
          <w:b/>
          <w:color w:val="0070C0"/>
          <w:sz w:val="28"/>
          <w:u w:val="single"/>
          <w:lang w:val="en-US"/>
        </w:rPr>
        <w:fldChar w:fldCharType="end"/>
      </w:r>
      <w:r w:rsidRPr="002C3BF0">
        <w:rPr>
          <w:color w:val="0070C0"/>
          <w:u w:val="single"/>
          <w:lang w:val="en-US"/>
        </w:rPr>
        <w:t xml:space="preserve"> </w:t>
      </w:r>
    </w:p>
    <w:p w:rsidR="005D3458" w:rsidRPr="002C3BF0" w:rsidRDefault="002C3BF0" w:rsidP="00F31126">
      <w:pPr>
        <w:pStyle w:val="ListParagraph"/>
        <w:numPr>
          <w:ilvl w:val="0"/>
          <w:numId w:val="4"/>
        </w:numPr>
        <w:jc w:val="both"/>
        <w:rPr>
          <w:u w:val="single"/>
          <w:lang w:val="en-US"/>
        </w:rPr>
      </w:pPr>
      <w:r w:rsidRPr="002C3BF0">
        <w:rPr>
          <w:color w:val="0070C0"/>
          <w:u w:val="single"/>
          <w:lang w:val="en-US"/>
        </w:rPr>
        <w:fldChar w:fldCharType="begin"/>
      </w:r>
      <w:r w:rsidRPr="002C3BF0">
        <w:rPr>
          <w:lang w:val="en-US"/>
        </w:rPr>
        <w:instrText xml:space="preserve"> REF _Ref418784175 \h </w:instrText>
      </w:r>
      <w:r>
        <w:rPr>
          <w:color w:val="0070C0"/>
          <w:u w:val="single"/>
          <w:lang w:val="en-US"/>
        </w:rPr>
        <w:instrText xml:space="preserve"> \* MERGEFORMAT </w:instrText>
      </w:r>
      <w:r w:rsidRPr="002C3BF0">
        <w:rPr>
          <w:color w:val="0070C0"/>
          <w:u w:val="single"/>
          <w:lang w:val="en-US"/>
        </w:rPr>
      </w:r>
      <w:r w:rsidRPr="002C3BF0">
        <w:rPr>
          <w:color w:val="0070C0"/>
          <w:u w:val="single"/>
          <w:lang w:val="en-US"/>
        </w:rPr>
        <w:fldChar w:fldCharType="separate"/>
      </w:r>
      <w:r w:rsidRPr="002C3BF0">
        <w:rPr>
          <w:b/>
          <w:color w:val="0070C0"/>
          <w:u w:val="single"/>
          <w:lang w:val="en-US"/>
        </w:rPr>
        <w:t>Public Consultation:</w:t>
      </w:r>
      <w:r w:rsidRPr="002C3BF0">
        <w:rPr>
          <w:b/>
          <w:lang w:val="en-US"/>
        </w:rPr>
        <w:t xml:space="preserve"> </w:t>
      </w:r>
      <w:r w:rsidRPr="002C3BF0">
        <w:rPr>
          <w:lang w:val="en-US"/>
        </w:rPr>
        <w:t>Equality between women and men in the EU (Deadline: 21/07/2015)</w:t>
      </w:r>
      <w:r w:rsidRPr="002C3BF0">
        <w:rPr>
          <w:color w:val="0070C0"/>
          <w:u w:val="single"/>
          <w:lang w:val="en-US"/>
        </w:rPr>
        <w:fldChar w:fldCharType="end"/>
      </w:r>
    </w:p>
    <w:p w:rsidR="002C3BF0" w:rsidRPr="002C3BF0" w:rsidRDefault="002C3BF0" w:rsidP="00F31126">
      <w:pPr>
        <w:pStyle w:val="ListParagraph"/>
        <w:numPr>
          <w:ilvl w:val="0"/>
          <w:numId w:val="4"/>
        </w:numPr>
        <w:jc w:val="both"/>
        <w:rPr>
          <w:u w:val="single"/>
          <w:lang w:val="en-US"/>
        </w:rPr>
      </w:pPr>
      <w:r>
        <w:rPr>
          <w:color w:val="0070C0"/>
          <w:u w:val="single"/>
          <w:lang w:val="en-US"/>
        </w:rPr>
        <w:fldChar w:fldCharType="begin"/>
      </w:r>
      <w:r>
        <w:rPr>
          <w:u w:val="single"/>
          <w:lang w:val="en-US"/>
        </w:rPr>
        <w:instrText xml:space="preserve"> REF _Ref418784224 \h </w:instrText>
      </w:r>
      <w:r>
        <w:rPr>
          <w:color w:val="0070C0"/>
          <w:u w:val="single"/>
          <w:lang w:val="en-US"/>
        </w:rPr>
        <w:instrText xml:space="preserve"> \* MERGEFORMAT </w:instrText>
      </w:r>
      <w:r>
        <w:rPr>
          <w:color w:val="0070C0"/>
          <w:u w:val="single"/>
          <w:lang w:val="en-US"/>
        </w:rPr>
      </w:r>
      <w:r>
        <w:rPr>
          <w:color w:val="0070C0"/>
          <w:u w:val="single"/>
          <w:lang w:val="en-US"/>
        </w:rPr>
        <w:fldChar w:fldCharType="separate"/>
      </w:r>
      <w:r w:rsidRPr="002C3BF0">
        <w:rPr>
          <w:b/>
          <w:color w:val="0070C0"/>
          <w:u w:val="single"/>
          <w:lang w:val="en-US"/>
        </w:rPr>
        <w:t>Policy update:</w:t>
      </w:r>
      <w:r>
        <w:rPr>
          <w:lang w:val="en-US"/>
        </w:rPr>
        <w:t xml:space="preserve"> C</w:t>
      </w:r>
      <w:r w:rsidRPr="006415D5">
        <w:rPr>
          <w:lang w:val="en-US"/>
        </w:rPr>
        <w:t>urrent pending EU Directives on gender equality</w:t>
      </w:r>
      <w:r>
        <w:rPr>
          <w:color w:val="0070C0"/>
          <w:u w:val="single"/>
          <w:lang w:val="en-US"/>
        </w:rPr>
        <w:fldChar w:fldCharType="end"/>
      </w:r>
    </w:p>
    <w:p w:rsidR="002C3BF0" w:rsidRPr="002C3BF0" w:rsidRDefault="002C3BF0" w:rsidP="00F31126">
      <w:pPr>
        <w:pStyle w:val="ListParagraph"/>
        <w:numPr>
          <w:ilvl w:val="0"/>
          <w:numId w:val="4"/>
        </w:numPr>
        <w:jc w:val="both"/>
        <w:rPr>
          <w:u w:val="single"/>
          <w:lang w:val="en-US"/>
        </w:rPr>
      </w:pPr>
      <w:r>
        <w:rPr>
          <w:color w:val="0070C0"/>
          <w:u w:val="single"/>
          <w:lang w:val="en-US"/>
        </w:rPr>
        <w:fldChar w:fldCharType="begin"/>
      </w:r>
      <w:r>
        <w:rPr>
          <w:u w:val="single"/>
          <w:lang w:val="en-US"/>
        </w:rPr>
        <w:instrText xml:space="preserve"> REF _Ref418784249 \h </w:instrText>
      </w:r>
      <w:r>
        <w:rPr>
          <w:color w:val="0070C0"/>
          <w:u w:val="single"/>
          <w:lang w:val="en-US"/>
        </w:rPr>
        <w:instrText xml:space="preserve"> \* MERGEFORMAT </w:instrText>
      </w:r>
      <w:r>
        <w:rPr>
          <w:color w:val="0070C0"/>
          <w:u w:val="single"/>
          <w:lang w:val="en-US"/>
        </w:rPr>
      </w:r>
      <w:r>
        <w:rPr>
          <w:color w:val="0070C0"/>
          <w:u w:val="single"/>
          <w:lang w:val="en-US"/>
        </w:rPr>
        <w:fldChar w:fldCharType="separate"/>
      </w:r>
      <w:r w:rsidRPr="002C3BF0">
        <w:rPr>
          <w:b/>
          <w:color w:val="0070C0"/>
          <w:u w:val="single"/>
          <w:lang w:val="en-US"/>
        </w:rPr>
        <w:t>Reminder:</w:t>
      </w:r>
      <w:r>
        <w:rPr>
          <w:lang w:val="en-US"/>
        </w:rPr>
        <w:t xml:space="preserve"> </w:t>
      </w:r>
      <w:r w:rsidR="003C34AB">
        <w:rPr>
          <w:lang w:val="en-US"/>
        </w:rPr>
        <w:t>Summary</w:t>
      </w:r>
      <w:r>
        <w:rPr>
          <w:lang w:val="en-US"/>
        </w:rPr>
        <w:t xml:space="preserve"> of Equinet Gender Equality Conference </w:t>
      </w:r>
      <w:r w:rsidR="003C34AB">
        <w:rPr>
          <w:lang w:val="en-US"/>
        </w:rPr>
        <w:t>is</w:t>
      </w:r>
      <w:r>
        <w:rPr>
          <w:lang w:val="en-US"/>
        </w:rPr>
        <w:t xml:space="preserve"> available</w:t>
      </w:r>
      <w:r>
        <w:rPr>
          <w:color w:val="0070C0"/>
          <w:u w:val="single"/>
          <w:lang w:val="en-US"/>
        </w:rPr>
        <w:fldChar w:fldCharType="end"/>
      </w:r>
    </w:p>
    <w:p w:rsidR="002C3BF0" w:rsidRPr="002C3BF0" w:rsidRDefault="002C3BF0" w:rsidP="002C3BF0">
      <w:pPr>
        <w:jc w:val="both"/>
        <w:rPr>
          <w:b/>
          <w:color w:val="0070C0"/>
          <w:sz w:val="28"/>
          <w:u w:val="single"/>
          <w:lang w:val="en-US"/>
        </w:rPr>
      </w:pPr>
      <w:r w:rsidRPr="002C3BF0">
        <w:rPr>
          <w:b/>
          <w:color w:val="0070C0"/>
          <w:sz w:val="28"/>
          <w:u w:val="single"/>
          <w:lang w:val="en-US"/>
        </w:rPr>
        <w:fldChar w:fldCharType="begin"/>
      </w:r>
      <w:r w:rsidRPr="002C3BF0">
        <w:rPr>
          <w:b/>
          <w:color w:val="0070C0"/>
          <w:sz w:val="28"/>
          <w:u w:val="single"/>
          <w:lang w:val="en-US"/>
        </w:rPr>
        <w:instrText xml:space="preserve"> REF _Ref418784288 \h  \* MERGEFORMAT </w:instrText>
      </w:r>
      <w:r w:rsidRPr="002C3BF0">
        <w:rPr>
          <w:b/>
          <w:color w:val="0070C0"/>
          <w:sz w:val="28"/>
          <w:u w:val="single"/>
          <w:lang w:val="en-US"/>
        </w:rPr>
      </w:r>
      <w:r w:rsidRPr="002C3BF0">
        <w:rPr>
          <w:b/>
          <w:color w:val="0070C0"/>
          <w:sz w:val="28"/>
          <w:u w:val="single"/>
          <w:lang w:val="en-US"/>
        </w:rPr>
        <w:fldChar w:fldCharType="separate"/>
      </w:r>
      <w:r w:rsidRPr="002C3BF0">
        <w:rPr>
          <w:b/>
          <w:color w:val="0070C0"/>
          <w:sz w:val="28"/>
          <w:u w:val="single"/>
          <w:lang w:val="en-US"/>
        </w:rPr>
        <w:t>Thematic Policy Developments</w:t>
      </w:r>
      <w:r w:rsidRPr="002C3BF0">
        <w:rPr>
          <w:b/>
          <w:color w:val="0070C0"/>
          <w:sz w:val="28"/>
          <w:u w:val="single"/>
          <w:lang w:val="en-US"/>
        </w:rPr>
        <w:fldChar w:fldCharType="end"/>
      </w:r>
    </w:p>
    <w:p w:rsidR="002C3BF0" w:rsidRDefault="002C3BF0" w:rsidP="002C3BF0">
      <w:pPr>
        <w:pStyle w:val="ListParagraph"/>
        <w:numPr>
          <w:ilvl w:val="0"/>
          <w:numId w:val="5"/>
        </w:numPr>
        <w:jc w:val="both"/>
        <w:rPr>
          <w:u w:val="single"/>
          <w:lang w:val="en-US"/>
        </w:rPr>
      </w:pPr>
      <w:r>
        <w:rPr>
          <w:u w:val="single"/>
          <w:lang w:val="en-US"/>
        </w:rPr>
        <w:fldChar w:fldCharType="begin"/>
      </w:r>
      <w:r>
        <w:rPr>
          <w:u w:val="single"/>
          <w:lang w:val="en-US"/>
        </w:rPr>
        <w:instrText xml:space="preserve"> REF _Ref418784309 \h  \* MERGEFORMAT </w:instrText>
      </w:r>
      <w:r>
        <w:rPr>
          <w:u w:val="single"/>
          <w:lang w:val="en-US"/>
        </w:rPr>
      </w:r>
      <w:r>
        <w:rPr>
          <w:u w:val="single"/>
          <w:lang w:val="en-US"/>
        </w:rPr>
        <w:fldChar w:fldCharType="separate"/>
      </w:r>
      <w:r w:rsidRPr="002C3BF0">
        <w:rPr>
          <w:b/>
          <w:color w:val="2E74B5" w:themeColor="accent1" w:themeShade="BF"/>
          <w:u w:val="single"/>
          <w:lang w:val="en-US"/>
        </w:rPr>
        <w:t>Race/Ethnicity</w:t>
      </w:r>
      <w:r>
        <w:rPr>
          <w:u w:val="single"/>
          <w:lang w:val="en-US"/>
        </w:rPr>
        <w:fldChar w:fldCharType="end"/>
      </w:r>
    </w:p>
    <w:p w:rsidR="002C3BF0" w:rsidRDefault="002C3BF0" w:rsidP="002C3BF0">
      <w:pPr>
        <w:pStyle w:val="ListParagraph"/>
        <w:numPr>
          <w:ilvl w:val="0"/>
          <w:numId w:val="5"/>
        </w:numPr>
        <w:jc w:val="both"/>
        <w:rPr>
          <w:u w:val="single"/>
          <w:lang w:val="en-US"/>
        </w:rPr>
      </w:pPr>
      <w:r>
        <w:rPr>
          <w:u w:val="single"/>
          <w:lang w:val="en-US"/>
        </w:rPr>
        <w:fldChar w:fldCharType="begin"/>
      </w:r>
      <w:r>
        <w:rPr>
          <w:u w:val="single"/>
          <w:lang w:val="en-US"/>
        </w:rPr>
        <w:instrText xml:space="preserve"> REF _Ref418784315 \h  \* MERGEFORMAT </w:instrText>
      </w:r>
      <w:r>
        <w:rPr>
          <w:u w:val="single"/>
          <w:lang w:val="en-US"/>
        </w:rPr>
      </w:r>
      <w:r>
        <w:rPr>
          <w:u w:val="single"/>
          <w:lang w:val="en-US"/>
        </w:rPr>
        <w:fldChar w:fldCharType="separate"/>
      </w:r>
      <w:r w:rsidRPr="002C3BF0">
        <w:rPr>
          <w:b/>
          <w:color w:val="2E74B5" w:themeColor="accent1" w:themeShade="BF"/>
          <w:u w:val="single"/>
          <w:lang w:val="en-US"/>
        </w:rPr>
        <w:t>Sexual Orientation and Gender Identity</w:t>
      </w:r>
      <w:r>
        <w:rPr>
          <w:u w:val="single"/>
          <w:lang w:val="en-US"/>
        </w:rPr>
        <w:fldChar w:fldCharType="end"/>
      </w:r>
      <w:r>
        <w:rPr>
          <w:u w:val="single"/>
          <w:lang w:val="en-US"/>
        </w:rPr>
        <w:fldChar w:fldCharType="begin"/>
      </w:r>
      <w:r>
        <w:rPr>
          <w:u w:val="single"/>
          <w:lang w:val="en-US"/>
        </w:rPr>
        <w:instrText xml:space="preserve"> REF _Ref418784316 \h </w:instrText>
      </w:r>
      <w:r>
        <w:rPr>
          <w:u w:val="single"/>
          <w:lang w:val="en-US"/>
        </w:rPr>
      </w:r>
      <w:r>
        <w:rPr>
          <w:u w:val="single"/>
          <w:lang w:val="en-US"/>
        </w:rPr>
        <w:fldChar w:fldCharType="end"/>
      </w:r>
    </w:p>
    <w:p w:rsidR="002C3BF0" w:rsidRDefault="002C3BF0" w:rsidP="002C3BF0">
      <w:pPr>
        <w:pStyle w:val="ListParagraph"/>
        <w:numPr>
          <w:ilvl w:val="0"/>
          <w:numId w:val="5"/>
        </w:numPr>
        <w:jc w:val="both"/>
        <w:rPr>
          <w:u w:val="single"/>
          <w:lang w:val="en-US"/>
        </w:rPr>
      </w:pPr>
      <w:r>
        <w:rPr>
          <w:u w:val="single"/>
          <w:lang w:val="en-US"/>
        </w:rPr>
        <w:fldChar w:fldCharType="begin"/>
      </w:r>
      <w:r>
        <w:rPr>
          <w:u w:val="single"/>
          <w:lang w:val="en-US"/>
        </w:rPr>
        <w:instrText xml:space="preserve"> REF _Ref418784327 \h  \* MERGEFORMAT </w:instrText>
      </w:r>
      <w:r>
        <w:rPr>
          <w:u w:val="single"/>
          <w:lang w:val="en-US"/>
        </w:rPr>
      </w:r>
      <w:r>
        <w:rPr>
          <w:u w:val="single"/>
          <w:lang w:val="en-US"/>
        </w:rPr>
        <w:fldChar w:fldCharType="separate"/>
      </w:r>
      <w:r w:rsidRPr="002C3BF0">
        <w:rPr>
          <w:b/>
          <w:color w:val="2E74B5" w:themeColor="accent1" w:themeShade="BF"/>
          <w:u w:val="single"/>
          <w:lang w:val="en-US"/>
        </w:rPr>
        <w:t>Religion and Belief</w:t>
      </w:r>
      <w:r>
        <w:rPr>
          <w:u w:val="single"/>
          <w:lang w:val="en-US"/>
        </w:rPr>
        <w:fldChar w:fldCharType="end"/>
      </w:r>
    </w:p>
    <w:p w:rsidR="002C3BF0" w:rsidRDefault="002C3BF0" w:rsidP="002C3BF0">
      <w:pPr>
        <w:pStyle w:val="ListParagraph"/>
        <w:numPr>
          <w:ilvl w:val="0"/>
          <w:numId w:val="5"/>
        </w:numPr>
        <w:jc w:val="both"/>
        <w:rPr>
          <w:u w:val="single"/>
          <w:lang w:val="en-US"/>
        </w:rPr>
      </w:pPr>
      <w:r>
        <w:rPr>
          <w:u w:val="single"/>
          <w:lang w:val="en-US"/>
        </w:rPr>
        <w:fldChar w:fldCharType="begin"/>
      </w:r>
      <w:r>
        <w:rPr>
          <w:u w:val="single"/>
          <w:lang w:val="en-US"/>
        </w:rPr>
        <w:instrText xml:space="preserve"> REF _Ref418784334 \h  \* MERGEFORMAT </w:instrText>
      </w:r>
      <w:r>
        <w:rPr>
          <w:u w:val="single"/>
          <w:lang w:val="en-US"/>
        </w:rPr>
      </w:r>
      <w:r>
        <w:rPr>
          <w:u w:val="single"/>
          <w:lang w:val="en-US"/>
        </w:rPr>
        <w:fldChar w:fldCharType="separate"/>
      </w:r>
      <w:r w:rsidRPr="002C3BF0">
        <w:rPr>
          <w:b/>
          <w:color w:val="2E74B5" w:themeColor="accent1" w:themeShade="BF"/>
          <w:u w:val="single"/>
          <w:lang w:val="en-US"/>
        </w:rPr>
        <w:t>Disability</w:t>
      </w:r>
      <w:r>
        <w:rPr>
          <w:u w:val="single"/>
          <w:lang w:val="en-US"/>
        </w:rPr>
        <w:fldChar w:fldCharType="end"/>
      </w:r>
    </w:p>
    <w:p w:rsidR="002C3BF0" w:rsidRPr="002C3BF0" w:rsidRDefault="002C3BF0" w:rsidP="002C3BF0">
      <w:pPr>
        <w:jc w:val="both"/>
        <w:rPr>
          <w:b/>
          <w:color w:val="2E74B5" w:themeColor="accent1" w:themeShade="BF"/>
          <w:sz w:val="28"/>
          <w:szCs w:val="28"/>
          <w:u w:val="single"/>
          <w:lang w:val="en-US"/>
        </w:rPr>
      </w:pPr>
      <w:r w:rsidRPr="002C3BF0">
        <w:rPr>
          <w:b/>
          <w:color w:val="2E74B5" w:themeColor="accent1" w:themeShade="BF"/>
          <w:sz w:val="28"/>
          <w:szCs w:val="28"/>
          <w:u w:val="single"/>
          <w:lang w:val="en-US"/>
        </w:rPr>
        <w:fldChar w:fldCharType="begin"/>
      </w:r>
      <w:r w:rsidRPr="002C3BF0">
        <w:rPr>
          <w:b/>
          <w:color w:val="2E74B5" w:themeColor="accent1" w:themeShade="BF"/>
          <w:sz w:val="28"/>
          <w:szCs w:val="28"/>
          <w:u w:val="single"/>
          <w:lang w:val="en-US"/>
        </w:rPr>
        <w:instrText xml:space="preserve"> REF _Ref418784342 \h  \* MERGEFORMAT </w:instrText>
      </w:r>
      <w:r w:rsidRPr="002C3BF0">
        <w:rPr>
          <w:b/>
          <w:color w:val="2E74B5" w:themeColor="accent1" w:themeShade="BF"/>
          <w:sz w:val="28"/>
          <w:szCs w:val="28"/>
          <w:u w:val="single"/>
          <w:lang w:val="en-US"/>
        </w:rPr>
      </w:r>
      <w:r w:rsidRPr="002C3BF0">
        <w:rPr>
          <w:b/>
          <w:color w:val="2E74B5" w:themeColor="accent1" w:themeShade="BF"/>
          <w:sz w:val="28"/>
          <w:szCs w:val="28"/>
          <w:u w:val="single"/>
          <w:lang w:val="en-US"/>
        </w:rPr>
        <w:fldChar w:fldCharType="separate"/>
      </w:r>
      <w:r w:rsidRPr="002C3BF0">
        <w:rPr>
          <w:b/>
          <w:color w:val="2E74B5" w:themeColor="accent1" w:themeShade="BF"/>
          <w:sz w:val="28"/>
          <w:szCs w:val="28"/>
          <w:u w:val="single"/>
          <w:lang w:val="en-US"/>
        </w:rPr>
        <w:t>Latest publications, funding opportunities and calls for proposals</w:t>
      </w:r>
      <w:r w:rsidRPr="002C3BF0">
        <w:rPr>
          <w:b/>
          <w:color w:val="2E74B5" w:themeColor="accent1" w:themeShade="BF"/>
          <w:sz w:val="28"/>
          <w:szCs w:val="28"/>
          <w:u w:val="single"/>
          <w:lang w:val="en-US"/>
        </w:rPr>
        <w:fldChar w:fldCharType="end"/>
      </w:r>
    </w:p>
    <w:p w:rsidR="002C3BF0" w:rsidRDefault="002C3BF0" w:rsidP="002C3BF0">
      <w:pPr>
        <w:pStyle w:val="ListParagraph"/>
        <w:numPr>
          <w:ilvl w:val="0"/>
          <w:numId w:val="6"/>
        </w:numPr>
        <w:jc w:val="both"/>
        <w:rPr>
          <w:u w:val="single"/>
          <w:lang w:val="en-US"/>
        </w:rPr>
      </w:pPr>
      <w:r>
        <w:rPr>
          <w:u w:val="single"/>
          <w:lang w:val="en-US"/>
        </w:rPr>
        <w:fldChar w:fldCharType="begin"/>
      </w:r>
      <w:r>
        <w:rPr>
          <w:u w:val="single"/>
          <w:lang w:val="en-US"/>
        </w:rPr>
        <w:instrText xml:space="preserve"> REF _Ref418784351 \h </w:instrText>
      </w:r>
      <w:r w:rsidR="00CF7284">
        <w:rPr>
          <w:u w:val="single"/>
          <w:lang w:val="en-US"/>
        </w:rPr>
        <w:instrText xml:space="preserve"> \* MERGEFORMAT </w:instrText>
      </w:r>
      <w:r>
        <w:rPr>
          <w:u w:val="single"/>
          <w:lang w:val="en-US"/>
        </w:rPr>
      </w:r>
      <w:r>
        <w:rPr>
          <w:u w:val="single"/>
          <w:lang w:val="en-US"/>
        </w:rPr>
        <w:fldChar w:fldCharType="separate"/>
      </w:r>
      <w:r w:rsidRPr="00CF7284">
        <w:rPr>
          <w:b/>
          <w:color w:val="2E74B5" w:themeColor="accent1" w:themeShade="BF"/>
          <w:u w:val="single"/>
          <w:lang w:val="en-US"/>
        </w:rPr>
        <w:t>General information</w:t>
      </w:r>
      <w:r>
        <w:rPr>
          <w:u w:val="single"/>
          <w:lang w:val="en-US"/>
        </w:rPr>
        <w:fldChar w:fldCharType="end"/>
      </w:r>
    </w:p>
    <w:p w:rsidR="002C3BF0" w:rsidRPr="00CF7284" w:rsidRDefault="002C3BF0" w:rsidP="002C3BF0">
      <w:pPr>
        <w:pStyle w:val="ListParagraph"/>
        <w:numPr>
          <w:ilvl w:val="0"/>
          <w:numId w:val="6"/>
        </w:numPr>
        <w:jc w:val="both"/>
        <w:rPr>
          <w:b/>
          <w:u w:val="single"/>
          <w:lang w:val="en-US"/>
        </w:rPr>
      </w:pPr>
      <w:r w:rsidRPr="00CF7284">
        <w:rPr>
          <w:b/>
          <w:u w:val="single"/>
          <w:lang w:val="en-US"/>
        </w:rPr>
        <w:fldChar w:fldCharType="begin"/>
      </w:r>
      <w:r w:rsidRPr="00CF7284">
        <w:rPr>
          <w:b/>
          <w:u w:val="single"/>
          <w:lang w:val="en-US"/>
        </w:rPr>
        <w:instrText xml:space="preserve"> REF _Ref418784357 \h </w:instrText>
      </w:r>
      <w:r w:rsidR="00CF7284">
        <w:rPr>
          <w:b/>
          <w:u w:val="single"/>
          <w:lang w:val="en-US"/>
        </w:rPr>
        <w:instrText xml:space="preserve"> \* MERGEFORMAT </w:instrText>
      </w:r>
      <w:r w:rsidRPr="00CF7284">
        <w:rPr>
          <w:b/>
          <w:u w:val="single"/>
          <w:lang w:val="en-US"/>
        </w:rPr>
      </w:r>
      <w:r w:rsidRPr="00CF7284">
        <w:rPr>
          <w:b/>
          <w:u w:val="single"/>
          <w:lang w:val="en-US"/>
        </w:rPr>
        <w:fldChar w:fldCharType="separate"/>
      </w:r>
      <w:r w:rsidRPr="00CF7284">
        <w:rPr>
          <w:b/>
          <w:color w:val="2E74B5" w:themeColor="accent1" w:themeShade="BF"/>
          <w:u w:val="single"/>
          <w:lang w:val="en-US"/>
        </w:rPr>
        <w:t>Gender Equality</w:t>
      </w:r>
      <w:r w:rsidRPr="00CF7284">
        <w:rPr>
          <w:b/>
          <w:u w:val="single"/>
          <w:lang w:val="en-US"/>
        </w:rPr>
        <w:fldChar w:fldCharType="end"/>
      </w:r>
    </w:p>
    <w:p w:rsidR="002C3BF0" w:rsidRPr="00CF7284" w:rsidRDefault="002C3BF0" w:rsidP="002C3BF0">
      <w:pPr>
        <w:pStyle w:val="ListParagraph"/>
        <w:numPr>
          <w:ilvl w:val="0"/>
          <w:numId w:val="6"/>
        </w:numPr>
        <w:jc w:val="both"/>
        <w:rPr>
          <w:b/>
          <w:u w:val="single"/>
          <w:lang w:val="en-US"/>
        </w:rPr>
      </w:pPr>
      <w:r w:rsidRPr="00CF7284">
        <w:rPr>
          <w:b/>
          <w:u w:val="single"/>
          <w:lang w:val="en-US"/>
        </w:rPr>
        <w:fldChar w:fldCharType="begin"/>
      </w:r>
      <w:r w:rsidRPr="00CF7284">
        <w:rPr>
          <w:b/>
          <w:u w:val="single"/>
          <w:lang w:val="en-US"/>
        </w:rPr>
        <w:instrText xml:space="preserve"> REF _Ref418784363 \h </w:instrText>
      </w:r>
      <w:r w:rsidR="00CF7284">
        <w:rPr>
          <w:b/>
          <w:u w:val="single"/>
          <w:lang w:val="en-US"/>
        </w:rPr>
        <w:instrText xml:space="preserve"> \* MERGEFORMAT </w:instrText>
      </w:r>
      <w:r w:rsidRPr="00CF7284">
        <w:rPr>
          <w:b/>
          <w:u w:val="single"/>
          <w:lang w:val="en-US"/>
        </w:rPr>
      </w:r>
      <w:r w:rsidRPr="00CF7284">
        <w:rPr>
          <w:b/>
          <w:u w:val="single"/>
          <w:lang w:val="en-US"/>
        </w:rPr>
        <w:fldChar w:fldCharType="separate"/>
      </w:r>
      <w:r w:rsidRPr="00CF7284">
        <w:rPr>
          <w:b/>
          <w:color w:val="2E74B5" w:themeColor="accent1" w:themeShade="BF"/>
          <w:u w:val="single"/>
          <w:lang w:val="en-US"/>
        </w:rPr>
        <w:t>Age</w:t>
      </w:r>
      <w:r w:rsidRPr="00CF7284">
        <w:rPr>
          <w:b/>
          <w:u w:val="single"/>
          <w:lang w:val="en-US"/>
        </w:rPr>
        <w:fldChar w:fldCharType="end"/>
      </w:r>
    </w:p>
    <w:p w:rsidR="002C3BF0" w:rsidRDefault="002C3BF0" w:rsidP="002C3BF0">
      <w:pPr>
        <w:pStyle w:val="ListParagraph"/>
        <w:numPr>
          <w:ilvl w:val="0"/>
          <w:numId w:val="6"/>
        </w:numPr>
        <w:jc w:val="both"/>
        <w:rPr>
          <w:u w:val="single"/>
          <w:lang w:val="en-US"/>
        </w:rPr>
      </w:pPr>
      <w:r>
        <w:rPr>
          <w:u w:val="single"/>
          <w:lang w:val="en-US"/>
        </w:rPr>
        <w:fldChar w:fldCharType="begin"/>
      </w:r>
      <w:r>
        <w:rPr>
          <w:u w:val="single"/>
          <w:lang w:val="en-US"/>
        </w:rPr>
        <w:instrText xml:space="preserve"> REF _Ref418784368 \h </w:instrText>
      </w:r>
      <w:r w:rsidR="00CF7284">
        <w:rPr>
          <w:u w:val="single"/>
          <w:lang w:val="en-US"/>
        </w:rPr>
        <w:instrText xml:space="preserve"> \* MERGEFORMAT </w:instrText>
      </w:r>
      <w:r>
        <w:rPr>
          <w:u w:val="single"/>
          <w:lang w:val="en-US"/>
        </w:rPr>
      </w:r>
      <w:r>
        <w:rPr>
          <w:u w:val="single"/>
          <w:lang w:val="en-US"/>
        </w:rPr>
        <w:fldChar w:fldCharType="separate"/>
      </w:r>
      <w:r w:rsidRPr="00CF7284">
        <w:rPr>
          <w:b/>
          <w:color w:val="2E74B5" w:themeColor="accent1" w:themeShade="BF"/>
          <w:u w:val="single"/>
          <w:lang w:val="en-US"/>
        </w:rPr>
        <w:t>Disability</w:t>
      </w:r>
      <w:r>
        <w:rPr>
          <w:u w:val="single"/>
          <w:lang w:val="en-US"/>
        </w:rPr>
        <w:fldChar w:fldCharType="end"/>
      </w:r>
    </w:p>
    <w:p w:rsidR="002C3BF0" w:rsidRPr="00CF7284" w:rsidRDefault="002C3BF0" w:rsidP="002C3BF0">
      <w:pPr>
        <w:jc w:val="both"/>
        <w:rPr>
          <w:b/>
          <w:color w:val="2E74B5" w:themeColor="accent1" w:themeShade="BF"/>
          <w:sz w:val="28"/>
          <w:u w:val="single"/>
          <w:lang w:val="en-US"/>
        </w:rPr>
      </w:pPr>
      <w:r w:rsidRPr="00CF7284">
        <w:rPr>
          <w:b/>
          <w:color w:val="2E74B5" w:themeColor="accent1" w:themeShade="BF"/>
          <w:sz w:val="28"/>
          <w:u w:val="single"/>
          <w:lang w:val="en-US"/>
        </w:rPr>
        <w:fldChar w:fldCharType="begin"/>
      </w:r>
      <w:r w:rsidRPr="00CF7284">
        <w:rPr>
          <w:b/>
          <w:color w:val="2E74B5" w:themeColor="accent1" w:themeShade="BF"/>
          <w:sz w:val="28"/>
          <w:u w:val="single"/>
          <w:lang w:val="en-US"/>
        </w:rPr>
        <w:instrText xml:space="preserve"> REF _Ref418784375 \h </w:instrText>
      </w:r>
      <w:r w:rsidR="00CF7284" w:rsidRPr="00CF7284">
        <w:rPr>
          <w:b/>
          <w:color w:val="2E74B5" w:themeColor="accent1" w:themeShade="BF"/>
          <w:sz w:val="28"/>
          <w:u w:val="single"/>
          <w:lang w:val="en-US"/>
        </w:rPr>
        <w:instrText xml:space="preserve"> \* MERGEFORMAT </w:instrText>
      </w:r>
      <w:r w:rsidRPr="00CF7284">
        <w:rPr>
          <w:b/>
          <w:color w:val="2E74B5" w:themeColor="accent1" w:themeShade="BF"/>
          <w:sz w:val="28"/>
          <w:u w:val="single"/>
          <w:lang w:val="en-US"/>
        </w:rPr>
      </w:r>
      <w:r w:rsidRPr="00CF7284">
        <w:rPr>
          <w:b/>
          <w:color w:val="2E74B5" w:themeColor="accent1" w:themeShade="BF"/>
          <w:sz w:val="28"/>
          <w:u w:val="single"/>
          <w:lang w:val="en-US"/>
        </w:rPr>
        <w:fldChar w:fldCharType="separate"/>
      </w:r>
      <w:r w:rsidRPr="00CF7284">
        <w:rPr>
          <w:b/>
          <w:color w:val="2E74B5" w:themeColor="accent1" w:themeShade="BF"/>
          <w:sz w:val="28"/>
          <w:u w:val="single"/>
          <w:lang w:val="en-US"/>
        </w:rPr>
        <w:t>Recent case-law</w:t>
      </w:r>
      <w:r w:rsidRPr="00CF7284">
        <w:rPr>
          <w:b/>
          <w:color w:val="2E74B5" w:themeColor="accent1" w:themeShade="BF"/>
          <w:sz w:val="28"/>
          <w:u w:val="single"/>
          <w:lang w:val="en-US"/>
        </w:rPr>
        <w:fldChar w:fldCharType="end"/>
      </w:r>
    </w:p>
    <w:p w:rsidR="002C3BF0" w:rsidRDefault="002C3BF0" w:rsidP="002C3BF0">
      <w:pPr>
        <w:pStyle w:val="ListParagraph"/>
        <w:numPr>
          <w:ilvl w:val="0"/>
          <w:numId w:val="7"/>
        </w:numPr>
        <w:jc w:val="both"/>
        <w:rPr>
          <w:u w:val="single"/>
          <w:lang w:val="en-US"/>
        </w:rPr>
      </w:pPr>
      <w:r>
        <w:rPr>
          <w:u w:val="single"/>
          <w:lang w:val="en-US"/>
        </w:rPr>
        <w:fldChar w:fldCharType="begin"/>
      </w:r>
      <w:r>
        <w:rPr>
          <w:u w:val="single"/>
          <w:lang w:val="en-US"/>
        </w:rPr>
        <w:instrText xml:space="preserve"> REF _Ref418784385 \h </w:instrText>
      </w:r>
      <w:r w:rsidR="00CF7284">
        <w:rPr>
          <w:u w:val="single"/>
          <w:lang w:val="en-US"/>
        </w:rPr>
        <w:instrText xml:space="preserve"> \* MERGEFORMAT </w:instrText>
      </w:r>
      <w:r>
        <w:rPr>
          <w:u w:val="single"/>
          <w:lang w:val="en-US"/>
        </w:rPr>
      </w:r>
      <w:r>
        <w:rPr>
          <w:u w:val="single"/>
          <w:lang w:val="en-US"/>
        </w:rPr>
        <w:fldChar w:fldCharType="separate"/>
      </w:r>
      <w:r w:rsidRPr="00CF7284">
        <w:rPr>
          <w:b/>
          <w:color w:val="2E74B5" w:themeColor="accent1" w:themeShade="BF"/>
          <w:u w:val="single"/>
          <w:lang w:val="en-US"/>
        </w:rPr>
        <w:t>European Court of Justice</w:t>
      </w:r>
      <w:r>
        <w:rPr>
          <w:lang w:val="en-US"/>
        </w:rPr>
        <w:t xml:space="preserve"> (ECJ)</w:t>
      </w:r>
      <w:r>
        <w:rPr>
          <w:u w:val="single"/>
          <w:lang w:val="en-US"/>
        </w:rPr>
        <w:fldChar w:fldCharType="end"/>
      </w:r>
    </w:p>
    <w:p w:rsidR="00CF7284" w:rsidRDefault="002C3BF0" w:rsidP="00CF7284">
      <w:pPr>
        <w:pStyle w:val="ListParagraph"/>
        <w:numPr>
          <w:ilvl w:val="0"/>
          <w:numId w:val="7"/>
        </w:numPr>
        <w:jc w:val="both"/>
        <w:rPr>
          <w:lang w:val="en-US"/>
        </w:rPr>
      </w:pPr>
      <w:r w:rsidRPr="00CF7284">
        <w:rPr>
          <w:lang w:val="en-US"/>
        </w:rPr>
        <w:fldChar w:fldCharType="begin"/>
      </w:r>
      <w:r w:rsidRPr="00CF7284">
        <w:rPr>
          <w:lang w:val="en-US"/>
        </w:rPr>
        <w:instrText xml:space="preserve"> REF _Ref418784391 \h </w:instrText>
      </w:r>
      <w:r w:rsidR="00CF7284">
        <w:rPr>
          <w:lang w:val="en-US"/>
        </w:rPr>
        <w:instrText xml:space="preserve"> \* MERGEFORMAT </w:instrText>
      </w:r>
      <w:r w:rsidRPr="00CF7284">
        <w:rPr>
          <w:lang w:val="en-US"/>
        </w:rPr>
      </w:r>
      <w:r w:rsidRPr="00CF7284">
        <w:rPr>
          <w:lang w:val="en-US"/>
        </w:rPr>
        <w:fldChar w:fldCharType="separate"/>
      </w:r>
      <w:r w:rsidRPr="00CF7284">
        <w:rPr>
          <w:b/>
          <w:color w:val="2E74B5" w:themeColor="accent1" w:themeShade="BF"/>
          <w:u w:val="single"/>
          <w:lang w:val="en-US"/>
        </w:rPr>
        <w:t>European Court of Human Rights</w:t>
      </w:r>
      <w:r w:rsidRPr="00CF7284">
        <w:rPr>
          <w:lang w:val="en-US"/>
        </w:rPr>
        <w:fldChar w:fldCharType="end"/>
      </w:r>
      <w:r w:rsidR="00CF7284" w:rsidRPr="00CF7284">
        <w:rPr>
          <w:lang w:val="en-US"/>
        </w:rPr>
        <w:t xml:space="preserve"> (ECHR)</w:t>
      </w:r>
      <w:bookmarkStart w:id="0" w:name="_Toc418770742"/>
      <w:bookmarkStart w:id="1" w:name="_Ref418783893"/>
      <w:bookmarkStart w:id="2" w:name="_Ref418783894"/>
    </w:p>
    <w:p w:rsidR="00CF7284" w:rsidRPr="00CF7284" w:rsidRDefault="00CF7284" w:rsidP="00CF7284">
      <w:pPr>
        <w:pStyle w:val="ListParagraph"/>
        <w:jc w:val="both"/>
        <w:rPr>
          <w:lang w:val="en-US"/>
        </w:rPr>
      </w:pPr>
    </w:p>
    <w:p w:rsidR="00CF7284" w:rsidRDefault="00CF7284">
      <w:pPr>
        <w:rPr>
          <w:rFonts w:ascii="Tahoma" w:eastAsiaTheme="majorEastAsia" w:hAnsi="Tahoma" w:cstheme="majorBidi"/>
          <w:b/>
          <w:color w:val="2E74B5" w:themeColor="accent1" w:themeShade="BF"/>
          <w:sz w:val="32"/>
          <w:szCs w:val="32"/>
          <w:lang w:val="en-US"/>
        </w:rPr>
      </w:pPr>
      <w:r>
        <w:rPr>
          <w:lang w:val="en-US"/>
        </w:rPr>
        <w:br w:type="page"/>
      </w:r>
    </w:p>
    <w:p w:rsidR="00BE506C" w:rsidRPr="00BE1F3C" w:rsidRDefault="00922F1E" w:rsidP="00A73FA9">
      <w:pPr>
        <w:pStyle w:val="Heading1"/>
        <w:rPr>
          <w:lang w:val="en-US"/>
        </w:rPr>
      </w:pPr>
      <w:r w:rsidRPr="00BE1F3C">
        <w:rPr>
          <w:lang w:val="en-US"/>
        </w:rPr>
        <w:lastRenderedPageBreak/>
        <w:t xml:space="preserve">Highlight: towards a new Gender </w:t>
      </w:r>
      <w:r w:rsidRPr="002C3BF0">
        <w:rPr>
          <w:lang w:val="en-US"/>
        </w:rPr>
        <w:t>Equality</w:t>
      </w:r>
      <w:r w:rsidRPr="00BE1F3C">
        <w:rPr>
          <w:lang w:val="en-US"/>
        </w:rPr>
        <w:t xml:space="preserve"> Strategy?</w:t>
      </w:r>
      <w:bookmarkEnd w:id="0"/>
      <w:bookmarkEnd w:id="1"/>
      <w:bookmarkEnd w:id="2"/>
    </w:p>
    <w:p w:rsidR="001140DC" w:rsidRDefault="001140DC" w:rsidP="001140DC">
      <w:pPr>
        <w:pBdr>
          <w:bottom w:val="dotted" w:sz="8" w:space="1" w:color="auto"/>
        </w:pBdr>
        <w:jc w:val="both"/>
        <w:rPr>
          <w:lang w:val="en-US"/>
        </w:rPr>
      </w:pPr>
    </w:p>
    <w:p w:rsidR="001140DC" w:rsidRDefault="00922F1E" w:rsidP="001140DC">
      <w:pPr>
        <w:pBdr>
          <w:bottom w:val="dotted" w:sz="8" w:space="1" w:color="auto"/>
        </w:pBdr>
        <w:jc w:val="both"/>
        <w:rPr>
          <w:b/>
          <w:lang w:val="en-US"/>
        </w:rPr>
      </w:pPr>
      <w:r w:rsidRPr="001140DC">
        <w:rPr>
          <w:b/>
          <w:lang w:val="en-US"/>
        </w:rPr>
        <w:t xml:space="preserve">This year, the European </w:t>
      </w:r>
      <w:hyperlink r:id="rId10" w:history="1">
        <w:r w:rsidRPr="001140DC">
          <w:rPr>
            <w:rStyle w:val="Hyperlink"/>
            <w:b/>
            <w:lang w:val="en-US"/>
          </w:rPr>
          <w:t xml:space="preserve">Strategy for Equality between </w:t>
        </w:r>
        <w:r w:rsidR="001140DC" w:rsidRPr="001140DC">
          <w:rPr>
            <w:rStyle w:val="Hyperlink"/>
            <w:b/>
            <w:lang w:val="en-US"/>
          </w:rPr>
          <w:t>women and men</w:t>
        </w:r>
      </w:hyperlink>
      <w:r w:rsidRPr="001140DC">
        <w:rPr>
          <w:b/>
          <w:lang w:val="en-US"/>
        </w:rPr>
        <w:t xml:space="preserve"> is coming to an end. </w:t>
      </w:r>
      <w:r w:rsidR="001140DC" w:rsidRPr="001140DC">
        <w:rPr>
          <w:b/>
          <w:lang w:val="en-US"/>
        </w:rPr>
        <w:t xml:space="preserve">The European Commission has engaged in the process of consulting stakeholders to decide on the future of the Strategy. </w:t>
      </w:r>
      <w:r w:rsidR="00B33A99">
        <w:rPr>
          <w:b/>
          <w:lang w:val="en-US"/>
        </w:rPr>
        <w:t xml:space="preserve">At the same time, negotiations of several essential pieces of EU legislation are stuck for many years. </w:t>
      </w:r>
    </w:p>
    <w:p w:rsidR="001140DC" w:rsidRPr="00522381" w:rsidRDefault="001140DC" w:rsidP="001140DC">
      <w:pPr>
        <w:pBdr>
          <w:bottom w:val="dotted" w:sz="8" w:space="1" w:color="auto"/>
        </w:pBdr>
        <w:jc w:val="both"/>
        <w:rPr>
          <w:lang w:val="en-US"/>
        </w:rPr>
      </w:pPr>
      <w:r w:rsidRPr="001140DC">
        <w:rPr>
          <w:b/>
          <w:lang w:val="en-US"/>
        </w:rPr>
        <w:t xml:space="preserve">Contact person at Equinet Secretariat: </w:t>
      </w:r>
      <w:r w:rsidRPr="001140DC">
        <w:rPr>
          <w:lang w:val="en-US"/>
        </w:rPr>
        <w:t>Ilaria Volpe, Policy Officer (Ilaria.volpe@equineteurope.org – 0032 2 212 31 86)</w:t>
      </w:r>
      <w:r w:rsidRPr="001140DC">
        <w:rPr>
          <w:lang w:val="en-US"/>
        </w:rPr>
        <w:tab/>
      </w:r>
      <w:r w:rsidRPr="001140DC">
        <w:rPr>
          <w:b/>
          <w:lang w:val="en-US"/>
        </w:rPr>
        <w:br/>
      </w:r>
    </w:p>
    <w:p w:rsidR="001140DC" w:rsidRPr="001140DC" w:rsidRDefault="00B33A99" w:rsidP="00BE1F3C">
      <w:pPr>
        <w:pStyle w:val="Heading2"/>
        <w:rPr>
          <w:lang w:val="en-US"/>
        </w:rPr>
      </w:pPr>
      <w:bookmarkStart w:id="3" w:name="_Toc418770743"/>
      <w:bookmarkStart w:id="4" w:name="_Ref418784175"/>
      <w:r>
        <w:rPr>
          <w:noProof/>
          <w:lang w:eastAsia="fr-BE"/>
        </w:rPr>
        <w:drawing>
          <wp:anchor distT="0" distB="0" distL="114300" distR="114300" simplePos="0" relativeHeight="251659264" behindDoc="0" locked="0" layoutInCell="1" allowOverlap="1" wp14:anchorId="0F66D3A3" wp14:editId="76D1C7EA">
            <wp:simplePos x="0" y="0"/>
            <wp:positionH relativeFrom="margin">
              <wp:align>left</wp:align>
            </wp:positionH>
            <wp:positionV relativeFrom="margin">
              <wp:posOffset>1898015</wp:posOffset>
            </wp:positionV>
            <wp:extent cx="1733550" cy="1361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290"/>
                    <a:stretch/>
                  </pic:blipFill>
                  <pic:spPr bwMode="auto">
                    <a:xfrm>
                      <a:off x="0" y="0"/>
                      <a:ext cx="1733550" cy="136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140DC" w:rsidRPr="001140DC">
        <w:rPr>
          <w:lang w:val="en-US"/>
        </w:rPr>
        <w:t>Public Consultation: Equality between women and men in the EU (Deadline: 21/07/2015)</w:t>
      </w:r>
      <w:bookmarkEnd w:id="3"/>
      <w:bookmarkEnd w:id="4"/>
      <w:r w:rsidR="001140DC">
        <w:rPr>
          <w:lang w:val="en-US"/>
        </w:rPr>
        <w:br/>
      </w:r>
    </w:p>
    <w:p w:rsidR="001140DC" w:rsidRDefault="001140DC" w:rsidP="001140DC">
      <w:pPr>
        <w:pBdr>
          <w:bottom w:val="dotted" w:sz="8" w:space="1" w:color="auto"/>
        </w:pBdr>
        <w:jc w:val="both"/>
        <w:rPr>
          <w:lang w:val="en-US"/>
        </w:rPr>
      </w:pPr>
      <w:r>
        <w:rPr>
          <w:lang w:val="en-US"/>
        </w:rPr>
        <w:t xml:space="preserve">Following the </w:t>
      </w:r>
      <w:hyperlink r:id="rId12" w:history="1">
        <w:r w:rsidRPr="001140DC">
          <w:rPr>
            <w:rStyle w:val="Hyperlink"/>
            <w:lang w:val="en-US"/>
          </w:rPr>
          <w:t>Forum on Future of Gender Equality</w:t>
        </w:r>
      </w:hyperlink>
      <w:r>
        <w:rPr>
          <w:lang w:val="en-US"/>
        </w:rPr>
        <w:t xml:space="preserve"> which was held in April 2015 in Brussels, the </w:t>
      </w:r>
      <w:r w:rsidRPr="001140DC">
        <w:rPr>
          <w:lang w:val="en-US"/>
        </w:rPr>
        <w:t xml:space="preserve">European Commission has launched </w:t>
      </w:r>
      <w:r w:rsidRPr="001140DC">
        <w:rPr>
          <w:b/>
          <w:lang w:val="en-US"/>
        </w:rPr>
        <w:t>a call for public consultation</w:t>
      </w:r>
      <w:r w:rsidRPr="001140DC">
        <w:rPr>
          <w:lang w:val="en-US"/>
        </w:rPr>
        <w:t xml:space="preserve"> on the topic of equality between men and women. </w:t>
      </w:r>
      <w:r>
        <w:rPr>
          <w:lang w:val="en-US"/>
        </w:rPr>
        <w:t>The objective of the consultation is to collect the views of the broad public</w:t>
      </w:r>
      <w:r w:rsidRPr="001140DC">
        <w:rPr>
          <w:lang w:val="en-US"/>
        </w:rPr>
        <w:t xml:space="preserve"> in the context of the preparation of the Commission’s policy on equality between women and men after 2015.</w:t>
      </w:r>
      <w:r>
        <w:rPr>
          <w:lang w:val="en-US"/>
        </w:rPr>
        <w:t xml:space="preserve"> </w:t>
      </w:r>
      <w:r w:rsidRPr="001140DC">
        <w:rPr>
          <w:b/>
          <w:lang w:val="en-US"/>
        </w:rPr>
        <w:t>Equality Bodies are listed among consultation target groups</w:t>
      </w:r>
      <w:r w:rsidRPr="001140DC">
        <w:rPr>
          <w:lang w:val="en-US"/>
        </w:rPr>
        <w:t xml:space="preserve">. </w:t>
      </w:r>
      <w:r w:rsidR="00CF7284">
        <w:rPr>
          <w:lang w:val="en-US"/>
        </w:rPr>
        <w:t>To participate</w:t>
      </w:r>
      <w:r w:rsidRPr="001140DC">
        <w:rPr>
          <w:lang w:val="en-US"/>
        </w:rPr>
        <w:t xml:space="preserve"> in the consultation</w:t>
      </w:r>
      <w:r w:rsidR="00CF7284">
        <w:rPr>
          <w:lang w:val="en-US"/>
        </w:rPr>
        <w:t>,</w:t>
      </w:r>
      <w:r w:rsidRPr="001140DC">
        <w:rPr>
          <w:lang w:val="en-US"/>
        </w:rPr>
        <w:t xml:space="preserve"> </w:t>
      </w:r>
      <w:r w:rsidR="003C34AB">
        <w:rPr>
          <w:lang w:val="en-US"/>
        </w:rPr>
        <w:t>complete</w:t>
      </w:r>
      <w:r w:rsidRPr="001140DC">
        <w:rPr>
          <w:lang w:val="en-US"/>
        </w:rPr>
        <w:t xml:space="preserve"> the </w:t>
      </w:r>
      <w:hyperlink r:id="rId13" w:history="1">
        <w:r w:rsidRPr="001140DC">
          <w:rPr>
            <w:color w:val="0563C1"/>
            <w:u w:val="single"/>
            <w:lang w:val="en-US"/>
          </w:rPr>
          <w:t>questionnaire</w:t>
        </w:r>
      </w:hyperlink>
      <w:r w:rsidRPr="001140DC">
        <w:rPr>
          <w:lang w:val="en-US"/>
        </w:rPr>
        <w:t xml:space="preserve"> by </w:t>
      </w:r>
      <w:r w:rsidRPr="00DA1BD6">
        <w:rPr>
          <w:b/>
          <w:lang w:val="en-US"/>
        </w:rPr>
        <w:t>21 July 2015</w:t>
      </w:r>
      <w:r w:rsidRPr="001140DC">
        <w:rPr>
          <w:lang w:val="en-US"/>
        </w:rPr>
        <w:t xml:space="preserve">. Read more </w:t>
      </w:r>
      <w:hyperlink r:id="rId14" w:history="1">
        <w:r w:rsidRPr="001140DC">
          <w:rPr>
            <w:color w:val="0563C1"/>
            <w:u w:val="single"/>
            <w:lang w:val="en-US"/>
          </w:rPr>
          <w:t>here</w:t>
        </w:r>
      </w:hyperlink>
      <w:r w:rsidRPr="001140DC">
        <w:rPr>
          <w:lang w:val="en-US"/>
        </w:rPr>
        <w:t>.</w:t>
      </w:r>
      <w:r>
        <w:rPr>
          <w:lang w:val="en-US"/>
        </w:rPr>
        <w:tab/>
      </w:r>
      <w:r>
        <w:rPr>
          <w:lang w:val="en-US"/>
        </w:rPr>
        <w:br/>
      </w:r>
    </w:p>
    <w:p w:rsidR="001140DC" w:rsidRPr="006415D5" w:rsidRDefault="00DA1BD6" w:rsidP="00BE1F3C">
      <w:pPr>
        <w:pStyle w:val="Heading2"/>
        <w:rPr>
          <w:lang w:val="en-US"/>
        </w:rPr>
      </w:pPr>
      <w:bookmarkStart w:id="5" w:name="_Toc418770744"/>
      <w:bookmarkStart w:id="6" w:name="_Ref418784224"/>
      <w:r w:rsidRPr="006415D5">
        <w:rPr>
          <w:lang w:val="en-US"/>
        </w:rPr>
        <w:t xml:space="preserve">Policy update: current pending EU </w:t>
      </w:r>
      <w:r w:rsidR="006415D5" w:rsidRPr="006415D5">
        <w:rPr>
          <w:lang w:val="en-US"/>
        </w:rPr>
        <w:t>D</w:t>
      </w:r>
      <w:r w:rsidRPr="006415D5">
        <w:rPr>
          <w:lang w:val="en-US"/>
        </w:rPr>
        <w:t>irectives on gender equality</w:t>
      </w:r>
      <w:bookmarkEnd w:id="5"/>
      <w:bookmarkEnd w:id="6"/>
    </w:p>
    <w:p w:rsidR="006415D5" w:rsidRDefault="006415D5">
      <w:pPr>
        <w:rPr>
          <w:lang w:val="en-US"/>
        </w:rPr>
      </w:pPr>
      <w:r>
        <w:rPr>
          <w:lang w:val="en-US"/>
        </w:rPr>
        <w:br/>
      </w:r>
      <w:r w:rsidR="003C34AB">
        <w:rPr>
          <w:b/>
          <w:lang w:val="en-US"/>
        </w:rPr>
        <w:t>Three</w:t>
      </w:r>
      <w:r w:rsidRPr="006415D5">
        <w:rPr>
          <w:b/>
          <w:lang w:val="en-US"/>
        </w:rPr>
        <w:t xml:space="preserve"> EU Directives</w:t>
      </w:r>
      <w:r>
        <w:rPr>
          <w:lang w:val="en-US"/>
        </w:rPr>
        <w:t xml:space="preserve"> relating to gender equality are currently </w:t>
      </w:r>
      <w:r w:rsidR="003C34AB">
        <w:rPr>
          <w:lang w:val="en-US"/>
        </w:rPr>
        <w:t>under discussion</w:t>
      </w:r>
      <w:r>
        <w:rPr>
          <w:lang w:val="en-US"/>
        </w:rPr>
        <w:t xml:space="preserve"> at EU level: </w:t>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544"/>
      </w:tblGrid>
      <w:tr w:rsidR="006415D5" w:rsidTr="00BE1F3C">
        <w:trPr>
          <w:jc w:val="center"/>
        </w:trPr>
        <w:tc>
          <w:tcPr>
            <w:tcW w:w="3544" w:type="dxa"/>
            <w:tcBorders>
              <w:right w:val="dotted" w:sz="8" w:space="0" w:color="auto"/>
            </w:tcBorders>
            <w:shd w:val="clear" w:color="auto" w:fill="E2EFD9" w:themeFill="accent6" w:themeFillTint="33"/>
          </w:tcPr>
          <w:p w:rsidR="006415D5" w:rsidRPr="00B33A99" w:rsidRDefault="006415D5" w:rsidP="006415D5">
            <w:pPr>
              <w:jc w:val="center"/>
              <w:rPr>
                <w:rFonts w:asciiTheme="majorHAnsi" w:hAnsiTheme="majorHAnsi"/>
                <w:b/>
                <w:sz w:val="20"/>
                <w:szCs w:val="26"/>
                <w:lang w:val="en-US"/>
              </w:rPr>
            </w:pPr>
            <w:r w:rsidRPr="00B33A99">
              <w:rPr>
                <w:rFonts w:asciiTheme="majorHAnsi" w:hAnsiTheme="majorHAnsi"/>
                <w:b/>
                <w:sz w:val="24"/>
                <w:szCs w:val="26"/>
                <w:shd w:val="clear" w:color="auto" w:fill="E2EFD9" w:themeFill="accent6" w:themeFillTint="33"/>
                <w:lang w:val="en-US"/>
              </w:rPr>
              <w:t>The recast Maternity Leave Directive</w:t>
            </w:r>
            <w:r w:rsidR="0018390B" w:rsidRPr="00B33A99">
              <w:rPr>
                <w:rFonts w:asciiTheme="majorHAnsi" w:hAnsiTheme="majorHAnsi"/>
                <w:b/>
                <w:sz w:val="20"/>
                <w:szCs w:val="26"/>
                <w:lang w:val="en-US"/>
              </w:rPr>
              <w:br/>
            </w:r>
          </w:p>
          <w:p w:rsidR="0018390B" w:rsidRPr="00B33A99" w:rsidRDefault="0018390B" w:rsidP="00CF7284">
            <w:pPr>
              <w:jc w:val="both"/>
              <w:rPr>
                <w:lang w:val="en-US"/>
              </w:rPr>
            </w:pPr>
            <w:r w:rsidRPr="00B33A99">
              <w:rPr>
                <w:lang w:val="en-US"/>
              </w:rPr>
              <w:t>In</w:t>
            </w:r>
            <w:r w:rsidR="00CF7284">
              <w:rPr>
                <w:lang w:val="en-US"/>
              </w:rPr>
              <w:t xml:space="preserve"> 2008, the European Commission </w:t>
            </w:r>
            <w:r w:rsidRPr="00B33A99">
              <w:rPr>
                <w:lang w:val="en-US"/>
              </w:rPr>
              <w:t xml:space="preserve">introduced a </w:t>
            </w:r>
            <w:hyperlink r:id="rId15" w:history="1">
              <w:r w:rsidRPr="00B33A99">
                <w:rPr>
                  <w:rStyle w:val="Hyperlink"/>
                  <w:lang w:val="en-US"/>
                </w:rPr>
                <w:t>proposal</w:t>
              </w:r>
            </w:hyperlink>
            <w:r w:rsidRPr="00B33A99">
              <w:rPr>
                <w:lang w:val="en-US"/>
              </w:rPr>
              <w:t xml:space="preserve"> to revise the </w:t>
            </w:r>
            <w:r w:rsidRPr="00B33A99">
              <w:rPr>
                <w:b/>
                <w:lang w:val="en-US"/>
              </w:rPr>
              <w:t>1992 EU Maternity Leave Directive</w:t>
            </w:r>
            <w:r w:rsidRPr="00B33A99">
              <w:rPr>
                <w:lang w:val="en-US"/>
              </w:rPr>
              <w:t xml:space="preserve">. In 2010, the proposal </w:t>
            </w:r>
            <w:r w:rsidR="00CF7284">
              <w:rPr>
                <w:lang w:val="en-US"/>
              </w:rPr>
              <w:t>was</w:t>
            </w:r>
            <w:r w:rsidRPr="00B33A99">
              <w:rPr>
                <w:lang w:val="en-US"/>
              </w:rPr>
              <w:t xml:space="preserve"> adopted in its first reading by the European Parliament. Since then, </w:t>
            </w:r>
            <w:r w:rsidRPr="00B33A99">
              <w:rPr>
                <w:b/>
                <w:lang w:val="en-US"/>
              </w:rPr>
              <w:t>the negotiations are blocked at Council of the EU level</w:t>
            </w:r>
            <w:r w:rsidRPr="00B33A99">
              <w:rPr>
                <w:lang w:val="en-US"/>
              </w:rPr>
              <w:t xml:space="preserve"> by several Member States. If no agreement has been reached by June 2015, the European Commission will </w:t>
            </w:r>
            <w:r w:rsidRPr="00B33A99">
              <w:rPr>
                <w:b/>
                <w:lang w:val="en-US"/>
              </w:rPr>
              <w:t>withdraw the initial proposal</w:t>
            </w:r>
            <w:r w:rsidRPr="00B33A99">
              <w:rPr>
                <w:lang w:val="en-US"/>
              </w:rPr>
              <w:t xml:space="preserve"> from the EU legislative process. </w:t>
            </w:r>
            <w:hyperlink r:id="rId16" w:history="1">
              <w:r w:rsidRPr="00B33A99">
                <w:rPr>
                  <w:rStyle w:val="Hyperlink"/>
                  <w:lang w:val="en-US"/>
                </w:rPr>
                <w:t>EU civil society organisations</w:t>
              </w:r>
            </w:hyperlink>
            <w:r w:rsidRPr="00B33A99">
              <w:rPr>
                <w:lang w:val="en-US"/>
              </w:rPr>
              <w:t xml:space="preserve"> are strongly </w:t>
            </w:r>
            <w:proofErr w:type="spellStart"/>
            <w:r w:rsidRPr="00B33A99">
              <w:rPr>
                <w:lang w:val="en-US"/>
              </w:rPr>
              <w:t>mobilised</w:t>
            </w:r>
            <w:proofErr w:type="spellEnd"/>
            <w:r w:rsidRPr="00B33A99">
              <w:rPr>
                <w:lang w:val="en-US"/>
              </w:rPr>
              <w:t xml:space="preserve"> to avoid such withdrawal. </w:t>
            </w:r>
          </w:p>
          <w:p w:rsidR="006415D5" w:rsidRPr="00B33A99" w:rsidRDefault="0018390B">
            <w:pPr>
              <w:rPr>
                <w:sz w:val="20"/>
                <w:lang w:val="en-US"/>
              </w:rPr>
            </w:pPr>
            <w:r w:rsidRPr="00B33A99">
              <w:rPr>
                <w:lang w:val="en-US"/>
              </w:rPr>
              <w:t xml:space="preserve">More information is available </w:t>
            </w:r>
            <w:hyperlink r:id="rId17" w:history="1">
              <w:r w:rsidRPr="00B33A99">
                <w:rPr>
                  <w:rStyle w:val="Hyperlink"/>
                  <w:lang w:val="en-US"/>
                </w:rPr>
                <w:t>here</w:t>
              </w:r>
            </w:hyperlink>
            <w:r w:rsidRPr="00B33A99">
              <w:rPr>
                <w:lang w:val="en-US"/>
              </w:rPr>
              <w:t xml:space="preserve">. </w:t>
            </w:r>
          </w:p>
        </w:tc>
        <w:tc>
          <w:tcPr>
            <w:tcW w:w="3544" w:type="dxa"/>
            <w:tcBorders>
              <w:left w:val="dotted" w:sz="8" w:space="0" w:color="auto"/>
              <w:right w:val="dotted" w:sz="8" w:space="0" w:color="auto"/>
            </w:tcBorders>
            <w:shd w:val="clear" w:color="auto" w:fill="D9D9D9" w:themeFill="background1" w:themeFillShade="D9"/>
          </w:tcPr>
          <w:p w:rsidR="006415D5" w:rsidRPr="00B33A99" w:rsidRDefault="0018390B" w:rsidP="00D1064D">
            <w:pPr>
              <w:shd w:val="clear" w:color="auto" w:fill="D9D9D9" w:themeFill="background1" w:themeFillShade="D9"/>
              <w:jc w:val="center"/>
              <w:rPr>
                <w:rFonts w:asciiTheme="majorHAnsi" w:hAnsiTheme="majorHAnsi"/>
                <w:b/>
                <w:sz w:val="24"/>
                <w:szCs w:val="26"/>
                <w:lang w:val="en-US"/>
              </w:rPr>
            </w:pPr>
            <w:r w:rsidRPr="00B33A99">
              <w:rPr>
                <w:rFonts w:asciiTheme="majorHAnsi" w:hAnsiTheme="majorHAnsi"/>
                <w:b/>
                <w:sz w:val="24"/>
                <w:szCs w:val="26"/>
                <w:lang w:val="en-US"/>
              </w:rPr>
              <w:t xml:space="preserve">The Women on Board </w:t>
            </w:r>
            <w:r w:rsidR="00BE1F3C" w:rsidRPr="00B33A99">
              <w:rPr>
                <w:rFonts w:asciiTheme="majorHAnsi" w:hAnsiTheme="majorHAnsi"/>
                <w:b/>
                <w:sz w:val="24"/>
                <w:szCs w:val="26"/>
                <w:lang w:val="en-US"/>
              </w:rPr>
              <w:br/>
            </w:r>
            <w:r w:rsidRPr="00B33A99">
              <w:rPr>
                <w:rFonts w:asciiTheme="majorHAnsi" w:hAnsiTheme="majorHAnsi"/>
                <w:b/>
                <w:sz w:val="24"/>
                <w:szCs w:val="26"/>
                <w:lang w:val="en-US"/>
              </w:rPr>
              <w:t>Directive</w:t>
            </w:r>
          </w:p>
          <w:p w:rsidR="0018390B" w:rsidRPr="00B33A99" w:rsidRDefault="0018390B">
            <w:pPr>
              <w:rPr>
                <w:sz w:val="20"/>
                <w:lang w:val="en-US"/>
              </w:rPr>
            </w:pPr>
          </w:p>
          <w:p w:rsidR="0018390B" w:rsidRPr="00B33A99" w:rsidRDefault="0018390B" w:rsidP="00CF7284">
            <w:pPr>
              <w:jc w:val="both"/>
              <w:rPr>
                <w:lang w:val="en-US"/>
              </w:rPr>
            </w:pPr>
            <w:r w:rsidRPr="00B33A99">
              <w:rPr>
                <w:lang w:val="en-US"/>
              </w:rPr>
              <w:t>In 2012</w:t>
            </w:r>
            <w:r w:rsidR="00E64486" w:rsidRPr="00B33A99">
              <w:rPr>
                <w:lang w:val="en-US"/>
              </w:rPr>
              <w:t xml:space="preserve">, the European Commission proposed </w:t>
            </w:r>
            <w:r w:rsidR="00CF7284">
              <w:rPr>
                <w:lang w:val="en-US"/>
              </w:rPr>
              <w:t xml:space="preserve">a Directive setting </w:t>
            </w:r>
            <w:proofErr w:type="gramStart"/>
            <w:r w:rsidR="00CF7284">
              <w:rPr>
                <w:lang w:val="en-US"/>
              </w:rPr>
              <w:t xml:space="preserve">up </w:t>
            </w:r>
            <w:r w:rsidR="00BC522B">
              <w:rPr>
                <w:lang w:val="en-US"/>
              </w:rPr>
              <w:t xml:space="preserve"> b</w:t>
            </w:r>
            <w:proofErr w:type="gramEnd"/>
            <w:r w:rsidR="00BC522B">
              <w:rPr>
                <w:lang w:val="en-US"/>
              </w:rPr>
              <w:t xml:space="preserve"> </w:t>
            </w:r>
            <w:r w:rsidR="00E64486" w:rsidRPr="00B33A99">
              <w:rPr>
                <w:lang w:val="en-US"/>
              </w:rPr>
              <w:t xml:space="preserve">an </w:t>
            </w:r>
            <w:r w:rsidR="00E64486" w:rsidRPr="00B33A99">
              <w:rPr>
                <w:b/>
                <w:lang w:val="en-US"/>
              </w:rPr>
              <w:t>objective of a 40% presence of the under-represented sex</w:t>
            </w:r>
            <w:r w:rsidR="00E64486" w:rsidRPr="00B33A99">
              <w:rPr>
                <w:lang w:val="en-US"/>
              </w:rPr>
              <w:t xml:space="preserve"> among non-executive directors of companies listed on stock exchanges.</w:t>
            </w:r>
            <w:r w:rsidR="00D1064D" w:rsidRPr="00B33A99">
              <w:rPr>
                <w:lang w:val="en-US"/>
              </w:rPr>
              <w:t xml:space="preserve"> The proposal of Directive has been </w:t>
            </w:r>
            <w:r w:rsidR="00522381" w:rsidRPr="00B33A99">
              <w:rPr>
                <w:lang w:val="en-US"/>
              </w:rPr>
              <w:t xml:space="preserve">adopted </w:t>
            </w:r>
            <w:hyperlink r:id="rId18" w:history="1">
              <w:r w:rsidR="00522381" w:rsidRPr="00B33A99">
                <w:rPr>
                  <w:rStyle w:val="Hyperlink"/>
                  <w:lang w:val="en-US"/>
                </w:rPr>
                <w:t>in its first reading</w:t>
              </w:r>
            </w:hyperlink>
            <w:r w:rsidR="00522381" w:rsidRPr="00B33A99">
              <w:rPr>
                <w:lang w:val="en-US"/>
              </w:rPr>
              <w:t xml:space="preserve"> by the European Parliament. It is currently stuck at the Council of the EU level due to the opposition of several Member States. </w:t>
            </w:r>
          </w:p>
          <w:p w:rsidR="00E64486" w:rsidRPr="00B33A99" w:rsidRDefault="00E64486">
            <w:pPr>
              <w:rPr>
                <w:sz w:val="20"/>
                <w:lang w:val="en-US"/>
              </w:rPr>
            </w:pPr>
            <w:r w:rsidRPr="00B33A99">
              <w:rPr>
                <w:lang w:val="en-US"/>
              </w:rPr>
              <w:t xml:space="preserve">More information is available </w:t>
            </w:r>
            <w:hyperlink r:id="rId19" w:history="1">
              <w:r w:rsidRPr="00B33A99">
                <w:rPr>
                  <w:rStyle w:val="Hyperlink"/>
                  <w:lang w:val="en-US"/>
                </w:rPr>
                <w:t>here</w:t>
              </w:r>
            </w:hyperlink>
            <w:r w:rsidR="00D1064D" w:rsidRPr="00B33A99">
              <w:rPr>
                <w:lang w:val="en-US"/>
              </w:rPr>
              <w:t xml:space="preserve"> and </w:t>
            </w:r>
            <w:hyperlink r:id="rId20" w:history="1">
              <w:r w:rsidR="00D1064D" w:rsidRPr="00B33A99">
                <w:rPr>
                  <w:rStyle w:val="Hyperlink"/>
                  <w:lang w:val="en-US"/>
                </w:rPr>
                <w:t>here</w:t>
              </w:r>
            </w:hyperlink>
            <w:r w:rsidRPr="00B33A99">
              <w:rPr>
                <w:lang w:val="en-US"/>
              </w:rPr>
              <w:t xml:space="preserve">. </w:t>
            </w:r>
          </w:p>
        </w:tc>
        <w:tc>
          <w:tcPr>
            <w:tcW w:w="3544" w:type="dxa"/>
            <w:tcBorders>
              <w:left w:val="dotted" w:sz="8" w:space="0" w:color="auto"/>
            </w:tcBorders>
            <w:shd w:val="clear" w:color="auto" w:fill="E2EFD9" w:themeFill="accent6" w:themeFillTint="33"/>
          </w:tcPr>
          <w:p w:rsidR="006415D5" w:rsidRPr="00B33A99" w:rsidRDefault="0018390B" w:rsidP="00BE1F3C">
            <w:pPr>
              <w:shd w:val="clear" w:color="auto" w:fill="E2EFD9" w:themeFill="accent6" w:themeFillTint="33"/>
              <w:jc w:val="center"/>
              <w:rPr>
                <w:rFonts w:asciiTheme="majorHAnsi" w:hAnsiTheme="majorHAnsi"/>
                <w:b/>
                <w:sz w:val="24"/>
                <w:szCs w:val="26"/>
                <w:lang w:val="en-US"/>
              </w:rPr>
            </w:pPr>
            <w:r w:rsidRPr="00B33A99">
              <w:rPr>
                <w:rFonts w:asciiTheme="majorHAnsi" w:hAnsiTheme="majorHAnsi"/>
                <w:b/>
                <w:sz w:val="24"/>
                <w:szCs w:val="26"/>
                <w:lang w:val="en-US"/>
              </w:rPr>
              <w:t xml:space="preserve">The Equal Treatment </w:t>
            </w:r>
            <w:r w:rsidR="00BE1F3C" w:rsidRPr="00B33A99">
              <w:rPr>
                <w:rFonts w:asciiTheme="majorHAnsi" w:hAnsiTheme="majorHAnsi"/>
                <w:b/>
                <w:sz w:val="24"/>
                <w:szCs w:val="26"/>
                <w:lang w:val="en-US"/>
              </w:rPr>
              <w:br/>
            </w:r>
            <w:r w:rsidRPr="00B33A99">
              <w:rPr>
                <w:rFonts w:asciiTheme="majorHAnsi" w:hAnsiTheme="majorHAnsi"/>
                <w:b/>
                <w:sz w:val="24"/>
                <w:szCs w:val="26"/>
                <w:lang w:val="en-US"/>
              </w:rPr>
              <w:t>Directive</w:t>
            </w:r>
          </w:p>
          <w:p w:rsidR="0018390B" w:rsidRPr="00B33A99" w:rsidRDefault="0018390B">
            <w:pPr>
              <w:rPr>
                <w:sz w:val="20"/>
                <w:lang w:val="en-US"/>
              </w:rPr>
            </w:pPr>
          </w:p>
          <w:p w:rsidR="00522381" w:rsidRPr="00B33A99" w:rsidRDefault="0018390B" w:rsidP="00CF7284">
            <w:pPr>
              <w:jc w:val="both"/>
              <w:rPr>
                <w:sz w:val="20"/>
                <w:lang w:val="en-US"/>
              </w:rPr>
            </w:pPr>
            <w:r w:rsidRPr="00B33A99">
              <w:rPr>
                <w:sz w:val="20"/>
                <w:lang w:val="en-US"/>
              </w:rPr>
              <w:t xml:space="preserve">In 2008, </w:t>
            </w:r>
            <w:r w:rsidR="00522381" w:rsidRPr="00B33A99">
              <w:rPr>
                <w:sz w:val="20"/>
                <w:lang w:val="en-US"/>
              </w:rPr>
              <w:t xml:space="preserve">the European Commission has adopted </w:t>
            </w:r>
            <w:hyperlink r:id="rId21" w:history="1">
              <w:r w:rsidR="00522381" w:rsidRPr="00B33A99">
                <w:rPr>
                  <w:rStyle w:val="Hyperlink"/>
                  <w:sz w:val="20"/>
                  <w:lang w:val="en-US"/>
                </w:rPr>
                <w:t>a proposal of Directive</w:t>
              </w:r>
            </w:hyperlink>
            <w:r w:rsidR="00522381" w:rsidRPr="00B33A99">
              <w:rPr>
                <w:sz w:val="20"/>
                <w:lang w:val="en-US"/>
              </w:rPr>
              <w:t xml:space="preserve"> to </w:t>
            </w:r>
            <w:r w:rsidR="001B305F" w:rsidRPr="00B33A99">
              <w:rPr>
                <w:sz w:val="20"/>
                <w:lang w:val="en-US"/>
              </w:rPr>
              <w:t xml:space="preserve">implement the principle of equal treatment between </w:t>
            </w:r>
            <w:r w:rsidR="001B305F" w:rsidRPr="00B33A99">
              <w:rPr>
                <w:sz w:val="20"/>
                <w:szCs w:val="21"/>
                <w:lang w:val="en-GB"/>
              </w:rPr>
              <w:t xml:space="preserve">persons irrespective of religion or belief, disability, age or sexual orientation beyond employment. </w:t>
            </w:r>
            <w:r w:rsidR="00522381" w:rsidRPr="00B33A99">
              <w:rPr>
                <w:sz w:val="20"/>
                <w:lang w:val="en-US"/>
              </w:rPr>
              <w:t xml:space="preserve">The proposal mentions in its preamble </w:t>
            </w:r>
            <w:r w:rsidR="00BE1F3C" w:rsidRPr="00B33A99">
              <w:rPr>
                <w:sz w:val="20"/>
                <w:lang w:val="en-US"/>
              </w:rPr>
              <w:t xml:space="preserve">the necessity to take multiple discrimination against women into account. The Directive has been adopted in its first reading by the European Parliament but is also currently stuck at Council of the EU level. </w:t>
            </w:r>
            <w:r w:rsidR="00522381" w:rsidRPr="00B33A99">
              <w:rPr>
                <w:sz w:val="20"/>
                <w:szCs w:val="21"/>
                <w:lang w:val="en-GB"/>
              </w:rPr>
              <w:t xml:space="preserve">It is </w:t>
            </w:r>
            <w:proofErr w:type="spellStart"/>
            <w:r w:rsidR="00522381" w:rsidRPr="00B33A99">
              <w:rPr>
                <w:sz w:val="20"/>
                <w:szCs w:val="21"/>
                <w:lang w:val="en-GB"/>
              </w:rPr>
              <w:t>Equinet’s</w:t>
            </w:r>
            <w:proofErr w:type="spellEnd"/>
            <w:r w:rsidR="00522381" w:rsidRPr="00B33A99">
              <w:rPr>
                <w:sz w:val="20"/>
                <w:szCs w:val="21"/>
                <w:lang w:val="en-GB"/>
              </w:rPr>
              <w:t xml:space="preserve"> firm position that </w:t>
            </w:r>
            <w:r w:rsidR="00522381" w:rsidRPr="00B33A99">
              <w:rPr>
                <w:b/>
                <w:sz w:val="20"/>
                <w:szCs w:val="21"/>
                <w:lang w:val="en-GB"/>
              </w:rPr>
              <w:t>the extension of EU equal treatment legislation</w:t>
            </w:r>
            <w:r w:rsidR="00522381" w:rsidRPr="00B33A99">
              <w:rPr>
                <w:sz w:val="20"/>
                <w:szCs w:val="21"/>
                <w:lang w:val="en-GB"/>
              </w:rPr>
              <w:t xml:space="preserve"> with the adoption of the proposed Directive </w:t>
            </w:r>
            <w:r w:rsidR="00522381" w:rsidRPr="00B33A99">
              <w:rPr>
                <w:b/>
                <w:sz w:val="20"/>
                <w:szCs w:val="21"/>
                <w:lang w:val="en-GB"/>
              </w:rPr>
              <w:t>is long overdue and highly necessary</w:t>
            </w:r>
            <w:r w:rsidR="00522381" w:rsidRPr="00B33A99">
              <w:rPr>
                <w:sz w:val="20"/>
                <w:szCs w:val="21"/>
                <w:lang w:val="en-GB"/>
              </w:rPr>
              <w:t xml:space="preserve">. </w:t>
            </w:r>
            <w:r w:rsidR="00BE1F3C" w:rsidRPr="00B33A99">
              <w:rPr>
                <w:sz w:val="20"/>
                <w:szCs w:val="21"/>
                <w:lang w:val="en-GB"/>
              </w:rPr>
              <w:t xml:space="preserve">More information is available </w:t>
            </w:r>
            <w:hyperlink r:id="rId22" w:history="1">
              <w:r w:rsidR="00BE1F3C" w:rsidRPr="00B33A99">
                <w:rPr>
                  <w:rStyle w:val="Hyperlink"/>
                  <w:sz w:val="20"/>
                  <w:szCs w:val="21"/>
                  <w:lang w:val="en-GB"/>
                </w:rPr>
                <w:t>here</w:t>
              </w:r>
            </w:hyperlink>
            <w:r w:rsidR="00BE1F3C" w:rsidRPr="00B33A99">
              <w:rPr>
                <w:sz w:val="20"/>
                <w:szCs w:val="21"/>
                <w:lang w:val="en-GB"/>
              </w:rPr>
              <w:t xml:space="preserve">. </w:t>
            </w:r>
          </w:p>
        </w:tc>
      </w:tr>
    </w:tbl>
    <w:p w:rsidR="00BE1F3C" w:rsidRDefault="00BE1F3C" w:rsidP="00B33A99">
      <w:pPr>
        <w:rPr>
          <w:lang w:val="en-US"/>
        </w:rPr>
      </w:pPr>
    </w:p>
    <w:p w:rsidR="00B33A99" w:rsidRDefault="00B33A99" w:rsidP="00B33A99">
      <w:pPr>
        <w:rPr>
          <w:lang w:val="en-US"/>
        </w:rPr>
      </w:pPr>
    </w:p>
    <w:p w:rsidR="00B33A99" w:rsidRDefault="00B33A99" w:rsidP="00BE1F3C">
      <w:pPr>
        <w:pBdr>
          <w:bottom w:val="dotted" w:sz="8" w:space="1" w:color="auto"/>
        </w:pBdr>
        <w:rPr>
          <w:lang w:val="en-US"/>
        </w:rPr>
      </w:pPr>
    </w:p>
    <w:p w:rsidR="00BE1F3C" w:rsidRDefault="00BE1F3C" w:rsidP="00BE1F3C">
      <w:pPr>
        <w:pStyle w:val="Heading2"/>
        <w:rPr>
          <w:lang w:val="en-US"/>
        </w:rPr>
      </w:pPr>
      <w:bookmarkStart w:id="7" w:name="_Toc418770745"/>
      <w:bookmarkStart w:id="8" w:name="_Ref418784249"/>
      <w:r>
        <w:rPr>
          <w:lang w:val="en-US"/>
        </w:rPr>
        <w:t xml:space="preserve">Reminder: </w:t>
      </w:r>
      <w:r w:rsidR="003C34AB">
        <w:rPr>
          <w:lang w:val="en-US"/>
        </w:rPr>
        <w:t>Summary</w:t>
      </w:r>
      <w:r>
        <w:rPr>
          <w:lang w:val="en-US"/>
        </w:rPr>
        <w:t xml:space="preserve"> of Equinet Gender Equality Conference</w:t>
      </w:r>
      <w:r w:rsidR="003C34AB">
        <w:rPr>
          <w:lang w:val="en-US"/>
        </w:rPr>
        <w:t xml:space="preserve"> is</w:t>
      </w:r>
      <w:r>
        <w:rPr>
          <w:lang w:val="en-US"/>
        </w:rPr>
        <w:t xml:space="preserve"> available</w:t>
      </w:r>
      <w:bookmarkEnd w:id="7"/>
      <w:bookmarkEnd w:id="8"/>
      <w:r>
        <w:rPr>
          <w:lang w:val="en-US"/>
        </w:rPr>
        <w:t xml:space="preserve"> </w:t>
      </w:r>
    </w:p>
    <w:p w:rsidR="00922F1E" w:rsidRDefault="00BE1F3C" w:rsidP="00A74E27">
      <w:pPr>
        <w:jc w:val="both"/>
        <w:rPr>
          <w:lang w:val="en-US"/>
        </w:rPr>
      </w:pPr>
      <w:r>
        <w:rPr>
          <w:lang w:val="en-US"/>
        </w:rPr>
        <w:br/>
        <w:t xml:space="preserve">On Monday 23th March 2015, Equinet held the conference </w:t>
      </w:r>
      <w:r w:rsidRPr="00BE1F3C">
        <w:rPr>
          <w:b/>
          <w:lang w:val="en-US"/>
        </w:rPr>
        <w:t>“Taking action for Gender Equality”</w:t>
      </w:r>
      <w:r>
        <w:rPr>
          <w:lang w:val="en-US"/>
        </w:rPr>
        <w:t xml:space="preserve"> in Brussels. </w:t>
      </w:r>
      <w:r w:rsidR="00A74E27">
        <w:rPr>
          <w:lang w:val="en-US"/>
        </w:rPr>
        <w:t xml:space="preserve">The conference was a huge success, both in terms of attendance and quality of the discussion. </w:t>
      </w:r>
    </w:p>
    <w:p w:rsidR="00A74E27" w:rsidRDefault="00A74E27" w:rsidP="00A74E27">
      <w:pPr>
        <w:jc w:val="both"/>
        <w:rPr>
          <w:lang w:val="en-US"/>
        </w:rPr>
      </w:pPr>
      <w:r>
        <w:rPr>
          <w:lang w:val="en-US"/>
        </w:rPr>
        <w:t>You can download the speakers’ presentations, the summary of the conference as well as the draft perspective "</w:t>
      </w:r>
      <w:r w:rsidRPr="00A74E27">
        <w:rPr>
          <w:i/>
          <w:lang w:val="en-US"/>
        </w:rPr>
        <w:t>The persistence of discrimination, harassment and inequality for women – the work of equality bodies to inform a new European Commission Strategy for Gender Equality</w:t>
      </w:r>
      <w:r>
        <w:rPr>
          <w:lang w:val="en-US"/>
        </w:rPr>
        <w:t xml:space="preserve">” </w:t>
      </w:r>
      <w:hyperlink r:id="rId23" w:history="1">
        <w:r w:rsidRPr="000F46D8">
          <w:rPr>
            <w:rStyle w:val="Hyperlink"/>
            <w:lang w:val="en-US"/>
          </w:rPr>
          <w:t>on our website</w:t>
        </w:r>
      </w:hyperlink>
      <w:r>
        <w:rPr>
          <w:lang w:val="en-US"/>
        </w:rPr>
        <w:t xml:space="preserve">. </w:t>
      </w:r>
    </w:p>
    <w:p w:rsidR="00A73FA9" w:rsidRDefault="00A73FA9" w:rsidP="00A73FA9">
      <w:pPr>
        <w:jc w:val="center"/>
        <w:rPr>
          <w:lang w:val="en-US"/>
        </w:rPr>
      </w:pPr>
      <w:r>
        <w:rPr>
          <w:noProof/>
          <w:lang w:eastAsia="fr-BE"/>
        </w:rPr>
        <w:drawing>
          <wp:inline distT="0" distB="0" distL="0" distR="0" wp14:anchorId="68EF4295" wp14:editId="3DDA4198">
            <wp:extent cx="61817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1725" cy="1809750"/>
                    </a:xfrm>
                    <a:prstGeom prst="rect">
                      <a:avLst/>
                    </a:prstGeom>
                    <a:noFill/>
                    <a:ln>
                      <a:noFill/>
                    </a:ln>
                  </pic:spPr>
                </pic:pic>
              </a:graphicData>
            </a:graphic>
          </wp:inline>
        </w:drawing>
      </w:r>
    </w:p>
    <w:p w:rsidR="00A73FA9" w:rsidRDefault="00A73FA9" w:rsidP="00A73FA9">
      <w:pPr>
        <w:rPr>
          <w:lang w:val="en-US"/>
        </w:rPr>
      </w:pPr>
    </w:p>
    <w:p w:rsidR="00A73FA9" w:rsidRDefault="00A73FA9" w:rsidP="00A73FA9">
      <w:pPr>
        <w:pBdr>
          <w:bottom w:val="dotted" w:sz="36" w:space="1" w:color="auto"/>
        </w:pBdr>
        <w:rPr>
          <w:lang w:val="en-US"/>
        </w:rPr>
      </w:pPr>
    </w:p>
    <w:p w:rsidR="00A73FA9" w:rsidRDefault="00A73FA9" w:rsidP="00F31126">
      <w:pPr>
        <w:pStyle w:val="Heading1"/>
        <w:rPr>
          <w:lang w:val="en-US"/>
        </w:rPr>
      </w:pPr>
      <w:bookmarkStart w:id="9" w:name="_Toc418770746"/>
      <w:bookmarkStart w:id="10" w:name="_Ref418784288"/>
      <w:r>
        <w:rPr>
          <w:lang w:val="en-US"/>
        </w:rPr>
        <w:t>Thematic Policy Developments</w:t>
      </w:r>
      <w:bookmarkEnd w:id="9"/>
      <w:bookmarkEnd w:id="10"/>
    </w:p>
    <w:p w:rsidR="00A73FA9" w:rsidRDefault="00A73FA9" w:rsidP="00A73FA9">
      <w:pPr>
        <w:rPr>
          <w:lang w:val="en-US"/>
        </w:rPr>
      </w:pPr>
    </w:p>
    <w:p w:rsidR="00A73FA9" w:rsidRPr="00A73FA9" w:rsidRDefault="00A73FA9" w:rsidP="00A73FA9">
      <w:pPr>
        <w:pStyle w:val="Heading2"/>
        <w:rPr>
          <w:lang w:val="en-US"/>
        </w:rPr>
      </w:pPr>
      <w:bookmarkStart w:id="11" w:name="_Toc418770747"/>
      <w:bookmarkStart w:id="12" w:name="_Ref418784309"/>
      <w:r>
        <w:rPr>
          <w:lang w:val="en-US"/>
        </w:rPr>
        <w:t>Race/Ethnicity</w:t>
      </w:r>
      <w:bookmarkEnd w:id="11"/>
      <w:bookmarkEnd w:id="12"/>
      <w:r>
        <w:rPr>
          <w:lang w:val="en-US"/>
        </w:rPr>
        <w:br/>
      </w:r>
    </w:p>
    <w:p w:rsidR="00A73FA9" w:rsidRPr="00A73FA9" w:rsidRDefault="00A73FA9" w:rsidP="00A73FA9">
      <w:pPr>
        <w:pStyle w:val="ListParagraph"/>
        <w:numPr>
          <w:ilvl w:val="0"/>
          <w:numId w:val="3"/>
        </w:numPr>
        <w:rPr>
          <w:b/>
          <w:sz w:val="24"/>
          <w:shd w:val="clear" w:color="auto" w:fill="FFFFFF"/>
          <w:lang w:val="en-US"/>
        </w:rPr>
      </w:pPr>
      <w:r w:rsidRPr="00A73FA9">
        <w:rPr>
          <w:b/>
          <w:sz w:val="24"/>
          <w:shd w:val="clear" w:color="auto" w:fill="FFFFFF"/>
          <w:lang w:val="en-US"/>
        </w:rPr>
        <w:t xml:space="preserve">Infringement against Slovakia on discrimination of Romani children in schools </w:t>
      </w:r>
    </w:p>
    <w:p w:rsidR="00A73FA9" w:rsidRDefault="00A73FA9" w:rsidP="00A73FA9">
      <w:pPr>
        <w:jc w:val="both"/>
        <w:rPr>
          <w:shd w:val="clear" w:color="auto" w:fill="FFFFFF"/>
          <w:lang w:val="en-US"/>
        </w:rPr>
      </w:pPr>
      <w:r w:rsidRPr="00A73FA9">
        <w:rPr>
          <w:shd w:val="clear" w:color="auto" w:fill="FFFFFF"/>
          <w:lang w:val="en-US"/>
        </w:rPr>
        <w:t xml:space="preserve">On 29 April 2015, </w:t>
      </w:r>
      <w:r w:rsidR="003C34AB">
        <w:rPr>
          <w:shd w:val="clear" w:color="auto" w:fill="FFFFFF"/>
          <w:lang w:val="en-US"/>
        </w:rPr>
        <w:t xml:space="preserve">the </w:t>
      </w:r>
      <w:r w:rsidRPr="00A73FA9">
        <w:rPr>
          <w:shd w:val="clear" w:color="auto" w:fill="FFFFFF"/>
          <w:lang w:val="en-US"/>
        </w:rPr>
        <w:t xml:space="preserve">European Commission gave </w:t>
      </w:r>
      <w:hyperlink r:id="rId25" w:history="1">
        <w:r w:rsidRPr="00A73FA9">
          <w:rPr>
            <w:color w:val="0563C1"/>
            <w:u w:val="single"/>
            <w:shd w:val="clear" w:color="auto" w:fill="FFFFFF"/>
            <w:lang w:val="en-US"/>
          </w:rPr>
          <w:t>formal notice</w:t>
        </w:r>
      </w:hyperlink>
      <w:r w:rsidRPr="00A73FA9">
        <w:rPr>
          <w:shd w:val="clear" w:color="auto" w:fill="FFFFFF"/>
          <w:lang w:val="en-US"/>
        </w:rPr>
        <w:t xml:space="preserve"> that it would start infringement procedures against the Slovak Republic for breach of EU Anti-Discrimination Law in relation to Romani children in schools</w:t>
      </w:r>
      <w:r>
        <w:rPr>
          <w:shd w:val="clear" w:color="auto" w:fill="FFFFFF"/>
          <w:lang w:val="en-US"/>
        </w:rPr>
        <w:t xml:space="preserve">. More information is available </w:t>
      </w:r>
      <w:hyperlink r:id="rId26" w:history="1">
        <w:r w:rsidRPr="00A73FA9">
          <w:rPr>
            <w:rStyle w:val="Hyperlink"/>
            <w:shd w:val="clear" w:color="auto" w:fill="FFFFFF"/>
            <w:lang w:val="en-US"/>
          </w:rPr>
          <w:t>here</w:t>
        </w:r>
      </w:hyperlink>
      <w:r>
        <w:rPr>
          <w:shd w:val="clear" w:color="auto" w:fill="FFFFFF"/>
          <w:lang w:val="en-US"/>
        </w:rPr>
        <w:t xml:space="preserve">. </w:t>
      </w:r>
    </w:p>
    <w:p w:rsidR="00A73FA9" w:rsidRPr="00D05673" w:rsidRDefault="004A7771" w:rsidP="004A7771">
      <w:pPr>
        <w:pStyle w:val="ListParagraph"/>
        <w:numPr>
          <w:ilvl w:val="0"/>
          <w:numId w:val="3"/>
        </w:numPr>
        <w:jc w:val="both"/>
        <w:rPr>
          <w:b/>
          <w:sz w:val="24"/>
          <w:lang w:val="en-US"/>
        </w:rPr>
      </w:pPr>
      <w:r w:rsidRPr="00D05673">
        <w:rPr>
          <w:b/>
          <w:sz w:val="24"/>
          <w:lang w:val="en-US"/>
        </w:rPr>
        <w:t>World Roma Day: the EU Fundamental Rights Agency (FRA) calls on intensified efforts to improve Roma inclusion</w:t>
      </w:r>
    </w:p>
    <w:p w:rsidR="005A767B" w:rsidRDefault="004A7771" w:rsidP="005A767B">
      <w:pPr>
        <w:pBdr>
          <w:bottom w:val="dotted" w:sz="8" w:space="1" w:color="auto"/>
        </w:pBdr>
        <w:jc w:val="both"/>
        <w:rPr>
          <w:lang w:val="en-US"/>
        </w:rPr>
      </w:pPr>
      <w:r w:rsidRPr="004A7771">
        <w:rPr>
          <w:lang w:val="en-US"/>
        </w:rPr>
        <w:t xml:space="preserve">In 2015, this day serves as a timely reminder that in order to </w:t>
      </w:r>
      <w:proofErr w:type="spellStart"/>
      <w:r w:rsidRPr="004A7771">
        <w:rPr>
          <w:lang w:val="en-US"/>
        </w:rPr>
        <w:t>honour</w:t>
      </w:r>
      <w:proofErr w:type="spellEnd"/>
      <w:r w:rsidRPr="004A7771">
        <w:rPr>
          <w:lang w:val="en-US"/>
        </w:rPr>
        <w:t xml:space="preserve"> its past commitments, the European Union and its Member States must intensify their efforts to ensure the fundamental rights of all Roma in the EU are fully respected and fulfilled.</w:t>
      </w:r>
      <w:r>
        <w:rPr>
          <w:lang w:val="en-US"/>
        </w:rPr>
        <w:t xml:space="preserve"> The </w:t>
      </w:r>
      <w:r w:rsidR="003C34AB">
        <w:rPr>
          <w:lang w:val="en-US"/>
        </w:rPr>
        <w:t>full</w:t>
      </w:r>
      <w:r>
        <w:rPr>
          <w:lang w:val="en-US"/>
        </w:rPr>
        <w:t xml:space="preserve"> article is available </w:t>
      </w:r>
      <w:hyperlink r:id="rId27" w:history="1">
        <w:r w:rsidRPr="004A7771">
          <w:rPr>
            <w:rStyle w:val="Hyperlink"/>
            <w:lang w:val="en-US"/>
          </w:rPr>
          <w:t>here</w:t>
        </w:r>
      </w:hyperlink>
      <w:r>
        <w:rPr>
          <w:lang w:val="en-US"/>
        </w:rPr>
        <w:t xml:space="preserve">. </w:t>
      </w:r>
      <w:r w:rsidR="005A767B">
        <w:rPr>
          <w:lang w:val="en-US"/>
        </w:rPr>
        <w:tab/>
      </w:r>
      <w:r w:rsidR="005A767B">
        <w:rPr>
          <w:lang w:val="en-US"/>
        </w:rPr>
        <w:br/>
      </w:r>
    </w:p>
    <w:p w:rsidR="00D05673" w:rsidRDefault="00D05673">
      <w:pPr>
        <w:rPr>
          <w:rFonts w:asciiTheme="majorHAnsi" w:eastAsiaTheme="majorEastAsia" w:hAnsiTheme="majorHAnsi" w:cstheme="majorBidi"/>
          <w:b/>
          <w:color w:val="2E74B5" w:themeColor="accent1" w:themeShade="BF"/>
          <w:sz w:val="26"/>
          <w:szCs w:val="26"/>
          <w:lang w:val="en-US"/>
        </w:rPr>
      </w:pPr>
      <w:r>
        <w:rPr>
          <w:lang w:val="en-US"/>
        </w:rPr>
        <w:br w:type="page"/>
      </w:r>
    </w:p>
    <w:p w:rsidR="00D05673" w:rsidRPr="00D05673" w:rsidRDefault="00D05673" w:rsidP="00D05673">
      <w:pPr>
        <w:pStyle w:val="Heading2"/>
        <w:rPr>
          <w:lang w:val="en-US"/>
        </w:rPr>
      </w:pPr>
      <w:bookmarkStart w:id="13" w:name="_Toc418770748"/>
      <w:bookmarkStart w:id="14" w:name="_Ref418784315"/>
      <w:bookmarkStart w:id="15" w:name="_Ref418784316"/>
      <w:r>
        <w:rPr>
          <w:lang w:val="en-US"/>
        </w:rPr>
        <w:lastRenderedPageBreak/>
        <w:t>Sexual Orientation and Gender Identity</w:t>
      </w:r>
      <w:bookmarkEnd w:id="13"/>
      <w:bookmarkEnd w:id="14"/>
      <w:bookmarkEnd w:id="15"/>
      <w:r>
        <w:rPr>
          <w:lang w:val="en-US"/>
        </w:rPr>
        <w:br/>
      </w:r>
    </w:p>
    <w:p w:rsidR="00D05673" w:rsidRPr="00D05673" w:rsidRDefault="00D05673" w:rsidP="00D05673">
      <w:pPr>
        <w:pStyle w:val="ListParagraph"/>
        <w:numPr>
          <w:ilvl w:val="0"/>
          <w:numId w:val="3"/>
        </w:numPr>
        <w:tabs>
          <w:tab w:val="left" w:pos="2079"/>
        </w:tabs>
        <w:rPr>
          <w:b/>
          <w:sz w:val="24"/>
          <w:lang w:val="en-US"/>
        </w:rPr>
      </w:pPr>
      <w:r w:rsidRPr="00D05673">
        <w:rPr>
          <w:b/>
          <w:sz w:val="24"/>
          <w:lang w:val="en-US"/>
        </w:rPr>
        <w:t xml:space="preserve">Council of Europe adopts resolution for </w:t>
      </w:r>
      <w:r w:rsidR="00F23218">
        <w:rPr>
          <w:b/>
          <w:sz w:val="24"/>
          <w:lang w:val="en-US"/>
        </w:rPr>
        <w:t xml:space="preserve">the </w:t>
      </w:r>
      <w:r w:rsidRPr="00D05673">
        <w:rPr>
          <w:b/>
          <w:sz w:val="24"/>
          <w:lang w:val="en-US"/>
        </w:rPr>
        <w:t>rights of trans people</w:t>
      </w:r>
    </w:p>
    <w:p w:rsidR="00D05673" w:rsidRPr="00D05673" w:rsidRDefault="00D05673" w:rsidP="005A767B">
      <w:pPr>
        <w:pBdr>
          <w:bottom w:val="dotted" w:sz="8" w:space="1" w:color="auto"/>
        </w:pBdr>
        <w:tabs>
          <w:tab w:val="left" w:pos="2079"/>
        </w:tabs>
        <w:jc w:val="both"/>
        <w:rPr>
          <w:lang w:val="en-US"/>
        </w:rPr>
      </w:pPr>
      <w:r w:rsidRPr="00D05673">
        <w:rPr>
          <w:lang w:val="en-US"/>
        </w:rPr>
        <w:t xml:space="preserve">Parliamentary Assembly (PACE) adopted </w:t>
      </w:r>
      <w:r w:rsidR="00F23218">
        <w:rPr>
          <w:lang w:val="en-US"/>
        </w:rPr>
        <w:t xml:space="preserve">a </w:t>
      </w:r>
      <w:hyperlink r:id="rId28" w:history="1">
        <w:r w:rsidRPr="00D05673">
          <w:rPr>
            <w:color w:val="0563C1"/>
            <w:u w:val="single"/>
            <w:lang w:val="en-US"/>
          </w:rPr>
          <w:t>resolution</w:t>
        </w:r>
      </w:hyperlink>
      <w:r w:rsidRPr="00D05673">
        <w:rPr>
          <w:lang w:val="en-US"/>
        </w:rPr>
        <w:t xml:space="preserve"> for </w:t>
      </w:r>
      <w:r w:rsidR="00F23218">
        <w:rPr>
          <w:lang w:val="en-US"/>
        </w:rPr>
        <w:t xml:space="preserve">the </w:t>
      </w:r>
      <w:r w:rsidRPr="00D05673">
        <w:rPr>
          <w:lang w:val="en-US"/>
        </w:rPr>
        <w:t xml:space="preserve">rights of </w:t>
      </w:r>
      <w:proofErr w:type="gramStart"/>
      <w:r w:rsidR="005A767B" w:rsidRPr="00D05673">
        <w:rPr>
          <w:lang w:val="en-US"/>
        </w:rPr>
        <w:t>Trans</w:t>
      </w:r>
      <w:proofErr w:type="gramEnd"/>
      <w:r w:rsidRPr="00D05673">
        <w:rPr>
          <w:lang w:val="en-US"/>
        </w:rPr>
        <w:t xml:space="preserve"> people. The resolution calls for the abolition of medical requirements as a basis for legal gender recognitions and for </w:t>
      </w:r>
      <w:proofErr w:type="spellStart"/>
      <w:r w:rsidRPr="00D05673">
        <w:rPr>
          <w:lang w:val="en-US"/>
        </w:rPr>
        <w:t>depathologisation</w:t>
      </w:r>
      <w:proofErr w:type="spellEnd"/>
      <w:r w:rsidRPr="00D05673">
        <w:rPr>
          <w:lang w:val="en-US"/>
        </w:rPr>
        <w:t xml:space="preserve"> of </w:t>
      </w:r>
      <w:r w:rsidR="005A767B" w:rsidRPr="00D05673">
        <w:rPr>
          <w:lang w:val="en-US"/>
        </w:rPr>
        <w:t>Trans</w:t>
      </w:r>
      <w:r w:rsidRPr="00D05673">
        <w:rPr>
          <w:lang w:val="en-US"/>
        </w:rPr>
        <w:t xml:space="preserve"> identities. The report also makes several recommendation regarding the accessibility to the gender reassignment procedures and health care for </w:t>
      </w:r>
      <w:proofErr w:type="gramStart"/>
      <w:r w:rsidR="005A767B" w:rsidRPr="00D05673">
        <w:rPr>
          <w:lang w:val="en-US"/>
        </w:rPr>
        <w:t>Trans</w:t>
      </w:r>
      <w:proofErr w:type="gramEnd"/>
      <w:r w:rsidRPr="00D05673">
        <w:rPr>
          <w:lang w:val="en-US"/>
        </w:rPr>
        <w:t xml:space="preserve"> people. </w:t>
      </w:r>
      <w:r w:rsidR="005A767B">
        <w:rPr>
          <w:lang w:val="en-US"/>
        </w:rPr>
        <w:tab/>
      </w:r>
      <w:r>
        <w:rPr>
          <w:lang w:val="en-US"/>
        </w:rPr>
        <w:br/>
      </w:r>
    </w:p>
    <w:p w:rsidR="004A7771" w:rsidRPr="004A7771" w:rsidRDefault="004A7771" w:rsidP="004A7771">
      <w:pPr>
        <w:pStyle w:val="Heading2"/>
        <w:rPr>
          <w:lang w:val="en-US"/>
        </w:rPr>
      </w:pPr>
      <w:bookmarkStart w:id="16" w:name="_Toc418770749"/>
      <w:bookmarkStart w:id="17" w:name="_Ref418784327"/>
      <w:r>
        <w:rPr>
          <w:lang w:val="en-US"/>
        </w:rPr>
        <w:t>Religion and Belief</w:t>
      </w:r>
      <w:bookmarkEnd w:id="16"/>
      <w:bookmarkEnd w:id="17"/>
      <w:r>
        <w:rPr>
          <w:lang w:val="en-US"/>
        </w:rPr>
        <w:br/>
      </w:r>
    </w:p>
    <w:p w:rsidR="004A7771" w:rsidRPr="005A767B" w:rsidRDefault="004A7771" w:rsidP="004A7771">
      <w:pPr>
        <w:pStyle w:val="ListParagraph"/>
        <w:numPr>
          <w:ilvl w:val="0"/>
          <w:numId w:val="3"/>
        </w:numPr>
        <w:jc w:val="both"/>
        <w:rPr>
          <w:b/>
          <w:sz w:val="24"/>
          <w:lang w:val="en-US"/>
        </w:rPr>
      </w:pPr>
      <w:r w:rsidRPr="005A767B">
        <w:rPr>
          <w:b/>
          <w:sz w:val="24"/>
          <w:lang w:val="en-US"/>
        </w:rPr>
        <w:t>European Commission call for inputs to its first annual Colloquium on Fundamental Rights in the EU (Deadline: Friday 15th May)</w:t>
      </w:r>
    </w:p>
    <w:p w:rsidR="004A7771" w:rsidRPr="004A7771" w:rsidRDefault="004A7771" w:rsidP="004A7771">
      <w:pPr>
        <w:jc w:val="both"/>
        <w:rPr>
          <w:lang w:val="en-US"/>
        </w:rPr>
      </w:pPr>
      <w:r w:rsidRPr="004A7771">
        <w:rPr>
          <w:b/>
          <w:bCs/>
          <w:lang w:val="en-US"/>
        </w:rPr>
        <w:t>On 1</w:t>
      </w:r>
      <w:r w:rsidRPr="004A7771">
        <w:rPr>
          <w:b/>
          <w:bCs/>
          <w:vertAlign w:val="superscript"/>
          <w:lang w:val="en-US"/>
        </w:rPr>
        <w:t>st</w:t>
      </w:r>
      <w:r w:rsidRPr="004A7771">
        <w:rPr>
          <w:b/>
          <w:bCs/>
          <w:lang w:val="en-US"/>
        </w:rPr>
        <w:t xml:space="preserve"> and 2</w:t>
      </w:r>
      <w:r w:rsidRPr="004A7771">
        <w:rPr>
          <w:b/>
          <w:bCs/>
          <w:vertAlign w:val="superscript"/>
          <w:lang w:val="en-US"/>
        </w:rPr>
        <w:t>nd</w:t>
      </w:r>
      <w:r w:rsidRPr="004A7771">
        <w:rPr>
          <w:b/>
          <w:bCs/>
          <w:lang w:val="en-US"/>
        </w:rPr>
        <w:t xml:space="preserve"> October 2015</w:t>
      </w:r>
      <w:r w:rsidRPr="004A7771">
        <w:rPr>
          <w:lang w:val="en-US"/>
        </w:rPr>
        <w:t xml:space="preserve">, the First Vice-President of the European Commission, </w:t>
      </w:r>
      <w:proofErr w:type="spellStart"/>
      <w:r w:rsidRPr="004A7771">
        <w:rPr>
          <w:lang w:val="en-US"/>
        </w:rPr>
        <w:t>Frans</w:t>
      </w:r>
      <w:proofErr w:type="spellEnd"/>
      <w:r w:rsidRPr="004A7771">
        <w:rPr>
          <w:lang w:val="en-US"/>
        </w:rPr>
        <w:t xml:space="preserve"> Timmermans, in cooperation with the EU Commissioner for Justice, Consumers and Gender Equality, </w:t>
      </w:r>
      <w:proofErr w:type="spellStart"/>
      <w:r w:rsidR="00F23218" w:rsidRPr="00F23218">
        <w:rPr>
          <w:lang w:val="en-US"/>
        </w:rPr>
        <w:t>Věra</w:t>
      </w:r>
      <w:proofErr w:type="spellEnd"/>
      <w:r w:rsidR="00F23218" w:rsidRPr="00F23218">
        <w:rPr>
          <w:lang w:val="en-US"/>
        </w:rPr>
        <w:t xml:space="preserve"> </w:t>
      </w:r>
      <w:proofErr w:type="spellStart"/>
      <w:r w:rsidR="00F23218" w:rsidRPr="00F23218">
        <w:rPr>
          <w:lang w:val="en-US"/>
        </w:rPr>
        <w:t>Jourová</w:t>
      </w:r>
      <w:proofErr w:type="spellEnd"/>
      <w:r w:rsidRPr="004A7771">
        <w:rPr>
          <w:lang w:val="en-US"/>
        </w:rPr>
        <w:t xml:space="preserve">, will host </w:t>
      </w:r>
      <w:r w:rsidRPr="004A7771">
        <w:rPr>
          <w:b/>
          <w:bCs/>
          <w:lang w:val="en-US"/>
        </w:rPr>
        <w:t>the first Annual Colloquium on Fundamental Rights in the EU</w:t>
      </w:r>
      <w:r w:rsidRPr="004A7771">
        <w:rPr>
          <w:lang w:val="en-US"/>
        </w:rPr>
        <w:t xml:space="preserve">. </w:t>
      </w:r>
    </w:p>
    <w:p w:rsidR="004A7771" w:rsidRPr="004A7771" w:rsidRDefault="004A7771" w:rsidP="00D05673">
      <w:pPr>
        <w:jc w:val="both"/>
        <w:rPr>
          <w:lang w:val="en-US"/>
        </w:rPr>
      </w:pPr>
      <w:r w:rsidRPr="004A7771">
        <w:rPr>
          <w:lang w:val="en-US"/>
        </w:rPr>
        <w:t xml:space="preserve">The European Commission would like to collect input from stakeholders on a number of questions on the topic </w:t>
      </w:r>
      <w:r w:rsidRPr="004A7771">
        <w:rPr>
          <w:b/>
          <w:bCs/>
          <w:lang w:val="en-US"/>
        </w:rPr>
        <w:t>“Tolerance and respect: preventing and combating anti-Semitic and anti-Muslim hatred in Europe”</w:t>
      </w:r>
      <w:r w:rsidRPr="004A7771">
        <w:rPr>
          <w:lang w:val="en-US"/>
        </w:rPr>
        <w:t xml:space="preserve">. Input will be welcome by </w:t>
      </w:r>
      <w:r w:rsidRPr="004A7771">
        <w:rPr>
          <w:b/>
          <w:bCs/>
          <w:lang w:val="en-US"/>
        </w:rPr>
        <w:t>15</w:t>
      </w:r>
      <w:r w:rsidRPr="004A7771">
        <w:rPr>
          <w:b/>
          <w:bCs/>
          <w:vertAlign w:val="superscript"/>
          <w:lang w:val="en-US"/>
        </w:rPr>
        <w:t>th</w:t>
      </w:r>
      <w:r w:rsidRPr="004A7771">
        <w:rPr>
          <w:b/>
          <w:bCs/>
          <w:lang w:val="en-US"/>
        </w:rPr>
        <w:t xml:space="preserve"> May 2015</w:t>
      </w:r>
      <w:r w:rsidRPr="004A7771">
        <w:rPr>
          <w:lang w:val="en-US"/>
        </w:rPr>
        <w:t xml:space="preserve">. Contributions can be sent to </w:t>
      </w:r>
      <w:hyperlink r:id="rId29" w:history="1">
        <w:r w:rsidRPr="004A7771">
          <w:rPr>
            <w:rStyle w:val="Hyperlink"/>
            <w:lang w:val="en-US"/>
          </w:rPr>
          <w:t>JUST_Colloquium@ec.europa.eu</w:t>
        </w:r>
      </w:hyperlink>
      <w:r w:rsidRPr="004A7771">
        <w:rPr>
          <w:lang w:val="en-US"/>
        </w:rPr>
        <w:t>.</w:t>
      </w:r>
    </w:p>
    <w:p w:rsidR="004A7771" w:rsidRPr="004A7771" w:rsidRDefault="004A7771" w:rsidP="00D05673">
      <w:pPr>
        <w:jc w:val="both"/>
        <w:rPr>
          <w:lang w:val="en-US"/>
        </w:rPr>
      </w:pPr>
      <w:r w:rsidRPr="004A7771">
        <w:rPr>
          <w:lang w:val="en-US"/>
        </w:rPr>
        <w:t xml:space="preserve">More information about the Annual Colloquium and the consultation is available </w:t>
      </w:r>
      <w:hyperlink r:id="rId30" w:history="1">
        <w:r w:rsidRPr="004A7771">
          <w:rPr>
            <w:rStyle w:val="Hyperlink"/>
            <w:lang w:val="en-US"/>
          </w:rPr>
          <w:t>here</w:t>
        </w:r>
      </w:hyperlink>
      <w:r w:rsidRPr="004A7771">
        <w:rPr>
          <w:lang w:val="en-US"/>
        </w:rPr>
        <w:t xml:space="preserve"> and </w:t>
      </w:r>
      <w:hyperlink r:id="rId31" w:history="1">
        <w:r w:rsidRPr="004A7771">
          <w:rPr>
            <w:rStyle w:val="Hyperlink"/>
            <w:lang w:val="en-US"/>
          </w:rPr>
          <w:t>here</w:t>
        </w:r>
      </w:hyperlink>
      <w:r>
        <w:rPr>
          <w:lang w:val="en-US"/>
        </w:rPr>
        <w:t xml:space="preserve">. </w:t>
      </w:r>
      <w:r w:rsidRPr="004A7771">
        <w:rPr>
          <w:lang w:val="en-US"/>
        </w:rPr>
        <w:t>Questions of the c</w:t>
      </w:r>
      <w:r>
        <w:rPr>
          <w:lang w:val="en-US"/>
        </w:rPr>
        <w:t xml:space="preserve">onsultation are available </w:t>
      </w:r>
      <w:hyperlink r:id="rId32" w:history="1">
        <w:r w:rsidR="00F23218">
          <w:rPr>
            <w:rStyle w:val="Hyperlink"/>
            <w:lang w:val="en-US"/>
          </w:rPr>
          <w:t>on this link</w:t>
        </w:r>
      </w:hyperlink>
      <w:r>
        <w:rPr>
          <w:lang w:val="en-US"/>
        </w:rPr>
        <w:t xml:space="preserve">. </w:t>
      </w:r>
    </w:p>
    <w:p w:rsidR="00D05673" w:rsidRDefault="004A7771" w:rsidP="00F23218">
      <w:pPr>
        <w:pBdr>
          <w:bottom w:val="dotted" w:sz="8" w:space="1" w:color="auto"/>
        </w:pBdr>
        <w:jc w:val="both"/>
        <w:rPr>
          <w:lang w:val="en-US"/>
        </w:rPr>
      </w:pPr>
      <w:r w:rsidRPr="004A7771">
        <w:rPr>
          <w:lang w:val="en-US"/>
        </w:rPr>
        <w:t xml:space="preserve">Equinet will prepare a contribution to the consultation. </w:t>
      </w:r>
      <w:r w:rsidRPr="004A7771">
        <w:rPr>
          <w:b/>
          <w:bCs/>
          <w:lang w:val="en-US"/>
        </w:rPr>
        <w:t xml:space="preserve">Should your equality body decide to </w:t>
      </w:r>
      <w:r w:rsidR="00F23218">
        <w:rPr>
          <w:b/>
          <w:bCs/>
          <w:lang w:val="en-US"/>
        </w:rPr>
        <w:t>submit its own</w:t>
      </w:r>
      <w:r w:rsidRPr="004A7771">
        <w:rPr>
          <w:b/>
          <w:bCs/>
          <w:lang w:val="en-US"/>
        </w:rPr>
        <w:t xml:space="preserve"> questionnaire,</w:t>
      </w:r>
      <w:r w:rsidRPr="004A7771">
        <w:rPr>
          <w:lang w:val="en-US"/>
        </w:rPr>
        <w:t xml:space="preserve"> </w:t>
      </w:r>
      <w:r w:rsidR="00F23218">
        <w:rPr>
          <w:lang w:val="en-US"/>
        </w:rPr>
        <w:t>we will welcome to be informed. P</w:t>
      </w:r>
      <w:r w:rsidRPr="004A7771">
        <w:rPr>
          <w:lang w:val="en-US"/>
        </w:rPr>
        <w:t xml:space="preserve">lease do not hesitate to contact </w:t>
      </w:r>
      <w:r>
        <w:rPr>
          <w:lang w:val="en-US"/>
        </w:rPr>
        <w:t xml:space="preserve">Jessica Machacova, Equinet Project Officer </w:t>
      </w:r>
      <w:r w:rsidRPr="004A7771">
        <w:rPr>
          <w:lang w:val="en-US"/>
        </w:rPr>
        <w:t>(</w:t>
      </w:r>
      <w:hyperlink r:id="rId33" w:history="1">
        <w:r w:rsidRPr="004A7771">
          <w:rPr>
            <w:rStyle w:val="Hyperlink"/>
            <w:lang w:val="en-US"/>
          </w:rPr>
          <w:t>Jessica.machacova@equineteurope.org</w:t>
        </w:r>
      </w:hyperlink>
      <w:r>
        <w:rPr>
          <w:lang w:val="en-US"/>
        </w:rPr>
        <w:t xml:space="preserve"> - </w:t>
      </w:r>
      <w:r w:rsidRPr="004A7771">
        <w:rPr>
          <w:lang w:val="en-US"/>
        </w:rPr>
        <w:t>0032 2 212 31 80) to share and</w:t>
      </w:r>
      <w:r w:rsidR="005A767B">
        <w:rPr>
          <w:lang w:val="en-US"/>
        </w:rPr>
        <w:t xml:space="preserve"> coordinate your input with us.</w:t>
      </w:r>
      <w:r w:rsidR="00F23218">
        <w:rPr>
          <w:lang w:val="en-US"/>
        </w:rPr>
        <w:tab/>
      </w:r>
      <w:r w:rsidR="005A767B">
        <w:rPr>
          <w:lang w:val="en-US"/>
        </w:rPr>
        <w:br/>
      </w:r>
    </w:p>
    <w:p w:rsidR="00D05673" w:rsidRPr="00D05673" w:rsidRDefault="004A7771" w:rsidP="00D05673">
      <w:pPr>
        <w:pStyle w:val="Heading2"/>
        <w:rPr>
          <w:lang w:val="en-US"/>
        </w:rPr>
      </w:pPr>
      <w:bookmarkStart w:id="18" w:name="_Toc418770750"/>
      <w:bookmarkStart w:id="19" w:name="_Ref418784334"/>
      <w:r>
        <w:rPr>
          <w:lang w:val="en-US"/>
        </w:rPr>
        <w:t>Disability</w:t>
      </w:r>
      <w:bookmarkEnd w:id="18"/>
      <w:bookmarkEnd w:id="19"/>
      <w:r w:rsidR="00D05673">
        <w:rPr>
          <w:lang w:val="en-US"/>
        </w:rPr>
        <w:br/>
      </w:r>
    </w:p>
    <w:p w:rsidR="00F92C30" w:rsidRPr="00F92C30" w:rsidRDefault="00F92C30" w:rsidP="00B07813">
      <w:pPr>
        <w:pStyle w:val="ListParagraph"/>
        <w:numPr>
          <w:ilvl w:val="0"/>
          <w:numId w:val="3"/>
        </w:numPr>
        <w:tabs>
          <w:tab w:val="left" w:pos="2079"/>
        </w:tabs>
        <w:rPr>
          <w:b/>
          <w:sz w:val="24"/>
          <w:lang w:val="en-US"/>
        </w:rPr>
      </w:pPr>
      <w:r w:rsidRPr="00F92C30">
        <w:rPr>
          <w:b/>
          <w:sz w:val="24"/>
          <w:lang w:val="en-US"/>
        </w:rPr>
        <w:t xml:space="preserve">United Nations’ requests to the EU regarding UN Convention on the Rights of Persons with </w:t>
      </w:r>
      <w:r w:rsidR="005D3458">
        <w:rPr>
          <w:b/>
          <w:sz w:val="24"/>
          <w:lang w:val="en-US"/>
        </w:rPr>
        <w:t>Disabilities</w:t>
      </w:r>
    </w:p>
    <w:p w:rsidR="00F92C30" w:rsidRPr="00F92C30" w:rsidRDefault="00F23218" w:rsidP="00F92C30">
      <w:pPr>
        <w:tabs>
          <w:tab w:val="left" w:pos="2079"/>
        </w:tabs>
        <w:jc w:val="both"/>
        <w:rPr>
          <w:lang w:val="en-US"/>
        </w:rPr>
      </w:pPr>
      <w:r>
        <w:rPr>
          <w:noProof/>
          <w:lang w:eastAsia="fr-BE"/>
        </w:rPr>
        <w:drawing>
          <wp:anchor distT="0" distB="0" distL="114300" distR="114300" simplePos="0" relativeHeight="251660288" behindDoc="0" locked="0" layoutInCell="1" allowOverlap="1" wp14:anchorId="662E14F7" wp14:editId="10E743AA">
            <wp:simplePos x="0" y="0"/>
            <wp:positionH relativeFrom="margin">
              <wp:posOffset>4445635</wp:posOffset>
            </wp:positionH>
            <wp:positionV relativeFrom="margin">
              <wp:posOffset>6891655</wp:posOffset>
            </wp:positionV>
            <wp:extent cx="1742440" cy="1304925"/>
            <wp:effectExtent l="19050" t="19050" r="10160" b="28575"/>
            <wp:wrapSquare wrapText="bothSides"/>
            <wp:docPr id="6" name="Picture 6" descr="Work Forum on the implementation of the UN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 Forum on the implementation of the UN Convention on the rights of persons with disabiliti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42440" cy="1304925"/>
                    </a:xfrm>
                    <a:prstGeom prst="rect">
                      <a:avLst/>
                    </a:prstGeom>
                    <a:noFill/>
                    <a:ln>
                      <a:solidFill>
                        <a:schemeClr val="tx2"/>
                      </a:solidFill>
                    </a:ln>
                  </pic:spPr>
                </pic:pic>
              </a:graphicData>
            </a:graphic>
          </wp:anchor>
        </w:drawing>
      </w:r>
      <w:r w:rsidR="00F92C30" w:rsidRPr="00F92C30">
        <w:rPr>
          <w:lang w:val="en-US"/>
        </w:rPr>
        <w:t>United Nations have addressed</w:t>
      </w:r>
      <w:r>
        <w:rPr>
          <w:lang w:val="en-US"/>
        </w:rPr>
        <w:t xml:space="preserve"> a</w:t>
      </w:r>
      <w:r w:rsidR="00F92C30" w:rsidRPr="00F92C30">
        <w:rPr>
          <w:lang w:val="en-US"/>
        </w:rPr>
        <w:t xml:space="preserve"> </w:t>
      </w:r>
      <w:hyperlink r:id="rId35" w:history="1">
        <w:r w:rsidR="00F92C30" w:rsidRPr="00F92C30">
          <w:rPr>
            <w:rStyle w:val="Hyperlink"/>
            <w:lang w:val="en-US"/>
          </w:rPr>
          <w:t>list of issues</w:t>
        </w:r>
      </w:hyperlink>
      <w:r w:rsidR="00F92C30" w:rsidRPr="00F92C30">
        <w:rPr>
          <w:lang w:val="en-US"/>
        </w:rPr>
        <w:t xml:space="preserve"> to the initial report of the European Union on the implementation of the UN convention on the Rights of Persons with Disabilities. </w:t>
      </w:r>
    </w:p>
    <w:p w:rsidR="004A7771" w:rsidRDefault="00F92C30" w:rsidP="00F92C30">
      <w:pPr>
        <w:pStyle w:val="ListParagraph"/>
        <w:numPr>
          <w:ilvl w:val="0"/>
          <w:numId w:val="3"/>
        </w:numPr>
        <w:jc w:val="both"/>
        <w:rPr>
          <w:b/>
          <w:sz w:val="24"/>
          <w:lang w:val="en-US"/>
        </w:rPr>
      </w:pPr>
      <w:r w:rsidRPr="00F92C30">
        <w:rPr>
          <w:b/>
          <w:sz w:val="24"/>
          <w:lang w:val="en-US"/>
        </w:rPr>
        <w:t>Work Forum on the implementation of the UN Convention on the rights of persons with disabilities</w:t>
      </w:r>
      <w:r>
        <w:rPr>
          <w:b/>
          <w:sz w:val="24"/>
          <w:lang w:val="en-US"/>
        </w:rPr>
        <w:t>: presentations available</w:t>
      </w:r>
    </w:p>
    <w:p w:rsidR="00E91D96" w:rsidRDefault="00F92C30" w:rsidP="004A7771">
      <w:pPr>
        <w:jc w:val="both"/>
        <w:rPr>
          <w:lang w:val="en-US"/>
        </w:rPr>
      </w:pPr>
      <w:r w:rsidRPr="00F92C30">
        <w:rPr>
          <w:lang w:val="en-US"/>
        </w:rPr>
        <w:t>On 29</w:t>
      </w:r>
      <w:r w:rsidRPr="00F92C30">
        <w:rPr>
          <w:vertAlign w:val="superscript"/>
          <w:lang w:val="en-US"/>
        </w:rPr>
        <w:t>th</w:t>
      </w:r>
      <w:r w:rsidRPr="00F92C30">
        <w:rPr>
          <w:lang w:val="en-US"/>
        </w:rPr>
        <w:t xml:space="preserve"> April, the European Commission held a work forum on the implementation of the UN Convention on the rights of persons with disability. Presentations are available </w:t>
      </w:r>
      <w:hyperlink r:id="rId36" w:history="1">
        <w:r w:rsidRPr="00F92C30">
          <w:rPr>
            <w:rStyle w:val="Hyperlink"/>
            <w:lang w:val="en-US"/>
          </w:rPr>
          <w:t>on the European Commission’s website</w:t>
        </w:r>
      </w:hyperlink>
      <w:r w:rsidRPr="00F92C30">
        <w:rPr>
          <w:lang w:val="en-US"/>
        </w:rPr>
        <w:t xml:space="preserve"> (top right corner of the page). </w:t>
      </w:r>
    </w:p>
    <w:p w:rsidR="00E91D96" w:rsidRDefault="00E91D96" w:rsidP="00E91D96">
      <w:pPr>
        <w:pBdr>
          <w:bottom w:val="dotted" w:sz="36" w:space="1" w:color="auto"/>
        </w:pBdr>
        <w:rPr>
          <w:lang w:val="en-US"/>
        </w:rPr>
      </w:pPr>
    </w:p>
    <w:p w:rsidR="004A7771" w:rsidRPr="00F23218" w:rsidRDefault="00E91D96" w:rsidP="00F23218">
      <w:pPr>
        <w:pStyle w:val="Heading1"/>
        <w:rPr>
          <w:lang w:val="en-US"/>
        </w:rPr>
      </w:pPr>
      <w:r>
        <w:rPr>
          <w:lang w:val="en-US"/>
        </w:rPr>
        <w:br w:type="page"/>
      </w:r>
      <w:bookmarkStart w:id="20" w:name="_Toc418770751"/>
      <w:bookmarkStart w:id="21" w:name="_Ref418784342"/>
      <w:bookmarkStart w:id="22" w:name="_GoBack"/>
      <w:bookmarkEnd w:id="22"/>
      <w:r>
        <w:rPr>
          <w:lang w:val="en-US"/>
        </w:rPr>
        <w:t>Latest publications, funding opportunities and calls for proposals</w:t>
      </w:r>
      <w:bookmarkEnd w:id="20"/>
      <w:bookmarkEnd w:id="21"/>
    </w:p>
    <w:p w:rsidR="00E91D96" w:rsidRDefault="00E91D96" w:rsidP="00E91D96">
      <w:pPr>
        <w:rPr>
          <w:lang w:val="en-US"/>
        </w:rPr>
      </w:pPr>
    </w:p>
    <w:p w:rsidR="00E91D96" w:rsidRPr="00E91D96" w:rsidRDefault="00E91D96" w:rsidP="001C172F">
      <w:pPr>
        <w:pStyle w:val="Heading2"/>
        <w:rPr>
          <w:lang w:val="en-US"/>
        </w:rPr>
      </w:pPr>
      <w:bookmarkStart w:id="23" w:name="_Toc418770752"/>
      <w:bookmarkStart w:id="24" w:name="_Ref418784351"/>
      <w:r>
        <w:rPr>
          <w:lang w:val="en-US"/>
        </w:rPr>
        <w:t>General information</w:t>
      </w:r>
      <w:bookmarkEnd w:id="23"/>
      <w:bookmarkEnd w:id="24"/>
      <w:r w:rsidR="001C172F">
        <w:rPr>
          <w:lang w:val="en-US"/>
        </w:rPr>
        <w:br/>
      </w:r>
    </w:p>
    <w:p w:rsidR="00E91D96" w:rsidRPr="00E91D96" w:rsidRDefault="00F31126" w:rsidP="00E91D96">
      <w:pPr>
        <w:pStyle w:val="ListParagraph"/>
        <w:numPr>
          <w:ilvl w:val="0"/>
          <w:numId w:val="3"/>
        </w:numPr>
        <w:tabs>
          <w:tab w:val="left" w:pos="2079"/>
        </w:tabs>
        <w:rPr>
          <w:b/>
          <w:sz w:val="24"/>
          <w:lang w:val="en-US"/>
        </w:rPr>
      </w:pPr>
      <w:r>
        <w:rPr>
          <w:b/>
          <w:sz w:val="24"/>
          <w:lang w:val="en-US"/>
        </w:rPr>
        <w:t xml:space="preserve">EUROPEAN PARLIAMENT: </w:t>
      </w:r>
      <w:r w:rsidR="00E91D96" w:rsidRPr="00E91D96">
        <w:rPr>
          <w:b/>
          <w:sz w:val="24"/>
          <w:lang w:val="en-US"/>
        </w:rPr>
        <w:t>Analysis of the EU Charter of Fundamental Rights</w:t>
      </w:r>
    </w:p>
    <w:p w:rsidR="00E91D96" w:rsidRDefault="00E91D96" w:rsidP="00E91D96">
      <w:pPr>
        <w:tabs>
          <w:tab w:val="left" w:pos="2079"/>
        </w:tabs>
        <w:jc w:val="both"/>
        <w:rPr>
          <w:lang w:val="en-US"/>
        </w:rPr>
      </w:pPr>
      <w:r>
        <w:rPr>
          <w:lang w:val="en-US"/>
        </w:rPr>
        <w:t xml:space="preserve">The </w:t>
      </w:r>
      <w:r w:rsidRPr="00E91D96">
        <w:rPr>
          <w:lang w:val="en-US"/>
        </w:rPr>
        <w:t xml:space="preserve">European Parliament issued an analysis </w:t>
      </w:r>
      <w:hyperlink r:id="rId37" w:history="1">
        <w:r w:rsidRPr="00E91D96">
          <w:rPr>
            <w:color w:val="0563C1"/>
            <w:u w:val="single"/>
            <w:lang w:val="en-US"/>
          </w:rPr>
          <w:t>‘Fundamental Rights in the European Union: The role of the Charter after the Lisbon Treaty’</w:t>
        </w:r>
      </w:hyperlink>
      <w:r w:rsidRPr="00E91D96">
        <w:rPr>
          <w:lang w:val="en-US"/>
        </w:rPr>
        <w:t xml:space="preserve"> that looks at historical developments and contemporary legal implications of the EU</w:t>
      </w:r>
      <w:r>
        <w:rPr>
          <w:lang w:val="en-US"/>
        </w:rPr>
        <w:t xml:space="preserve"> Charter of Fundamental Rights. </w:t>
      </w:r>
    </w:p>
    <w:p w:rsidR="00E91D96" w:rsidRPr="00E91D96" w:rsidRDefault="005D3458" w:rsidP="00E91D96">
      <w:pPr>
        <w:pStyle w:val="ListParagraph"/>
        <w:numPr>
          <w:ilvl w:val="0"/>
          <w:numId w:val="3"/>
        </w:numPr>
        <w:tabs>
          <w:tab w:val="left" w:pos="2079"/>
        </w:tabs>
        <w:jc w:val="both"/>
        <w:rPr>
          <w:lang w:val="en-US"/>
        </w:rPr>
      </w:pPr>
      <w:r>
        <w:rPr>
          <w:b/>
          <w:sz w:val="24"/>
          <w:lang w:val="en-US"/>
        </w:rPr>
        <w:t xml:space="preserve">EUROPEAN COMMISSION: </w:t>
      </w:r>
      <w:r w:rsidR="00E91D96" w:rsidRPr="00E91D96">
        <w:rPr>
          <w:b/>
          <w:sz w:val="24"/>
          <w:lang w:val="en-US"/>
        </w:rPr>
        <w:t>Report on the ‘shift of the burden of proof’</w:t>
      </w:r>
    </w:p>
    <w:p w:rsidR="00E91D96" w:rsidRDefault="001C172F" w:rsidP="00E91D96">
      <w:pPr>
        <w:jc w:val="both"/>
        <w:rPr>
          <w:lang w:val="en-US"/>
        </w:rPr>
      </w:pPr>
      <w:r>
        <w:rPr>
          <w:lang w:val="en-US"/>
        </w:rPr>
        <w:t xml:space="preserve">The </w:t>
      </w:r>
      <w:r w:rsidR="00E91D96" w:rsidRPr="00E91D96">
        <w:rPr>
          <w:lang w:val="en-US"/>
        </w:rPr>
        <w:t xml:space="preserve">European Commission (DG Justice and Consumers) published a </w:t>
      </w:r>
      <w:hyperlink r:id="rId38" w:history="1">
        <w:r w:rsidR="00E91D96" w:rsidRPr="00E91D96">
          <w:rPr>
            <w:color w:val="0563C1"/>
            <w:u w:val="single"/>
            <w:lang w:val="en-US"/>
          </w:rPr>
          <w:t>report</w:t>
        </w:r>
      </w:hyperlink>
      <w:r w:rsidR="00E91D96" w:rsidRPr="00E91D96">
        <w:rPr>
          <w:lang w:val="en-US"/>
        </w:rPr>
        <w:t xml:space="preserve"> that focuses on ‘shift of the burden of proof’ from the claimant to the respondent with regards to the dilemmas of implementation on national and European level.</w:t>
      </w:r>
    </w:p>
    <w:p w:rsidR="001C172F" w:rsidRPr="001C172F" w:rsidRDefault="005D3458" w:rsidP="001C172F">
      <w:pPr>
        <w:pStyle w:val="ListParagraph"/>
        <w:numPr>
          <w:ilvl w:val="0"/>
          <w:numId w:val="3"/>
        </w:numPr>
        <w:jc w:val="both"/>
        <w:rPr>
          <w:b/>
          <w:sz w:val="20"/>
          <w:lang w:val="en-US"/>
        </w:rPr>
      </w:pPr>
      <w:r>
        <w:rPr>
          <w:b/>
          <w:sz w:val="24"/>
          <w:lang w:val="en-US"/>
        </w:rPr>
        <w:t xml:space="preserve">EU FUNDAMENTAL RIGHTS AGENCY: </w:t>
      </w:r>
      <w:r w:rsidR="001C172F" w:rsidRPr="001C172F">
        <w:rPr>
          <w:b/>
          <w:sz w:val="24"/>
          <w:lang w:val="en-US"/>
        </w:rPr>
        <w:t>New mobile application on the Charter of Fundamental Rights developed by the FRA</w:t>
      </w:r>
    </w:p>
    <w:p w:rsidR="001C172F" w:rsidRDefault="001C172F" w:rsidP="001C172F">
      <w:pPr>
        <w:pBdr>
          <w:bottom w:val="dotted" w:sz="8" w:space="1" w:color="auto"/>
        </w:pBdr>
        <w:jc w:val="both"/>
        <w:rPr>
          <w:lang w:val="en-US"/>
        </w:rPr>
      </w:pPr>
      <w:r w:rsidRPr="001C172F">
        <w:rPr>
          <w:lang w:val="en-US"/>
        </w:rPr>
        <w:t>The FRA has developed an EU Charter app - a fundamental rights one-stop-shop for mobile devices.</w:t>
      </w:r>
      <w:r>
        <w:rPr>
          <w:lang w:val="en-US"/>
        </w:rPr>
        <w:t xml:space="preserve"> More information is available </w:t>
      </w:r>
      <w:hyperlink r:id="rId39" w:history="1">
        <w:r w:rsidRPr="001C172F">
          <w:rPr>
            <w:rStyle w:val="Hyperlink"/>
            <w:lang w:val="en-US"/>
          </w:rPr>
          <w:t>here</w:t>
        </w:r>
      </w:hyperlink>
      <w:r>
        <w:rPr>
          <w:lang w:val="en-US"/>
        </w:rPr>
        <w:t xml:space="preserve">. </w:t>
      </w:r>
      <w:r>
        <w:rPr>
          <w:lang w:val="en-US"/>
        </w:rPr>
        <w:tab/>
      </w:r>
      <w:r>
        <w:rPr>
          <w:lang w:val="en-US"/>
        </w:rPr>
        <w:br/>
      </w:r>
    </w:p>
    <w:p w:rsidR="001C172F" w:rsidRDefault="001C172F" w:rsidP="001C172F">
      <w:pPr>
        <w:pStyle w:val="Heading2"/>
        <w:rPr>
          <w:lang w:val="en-US"/>
        </w:rPr>
      </w:pPr>
      <w:bookmarkStart w:id="25" w:name="_Toc418770753"/>
      <w:bookmarkStart w:id="26" w:name="_Ref418784357"/>
      <w:r>
        <w:rPr>
          <w:lang w:val="en-US"/>
        </w:rPr>
        <w:t>Gender Equality</w:t>
      </w:r>
      <w:bookmarkEnd w:id="25"/>
      <w:bookmarkEnd w:id="26"/>
    </w:p>
    <w:p w:rsidR="009C2CBE" w:rsidRDefault="005D3458" w:rsidP="009C2CBE">
      <w:pPr>
        <w:pStyle w:val="ListParagraph"/>
        <w:numPr>
          <w:ilvl w:val="0"/>
          <w:numId w:val="3"/>
        </w:numPr>
        <w:shd w:val="clear" w:color="auto" w:fill="FFFFFF"/>
        <w:spacing w:before="75" w:after="75" w:line="240" w:lineRule="auto"/>
        <w:jc w:val="both"/>
        <w:rPr>
          <w:rFonts w:eastAsia="Times New Roman" w:cs="Arial"/>
          <w:b/>
          <w:iCs/>
          <w:sz w:val="24"/>
          <w:szCs w:val="24"/>
          <w:lang w:val="en-US"/>
        </w:rPr>
      </w:pPr>
      <w:r w:rsidRPr="00E014FB">
        <w:rPr>
          <w:rFonts w:eastAsia="Times New Roman" w:cs="Arial"/>
          <w:b/>
          <w:iCs/>
          <w:sz w:val="24"/>
          <w:szCs w:val="24"/>
          <w:lang w:val="en-US"/>
        </w:rPr>
        <w:t>EUROPEAN PARLIAMENT</w:t>
      </w:r>
      <w:r w:rsidR="001C172F" w:rsidRPr="00E014FB">
        <w:rPr>
          <w:rFonts w:eastAsia="Times New Roman" w:cs="Arial"/>
          <w:b/>
          <w:iCs/>
          <w:sz w:val="24"/>
          <w:szCs w:val="24"/>
          <w:lang w:val="en-US"/>
        </w:rPr>
        <w:t>: New reports of the Committee of Women’s Rights and Gender Equality</w:t>
      </w:r>
    </w:p>
    <w:p w:rsidR="001C172F" w:rsidRPr="009C2CBE" w:rsidRDefault="001C172F" w:rsidP="009C2CBE">
      <w:pPr>
        <w:shd w:val="clear" w:color="auto" w:fill="FFFFFF"/>
        <w:spacing w:before="75" w:after="75" w:line="240" w:lineRule="auto"/>
        <w:jc w:val="both"/>
        <w:rPr>
          <w:rFonts w:eastAsia="Times New Roman" w:cs="Arial"/>
          <w:b/>
          <w:iCs/>
          <w:sz w:val="24"/>
          <w:szCs w:val="24"/>
          <w:lang w:val="en-US"/>
        </w:rPr>
      </w:pPr>
      <w:r w:rsidRPr="009C2CBE">
        <w:rPr>
          <w:lang w:val="en-US"/>
        </w:rPr>
        <w:t xml:space="preserve">3 new reports have been published by the European Parliament FEMM Committee: </w:t>
      </w:r>
      <w:r w:rsidRPr="009C2CBE">
        <w:rPr>
          <w:lang w:val="en-US"/>
        </w:rPr>
        <w:tab/>
      </w:r>
      <w:r w:rsidRPr="009C2CBE">
        <w:rPr>
          <w:lang w:val="en-US"/>
        </w:rPr>
        <w:br/>
        <w:t xml:space="preserve">- An </w:t>
      </w:r>
      <w:hyperlink r:id="rId40" w:history="1">
        <w:r w:rsidRPr="009C2CBE">
          <w:rPr>
            <w:color w:val="0563C1"/>
            <w:u w:val="single"/>
            <w:lang w:val="en-US"/>
          </w:rPr>
          <w:t>opinion</w:t>
        </w:r>
      </w:hyperlink>
      <w:r w:rsidRPr="009C2CBE">
        <w:rPr>
          <w:lang w:val="en-US"/>
        </w:rPr>
        <w:t xml:space="preserve"> on the situation of women </w:t>
      </w:r>
      <w:r w:rsidRPr="009C2CBE">
        <w:rPr>
          <w:b/>
          <w:lang w:val="en-US"/>
        </w:rPr>
        <w:t>within marginalized communities</w:t>
      </w:r>
      <w:r w:rsidRPr="009C2CBE">
        <w:rPr>
          <w:lang w:val="en-US"/>
        </w:rPr>
        <w:tab/>
      </w:r>
      <w:r w:rsidRPr="009C2CBE">
        <w:rPr>
          <w:lang w:val="en-US"/>
        </w:rPr>
        <w:br/>
        <w:t xml:space="preserve">- A </w:t>
      </w:r>
      <w:hyperlink r:id="rId41" w:history="1">
        <w:r w:rsidRPr="009C2CBE">
          <w:rPr>
            <w:color w:val="0563C1"/>
            <w:u w:val="single"/>
            <w:lang w:val="en-US"/>
          </w:rPr>
          <w:t>report</w:t>
        </w:r>
      </w:hyperlink>
      <w:r w:rsidRPr="009C2CBE">
        <w:rPr>
          <w:lang w:val="en-US"/>
        </w:rPr>
        <w:t xml:space="preserve"> on the implementation of the </w:t>
      </w:r>
      <w:r w:rsidRPr="009C2CBE">
        <w:rPr>
          <w:b/>
          <w:lang w:val="en-US"/>
        </w:rPr>
        <w:t>Recast Directive 2006/54/EC</w:t>
      </w:r>
      <w:r w:rsidRPr="009C2CBE">
        <w:rPr>
          <w:lang w:val="en-US"/>
        </w:rPr>
        <w:t xml:space="preserve"> (equal treatment of men and women in matters of employment and occupation)</w:t>
      </w:r>
      <w:r w:rsidRPr="009C2CBE">
        <w:rPr>
          <w:lang w:val="en-US"/>
        </w:rPr>
        <w:tab/>
      </w:r>
      <w:r w:rsidRPr="009C2CBE">
        <w:rPr>
          <w:lang w:val="en-US"/>
        </w:rPr>
        <w:br/>
        <w:t xml:space="preserve">- A </w:t>
      </w:r>
      <w:hyperlink r:id="rId42" w:history="1">
        <w:r w:rsidRPr="009C2CBE">
          <w:rPr>
            <w:color w:val="0563C1"/>
            <w:u w:val="single"/>
            <w:lang w:val="en-US"/>
          </w:rPr>
          <w:t>report</w:t>
        </w:r>
      </w:hyperlink>
      <w:r w:rsidRPr="009C2CBE">
        <w:rPr>
          <w:lang w:val="en-US"/>
        </w:rPr>
        <w:t xml:space="preserve"> on gender discrimination </w:t>
      </w:r>
      <w:r w:rsidRPr="009C2CBE">
        <w:rPr>
          <w:b/>
          <w:lang w:val="en-US"/>
        </w:rPr>
        <w:t>in access to education</w:t>
      </w:r>
      <w:r w:rsidRPr="009C2CBE">
        <w:rPr>
          <w:lang w:val="en-US"/>
        </w:rPr>
        <w:t>.</w:t>
      </w:r>
    </w:p>
    <w:p w:rsidR="001C172F" w:rsidRPr="001C172F" w:rsidRDefault="001C172F" w:rsidP="001C172F">
      <w:pPr>
        <w:pBdr>
          <w:bottom w:val="dotted" w:sz="8" w:space="1" w:color="auto"/>
        </w:pBdr>
        <w:tabs>
          <w:tab w:val="left" w:pos="2079"/>
        </w:tabs>
        <w:jc w:val="both"/>
        <w:rPr>
          <w:lang w:val="en-US"/>
        </w:rPr>
      </w:pPr>
    </w:p>
    <w:p w:rsidR="001C172F" w:rsidRDefault="00E014FB" w:rsidP="00E014FB">
      <w:pPr>
        <w:pStyle w:val="Heading2"/>
        <w:rPr>
          <w:lang w:val="en-US"/>
        </w:rPr>
      </w:pPr>
      <w:bookmarkStart w:id="27" w:name="_Toc418770754"/>
      <w:bookmarkStart w:id="28" w:name="_Ref418784363"/>
      <w:r>
        <w:rPr>
          <w:lang w:val="en-US"/>
        </w:rPr>
        <w:t>Age</w:t>
      </w:r>
      <w:bookmarkEnd w:id="27"/>
      <w:bookmarkEnd w:id="28"/>
      <w:r>
        <w:rPr>
          <w:lang w:val="en-US"/>
        </w:rPr>
        <w:t xml:space="preserve"> </w:t>
      </w:r>
    </w:p>
    <w:p w:rsidR="00E014FB" w:rsidRPr="00E014FB" w:rsidRDefault="00E014FB" w:rsidP="00E014FB">
      <w:pPr>
        <w:rPr>
          <w:lang w:val="en-US"/>
        </w:rPr>
      </w:pPr>
    </w:p>
    <w:p w:rsidR="009C2CBE" w:rsidRPr="009C2CBE" w:rsidRDefault="005D3458" w:rsidP="009C2CBE">
      <w:pPr>
        <w:pStyle w:val="ListParagraph"/>
        <w:numPr>
          <w:ilvl w:val="0"/>
          <w:numId w:val="3"/>
        </w:numPr>
        <w:tabs>
          <w:tab w:val="left" w:pos="2079"/>
        </w:tabs>
        <w:rPr>
          <w:b/>
          <w:sz w:val="24"/>
          <w:szCs w:val="24"/>
          <w:lang w:val="en-US"/>
        </w:rPr>
      </w:pPr>
      <w:r w:rsidRPr="009C2CBE">
        <w:rPr>
          <w:b/>
          <w:sz w:val="24"/>
          <w:szCs w:val="24"/>
          <w:lang w:val="en-US"/>
        </w:rPr>
        <w:t xml:space="preserve">EUROPEAN COMMISSION: </w:t>
      </w:r>
      <w:r w:rsidR="009C2CBE" w:rsidRPr="009C2CBE">
        <w:rPr>
          <w:b/>
          <w:sz w:val="24"/>
          <w:szCs w:val="24"/>
          <w:lang w:val="en-US"/>
        </w:rPr>
        <w:t>Report on Youth Discrimination in EU</w:t>
      </w:r>
    </w:p>
    <w:p w:rsidR="009C2CBE" w:rsidRPr="009C2CBE" w:rsidRDefault="009C2CBE" w:rsidP="009C2CBE">
      <w:pPr>
        <w:tabs>
          <w:tab w:val="left" w:pos="2079"/>
        </w:tabs>
        <w:jc w:val="both"/>
        <w:rPr>
          <w:lang w:val="en-US"/>
        </w:rPr>
      </w:pPr>
      <w:r w:rsidRPr="009C2CBE">
        <w:rPr>
          <w:rFonts w:cs="Arial"/>
          <w:iCs/>
          <w:shd w:val="clear" w:color="auto" w:fill="FFFFFF"/>
          <w:lang w:val="en-US"/>
        </w:rPr>
        <w:t xml:space="preserve">The report </w:t>
      </w:r>
      <w:hyperlink r:id="rId43" w:history="1">
        <w:r w:rsidRPr="009C2CBE">
          <w:rPr>
            <w:rFonts w:cs="Arial"/>
            <w:iCs/>
            <w:color w:val="0563C1"/>
            <w:u w:val="single"/>
            <w:shd w:val="clear" w:color="auto" w:fill="FFFFFF"/>
            <w:lang w:val="en-US"/>
          </w:rPr>
          <w:t>‘Overview of Youth Discrimination in the European Union’</w:t>
        </w:r>
      </w:hyperlink>
      <w:r w:rsidRPr="009C2CBE">
        <w:rPr>
          <w:rFonts w:cs="Arial"/>
          <w:iCs/>
          <w:shd w:val="clear" w:color="auto" w:fill="FFFFFF"/>
          <w:lang w:val="en-US"/>
        </w:rPr>
        <w:t>, prepared for DG Justice and Consumers in the European Commission, focuses on two areas of discrimination from the perspective of young people (broadly speaking those aged between 15 and 25 years) – namely on discrimination on the grounds of racial and ethnic origin, and discrimination based on sexual orientation and gender identity</w:t>
      </w:r>
      <w:r>
        <w:rPr>
          <w:rFonts w:cs="Arial"/>
          <w:iCs/>
          <w:shd w:val="clear" w:color="auto" w:fill="FFFFFF"/>
          <w:lang w:val="en-US"/>
        </w:rPr>
        <w:t xml:space="preserve">. </w:t>
      </w:r>
      <w:r w:rsidR="00B07813">
        <w:rPr>
          <w:rFonts w:cs="Arial"/>
          <w:iCs/>
          <w:shd w:val="clear" w:color="auto" w:fill="FFFFFF"/>
          <w:lang w:val="en-US"/>
        </w:rPr>
        <w:t xml:space="preserve"> </w:t>
      </w:r>
    </w:p>
    <w:p w:rsidR="009C2CBE" w:rsidRPr="009C2CBE" w:rsidRDefault="005D3458" w:rsidP="005D3458">
      <w:pPr>
        <w:pStyle w:val="ListParagraph"/>
        <w:numPr>
          <w:ilvl w:val="0"/>
          <w:numId w:val="3"/>
        </w:numPr>
        <w:tabs>
          <w:tab w:val="left" w:pos="2079"/>
        </w:tabs>
        <w:jc w:val="both"/>
        <w:rPr>
          <w:sz w:val="24"/>
          <w:lang w:val="en-US"/>
        </w:rPr>
      </w:pPr>
      <w:r w:rsidRPr="009C2CBE">
        <w:rPr>
          <w:b/>
          <w:sz w:val="24"/>
          <w:lang w:val="en-US"/>
        </w:rPr>
        <w:t xml:space="preserve">EUROPEAN PARLIAMENT: </w:t>
      </w:r>
      <w:r w:rsidR="00E014FB" w:rsidRPr="009C2CBE">
        <w:rPr>
          <w:b/>
          <w:sz w:val="24"/>
          <w:lang w:val="en-US"/>
        </w:rPr>
        <w:t>New reports of the Committee on Employment and Social Affairs</w:t>
      </w:r>
      <w:r w:rsidR="009C2CBE">
        <w:rPr>
          <w:b/>
          <w:sz w:val="24"/>
          <w:lang w:val="en-US"/>
        </w:rPr>
        <w:t xml:space="preserve"> on age discrimination</w:t>
      </w:r>
    </w:p>
    <w:p w:rsidR="00E014FB" w:rsidRDefault="009C2CBE" w:rsidP="005D3458">
      <w:pPr>
        <w:tabs>
          <w:tab w:val="left" w:pos="2079"/>
        </w:tabs>
        <w:jc w:val="both"/>
        <w:rPr>
          <w:lang w:val="en-US"/>
        </w:rPr>
      </w:pPr>
      <w:r w:rsidRPr="009C2CBE">
        <w:rPr>
          <w:lang w:val="en-US"/>
        </w:rPr>
        <w:t xml:space="preserve">2 documents have been published by the European Parliament EMPL Committee: </w:t>
      </w:r>
      <w:r w:rsidR="005D3458">
        <w:rPr>
          <w:lang w:val="en-US"/>
        </w:rPr>
        <w:tab/>
      </w:r>
      <w:r w:rsidRPr="009C2CBE">
        <w:rPr>
          <w:lang w:val="en-US"/>
        </w:rPr>
        <w:br/>
        <w:t xml:space="preserve">- </w:t>
      </w:r>
      <w:r w:rsidR="00E014FB" w:rsidRPr="009C2CBE">
        <w:rPr>
          <w:lang w:val="en-US"/>
        </w:rPr>
        <w:t xml:space="preserve">A </w:t>
      </w:r>
      <w:hyperlink r:id="rId44" w:history="1">
        <w:r w:rsidR="00E014FB" w:rsidRPr="009C2CBE">
          <w:rPr>
            <w:color w:val="0563C1"/>
            <w:u w:val="single"/>
            <w:lang w:val="en-US"/>
          </w:rPr>
          <w:t>report</w:t>
        </w:r>
      </w:hyperlink>
      <w:r w:rsidR="00E014FB" w:rsidRPr="009C2CBE">
        <w:rPr>
          <w:lang w:val="en-US"/>
        </w:rPr>
        <w:t xml:space="preserve"> on reducing inequalities with special focus on child poverty. Report gives recommendation to the Commission and to the Member States on measures needed for tackling child poverty.</w:t>
      </w:r>
      <w:r w:rsidR="005D3458">
        <w:rPr>
          <w:lang w:val="en-US"/>
        </w:rPr>
        <w:tab/>
      </w:r>
      <w:r w:rsidRPr="009C2CBE">
        <w:rPr>
          <w:lang w:val="en-US"/>
        </w:rPr>
        <w:br/>
        <w:t xml:space="preserve">- </w:t>
      </w:r>
      <w:r w:rsidR="00E014FB" w:rsidRPr="009C2CBE">
        <w:rPr>
          <w:lang w:val="en-US"/>
        </w:rPr>
        <w:t xml:space="preserve">A </w:t>
      </w:r>
      <w:hyperlink r:id="rId45" w:history="1">
        <w:r w:rsidR="00E014FB" w:rsidRPr="009C2CBE">
          <w:rPr>
            <w:color w:val="0563C1"/>
            <w:u w:val="single"/>
            <w:lang w:val="en-US"/>
          </w:rPr>
          <w:t>study</w:t>
        </w:r>
      </w:hyperlink>
      <w:r w:rsidR="00E014FB" w:rsidRPr="009C2CBE">
        <w:rPr>
          <w:lang w:val="en-US"/>
        </w:rPr>
        <w:t xml:space="preserve"> ‘Differential Treatment of Workers under 25 with a View to their Access to the </w:t>
      </w:r>
      <w:proofErr w:type="spellStart"/>
      <w:r w:rsidR="00E014FB" w:rsidRPr="009C2CBE">
        <w:rPr>
          <w:lang w:val="en-US"/>
        </w:rPr>
        <w:t>Labour</w:t>
      </w:r>
      <w:proofErr w:type="spellEnd"/>
      <w:r w:rsidR="00E014FB" w:rsidRPr="009C2CBE">
        <w:rPr>
          <w:lang w:val="en-US"/>
        </w:rPr>
        <w:t xml:space="preserve"> Market’ that looks on the discrimination of young people under</w:t>
      </w:r>
      <w:r w:rsidRPr="009C2CBE">
        <w:rPr>
          <w:lang w:val="en-US"/>
        </w:rPr>
        <w:t xml:space="preserve"> Employment Framework Directive. </w:t>
      </w:r>
    </w:p>
    <w:p w:rsidR="009C2CBE" w:rsidRPr="009C2CBE" w:rsidRDefault="005D3458" w:rsidP="00E014FB">
      <w:pPr>
        <w:pStyle w:val="ListParagraph"/>
        <w:numPr>
          <w:ilvl w:val="0"/>
          <w:numId w:val="3"/>
        </w:numPr>
        <w:tabs>
          <w:tab w:val="left" w:pos="2079"/>
        </w:tabs>
        <w:rPr>
          <w:b/>
          <w:sz w:val="24"/>
          <w:lang w:val="en-US"/>
        </w:rPr>
      </w:pPr>
      <w:r>
        <w:rPr>
          <w:b/>
          <w:sz w:val="24"/>
          <w:lang w:val="en-US"/>
        </w:rPr>
        <w:t xml:space="preserve">EU </w:t>
      </w:r>
      <w:r w:rsidRPr="009C2CBE">
        <w:rPr>
          <w:b/>
          <w:sz w:val="24"/>
          <w:lang w:val="en-US"/>
        </w:rPr>
        <w:t xml:space="preserve">FUNDAMENTAL RIGHTS AGENCY: </w:t>
      </w:r>
      <w:r w:rsidR="009C2CBE" w:rsidRPr="009C2CBE">
        <w:rPr>
          <w:b/>
          <w:sz w:val="24"/>
          <w:lang w:val="en-US"/>
        </w:rPr>
        <w:t>report on child’s rights protection in judicial systems</w:t>
      </w:r>
    </w:p>
    <w:p w:rsidR="00E014FB" w:rsidRPr="00B07813" w:rsidRDefault="00E014FB" w:rsidP="00B07813">
      <w:pPr>
        <w:pBdr>
          <w:bottom w:val="dotted" w:sz="8" w:space="1" w:color="auto"/>
        </w:pBdr>
        <w:tabs>
          <w:tab w:val="left" w:pos="2079"/>
        </w:tabs>
        <w:jc w:val="both"/>
        <w:rPr>
          <w:sz w:val="24"/>
          <w:lang w:val="en-US"/>
        </w:rPr>
      </w:pPr>
      <w:r w:rsidRPr="009C2CBE">
        <w:rPr>
          <w:lang w:val="en-US"/>
        </w:rPr>
        <w:t xml:space="preserve">EU Fundamental Rights Agency </w:t>
      </w:r>
      <w:hyperlink r:id="rId46" w:history="1">
        <w:r w:rsidRPr="009C2CBE">
          <w:rPr>
            <w:color w:val="0563C1"/>
            <w:u w:val="single"/>
            <w:lang w:val="en-US"/>
          </w:rPr>
          <w:t>reviews</w:t>
        </w:r>
      </w:hyperlink>
      <w:r w:rsidRPr="009C2CBE">
        <w:rPr>
          <w:lang w:val="en-US"/>
        </w:rPr>
        <w:t xml:space="preserve"> the situation for children i</w:t>
      </w:r>
      <w:r w:rsidR="009C2CBE">
        <w:rPr>
          <w:lang w:val="en-US"/>
        </w:rPr>
        <w:t>n criminal proceedings and give</w:t>
      </w:r>
      <w:r w:rsidRPr="009C2CBE">
        <w:rPr>
          <w:lang w:val="en-US"/>
        </w:rPr>
        <w:t>s recommendations for improving juridical systems from perspective of children’s right</w:t>
      </w:r>
      <w:r w:rsidR="009C2CBE">
        <w:rPr>
          <w:lang w:val="en-US"/>
        </w:rPr>
        <w:t xml:space="preserve">s. </w:t>
      </w:r>
      <w:r w:rsidR="00B07813">
        <w:rPr>
          <w:lang w:val="en-US"/>
        </w:rPr>
        <w:tab/>
      </w:r>
      <w:r w:rsidR="00B07813">
        <w:rPr>
          <w:lang w:val="en-US"/>
        </w:rPr>
        <w:br/>
      </w:r>
    </w:p>
    <w:p w:rsidR="00B07813" w:rsidRDefault="00B07813" w:rsidP="00B07813">
      <w:pPr>
        <w:pStyle w:val="Heading2"/>
        <w:rPr>
          <w:lang w:val="en-US"/>
        </w:rPr>
      </w:pPr>
      <w:bookmarkStart w:id="29" w:name="_Toc418770755"/>
      <w:bookmarkStart w:id="30" w:name="_Ref418784368"/>
      <w:r>
        <w:rPr>
          <w:lang w:val="en-US"/>
        </w:rPr>
        <w:t>Disability</w:t>
      </w:r>
      <w:bookmarkEnd w:id="29"/>
      <w:bookmarkEnd w:id="30"/>
    </w:p>
    <w:p w:rsidR="00B07813" w:rsidRDefault="00B07813" w:rsidP="00B07813">
      <w:pPr>
        <w:rPr>
          <w:lang w:val="en-US"/>
        </w:rPr>
      </w:pPr>
    </w:p>
    <w:p w:rsidR="00B07813" w:rsidRPr="00B07813" w:rsidRDefault="00B07813" w:rsidP="00B07813">
      <w:pPr>
        <w:pStyle w:val="ListParagraph"/>
        <w:numPr>
          <w:ilvl w:val="0"/>
          <w:numId w:val="3"/>
        </w:numPr>
        <w:tabs>
          <w:tab w:val="left" w:pos="2079"/>
        </w:tabs>
        <w:rPr>
          <w:b/>
          <w:sz w:val="24"/>
          <w:lang w:val="en-US"/>
        </w:rPr>
      </w:pPr>
      <w:r>
        <w:rPr>
          <w:b/>
          <w:sz w:val="24"/>
          <w:lang w:val="en-US"/>
        </w:rPr>
        <w:t xml:space="preserve">EUROPEAN PARLIAMENT: </w:t>
      </w:r>
      <w:r w:rsidRPr="00B07813">
        <w:rPr>
          <w:b/>
          <w:sz w:val="24"/>
          <w:lang w:val="en-US"/>
        </w:rPr>
        <w:t>study on employment of persons with disabilities</w:t>
      </w:r>
    </w:p>
    <w:p w:rsidR="00B07813" w:rsidRPr="00B07813" w:rsidRDefault="00B07813" w:rsidP="00B07813">
      <w:pPr>
        <w:tabs>
          <w:tab w:val="left" w:pos="2079"/>
        </w:tabs>
        <w:jc w:val="both"/>
        <w:rPr>
          <w:lang w:val="en-US"/>
        </w:rPr>
      </w:pPr>
      <w:r>
        <w:rPr>
          <w:lang w:val="en-US"/>
        </w:rPr>
        <w:t xml:space="preserve">The European Parliament </w:t>
      </w:r>
      <w:r w:rsidRPr="00B07813">
        <w:rPr>
          <w:lang w:val="en-US"/>
        </w:rPr>
        <w:t xml:space="preserve">Employment and Social Committee’s </w:t>
      </w:r>
      <w:hyperlink r:id="rId47" w:history="1">
        <w:r w:rsidRPr="00B07813">
          <w:rPr>
            <w:color w:val="0563C1"/>
            <w:u w:val="single"/>
            <w:lang w:val="en-US"/>
          </w:rPr>
          <w:t>study</w:t>
        </w:r>
      </w:hyperlink>
      <w:r w:rsidRPr="00B07813">
        <w:rPr>
          <w:lang w:val="en-US"/>
        </w:rPr>
        <w:t xml:space="preserve"> ‘</w:t>
      </w:r>
      <w:r w:rsidRPr="00B07813">
        <w:rPr>
          <w:i/>
          <w:lang w:val="en-US"/>
        </w:rPr>
        <w:t>Reasonable Accommodation and Sheltered Workshops for People with Disabilities: Costs and Returns of Investments’</w:t>
      </w:r>
      <w:r w:rsidRPr="00B07813">
        <w:rPr>
          <w:lang w:val="en-US"/>
        </w:rPr>
        <w:t xml:space="preserve"> focuses on overviewing policy measures that enable equal access to employment for people with disabilities. </w:t>
      </w:r>
    </w:p>
    <w:p w:rsidR="00B07813" w:rsidRDefault="00B07813" w:rsidP="00B07813">
      <w:pPr>
        <w:pBdr>
          <w:bottom w:val="dotted" w:sz="36" w:space="1" w:color="auto"/>
        </w:pBdr>
        <w:rPr>
          <w:lang w:val="en-US"/>
        </w:rPr>
      </w:pPr>
    </w:p>
    <w:p w:rsidR="00B07813" w:rsidRDefault="00B07813" w:rsidP="00B07813">
      <w:pPr>
        <w:pStyle w:val="Heading1"/>
        <w:rPr>
          <w:lang w:val="en-US"/>
        </w:rPr>
      </w:pPr>
      <w:bookmarkStart w:id="31" w:name="_Toc418770756"/>
      <w:bookmarkStart w:id="32" w:name="_Ref418784375"/>
      <w:r>
        <w:rPr>
          <w:lang w:val="en-US"/>
        </w:rPr>
        <w:t>Recent case-law</w:t>
      </w:r>
      <w:bookmarkEnd w:id="31"/>
      <w:bookmarkEnd w:id="32"/>
    </w:p>
    <w:p w:rsidR="00B07813" w:rsidRDefault="00F31126" w:rsidP="00B07813">
      <w:pPr>
        <w:pStyle w:val="Heading2"/>
        <w:rPr>
          <w:lang w:val="en-US"/>
        </w:rPr>
      </w:pPr>
      <w:bookmarkStart w:id="33" w:name="_Toc418770757"/>
      <w:bookmarkStart w:id="34" w:name="_Ref418784385"/>
      <w:r>
        <w:rPr>
          <w:noProof/>
          <w:lang w:eastAsia="fr-BE"/>
        </w:rPr>
        <w:drawing>
          <wp:anchor distT="0" distB="0" distL="114300" distR="114300" simplePos="0" relativeHeight="251661312" behindDoc="0" locked="0" layoutInCell="1" allowOverlap="1" wp14:anchorId="7404E8DD" wp14:editId="7B66504E">
            <wp:simplePos x="0" y="0"/>
            <wp:positionH relativeFrom="margin">
              <wp:align>right</wp:align>
            </wp:positionH>
            <wp:positionV relativeFrom="margin">
              <wp:posOffset>3924300</wp:posOffset>
            </wp:positionV>
            <wp:extent cx="1181100" cy="614680"/>
            <wp:effectExtent l="0" t="0" r="0" b="0"/>
            <wp:wrapSquare wrapText="bothSides"/>
            <wp:docPr id="7" name="Picture 7" descr="http://cdn.property118.com/wp-content/uploads/2013/12/Landlord-and-Tenant-Case-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roperty118.com/wp-content/uploads/2013/12/Landlord-and-Tenant-Case-Law.pn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29509"/>
                    <a:stretch/>
                  </pic:blipFill>
                  <pic:spPr bwMode="auto">
                    <a:xfrm>
                      <a:off x="0" y="0"/>
                      <a:ext cx="1181100" cy="614680"/>
                    </a:xfrm>
                    <a:prstGeom prst="rect">
                      <a:avLst/>
                    </a:prstGeom>
                    <a:noFill/>
                    <a:ln>
                      <a:noFill/>
                    </a:ln>
                    <a:extLst>
                      <a:ext uri="{53640926-AAD7-44D8-BBD7-CCE9431645EC}">
                        <a14:shadowObscured xmlns:a14="http://schemas.microsoft.com/office/drawing/2010/main"/>
                      </a:ext>
                    </a:extLst>
                  </pic:spPr>
                </pic:pic>
              </a:graphicData>
            </a:graphic>
          </wp:anchor>
        </w:drawing>
      </w:r>
      <w:r w:rsidR="00B07813">
        <w:rPr>
          <w:lang w:val="en-US"/>
        </w:rPr>
        <w:t>European Court of Justice (ECJ)</w:t>
      </w:r>
      <w:bookmarkEnd w:id="33"/>
      <w:bookmarkEnd w:id="34"/>
      <w:r w:rsidR="00B07813">
        <w:rPr>
          <w:lang w:val="en-US"/>
        </w:rPr>
        <w:br/>
      </w:r>
    </w:p>
    <w:p w:rsidR="00B07813" w:rsidRPr="00B07813" w:rsidRDefault="00B07813" w:rsidP="00B07813">
      <w:pPr>
        <w:pStyle w:val="ListParagraph"/>
        <w:numPr>
          <w:ilvl w:val="0"/>
          <w:numId w:val="3"/>
        </w:numPr>
        <w:tabs>
          <w:tab w:val="left" w:pos="2805"/>
        </w:tabs>
        <w:rPr>
          <w:b/>
          <w:sz w:val="24"/>
          <w:lang w:val="en-US"/>
        </w:rPr>
      </w:pPr>
      <w:r w:rsidRPr="00B07813">
        <w:rPr>
          <w:b/>
          <w:sz w:val="24"/>
          <w:lang w:val="en-US"/>
        </w:rPr>
        <w:t>European Court of Justice ruling on blood donations ban for MSM</w:t>
      </w:r>
    </w:p>
    <w:p w:rsidR="00B07813" w:rsidRDefault="00B07813" w:rsidP="00B07813">
      <w:pPr>
        <w:tabs>
          <w:tab w:val="left" w:pos="2805"/>
        </w:tabs>
        <w:jc w:val="both"/>
        <w:rPr>
          <w:lang w:val="en-US"/>
        </w:rPr>
      </w:pPr>
      <w:r w:rsidRPr="00B07813">
        <w:rPr>
          <w:lang w:val="en-US"/>
        </w:rPr>
        <w:t xml:space="preserve">European Court of Justice </w:t>
      </w:r>
      <w:hyperlink r:id="rId49" w:history="1">
        <w:r w:rsidRPr="00B07813">
          <w:rPr>
            <w:color w:val="0563C1"/>
            <w:u w:val="single"/>
            <w:lang w:val="en-US"/>
          </w:rPr>
          <w:t>ruled</w:t>
        </w:r>
      </w:hyperlink>
      <w:r w:rsidRPr="00B07813">
        <w:rPr>
          <w:lang w:val="en-US"/>
        </w:rPr>
        <w:t xml:space="preserve"> on 30 April 2015 that permanently banning men that have sex with men (MSM) from blood donations can justified, depending on the situation from the</w:t>
      </w:r>
      <w:r>
        <w:rPr>
          <w:lang w:val="en-US"/>
        </w:rPr>
        <w:t xml:space="preserve"> country.</w:t>
      </w:r>
    </w:p>
    <w:p w:rsidR="00B07813" w:rsidRDefault="00B07813" w:rsidP="00B07813">
      <w:pPr>
        <w:tabs>
          <w:tab w:val="left" w:pos="2805"/>
        </w:tabs>
        <w:jc w:val="both"/>
        <w:rPr>
          <w:lang w:val="en-US"/>
        </w:rPr>
      </w:pPr>
      <w:r w:rsidRPr="00B07813">
        <w:rPr>
          <w:lang w:val="en-US"/>
        </w:rPr>
        <w:t xml:space="preserve">You can read the press release by European Parliament’s LGBTI Intergroup </w:t>
      </w:r>
      <w:hyperlink r:id="rId50" w:history="1">
        <w:r w:rsidRPr="00B07813">
          <w:rPr>
            <w:color w:val="0563C1"/>
            <w:u w:val="single"/>
            <w:lang w:val="en-US"/>
          </w:rPr>
          <w:t>here</w:t>
        </w:r>
      </w:hyperlink>
      <w:r w:rsidRPr="00B07813">
        <w:rPr>
          <w:lang w:val="en-US"/>
        </w:rPr>
        <w:t>.</w:t>
      </w:r>
    </w:p>
    <w:p w:rsidR="00B07813" w:rsidRPr="00B07813" w:rsidRDefault="00B07813" w:rsidP="00B07813">
      <w:pPr>
        <w:pStyle w:val="Heading2"/>
        <w:rPr>
          <w:lang w:val="en-US"/>
        </w:rPr>
      </w:pPr>
      <w:bookmarkStart w:id="35" w:name="_Toc418770758"/>
      <w:bookmarkStart w:id="36" w:name="_Ref418784391"/>
      <w:r>
        <w:rPr>
          <w:lang w:val="en-US"/>
        </w:rPr>
        <w:t>European Court of Human Rights</w:t>
      </w:r>
      <w:bookmarkEnd w:id="35"/>
      <w:bookmarkEnd w:id="36"/>
      <w:r>
        <w:rPr>
          <w:lang w:val="en-US"/>
        </w:rPr>
        <w:br/>
      </w:r>
    </w:p>
    <w:p w:rsidR="00B07813" w:rsidRPr="00B07813" w:rsidRDefault="00B07813" w:rsidP="00B07813">
      <w:pPr>
        <w:pStyle w:val="ListParagraph"/>
        <w:numPr>
          <w:ilvl w:val="0"/>
          <w:numId w:val="3"/>
        </w:numPr>
        <w:tabs>
          <w:tab w:val="left" w:pos="2805"/>
        </w:tabs>
        <w:rPr>
          <w:b/>
          <w:sz w:val="24"/>
          <w:lang w:val="en-US"/>
        </w:rPr>
      </w:pPr>
      <w:proofErr w:type="spellStart"/>
      <w:r w:rsidRPr="00B07813">
        <w:rPr>
          <w:b/>
          <w:sz w:val="24"/>
          <w:lang w:val="en-US"/>
        </w:rPr>
        <w:t>Danis</w:t>
      </w:r>
      <w:proofErr w:type="spellEnd"/>
      <w:r w:rsidRPr="00B07813">
        <w:rPr>
          <w:b/>
          <w:sz w:val="24"/>
          <w:lang w:val="en-US"/>
        </w:rPr>
        <w:t xml:space="preserve"> and Association of Ethnic Turks v. Romania (application no. 16632/09) </w:t>
      </w:r>
    </w:p>
    <w:p w:rsidR="00B07813" w:rsidRDefault="00BD7FB3" w:rsidP="00BD7FB3">
      <w:pPr>
        <w:tabs>
          <w:tab w:val="left" w:pos="2805"/>
        </w:tabs>
        <w:jc w:val="both"/>
        <w:rPr>
          <w:lang w:val="en-US"/>
        </w:rPr>
      </w:pPr>
      <w:r w:rsidRPr="00BD7FB3">
        <w:rPr>
          <w:lang w:val="en-US"/>
        </w:rPr>
        <w:t>Late change in electoral law infrin</w:t>
      </w:r>
      <w:r>
        <w:rPr>
          <w:lang w:val="en-US"/>
        </w:rPr>
        <w:t xml:space="preserve">ged right to stand for election </w:t>
      </w:r>
      <w:r w:rsidRPr="00BD7FB3">
        <w:rPr>
          <w:lang w:val="en-US"/>
        </w:rPr>
        <w:t>of an association representing the Turkish minority</w:t>
      </w:r>
      <w:r w:rsidR="00B07813" w:rsidRPr="00B07813">
        <w:rPr>
          <w:lang w:val="en-US"/>
        </w:rPr>
        <w:t xml:space="preserve">. </w:t>
      </w:r>
      <w:hyperlink r:id="rId51" w:anchor="{&quot;itemid&quot;:[&quot;003-5067297-6235749&quot;]}" w:history="1">
        <w:r w:rsidR="00B07813" w:rsidRPr="00F31126">
          <w:rPr>
            <w:rStyle w:val="Hyperlink"/>
            <w:lang w:val="en-US"/>
          </w:rPr>
          <w:t>The court</w:t>
        </w:r>
      </w:hyperlink>
      <w:r w:rsidR="00B07813" w:rsidRPr="00B07813">
        <w:rPr>
          <w:lang w:val="en-US"/>
        </w:rPr>
        <w:t xml:space="preserve"> found a violation of Article 14 (prohibition of discrimination) and Article 3 of Protocol no. 1 (right to free elections) since by amending the electoral legislation seven months before the 2008 parliamentary elections, the authorities had not given the applicants the opportunity in such a way as to be able to satisfy the eligibility criteria introduced as a result of the new legislation</w:t>
      </w:r>
      <w:r>
        <w:rPr>
          <w:lang w:val="en-US"/>
        </w:rPr>
        <w:t xml:space="preserve">. </w:t>
      </w:r>
    </w:p>
    <w:p w:rsidR="00F31126" w:rsidRPr="00F31126" w:rsidRDefault="00F31126" w:rsidP="00F31126">
      <w:pPr>
        <w:pStyle w:val="ListParagraph"/>
        <w:numPr>
          <w:ilvl w:val="0"/>
          <w:numId w:val="3"/>
        </w:numPr>
        <w:tabs>
          <w:tab w:val="left" w:pos="2805"/>
        </w:tabs>
        <w:rPr>
          <w:b/>
          <w:sz w:val="24"/>
          <w:lang w:val="en-US"/>
        </w:rPr>
      </w:pPr>
      <w:r w:rsidRPr="00F31126">
        <w:rPr>
          <w:b/>
          <w:sz w:val="24"/>
          <w:lang w:val="en-US"/>
        </w:rPr>
        <w:t xml:space="preserve">Junta </w:t>
      </w:r>
      <w:proofErr w:type="spellStart"/>
      <w:r w:rsidRPr="00F31126">
        <w:rPr>
          <w:b/>
          <w:sz w:val="24"/>
          <w:lang w:val="en-US"/>
        </w:rPr>
        <w:t>Rectora</w:t>
      </w:r>
      <w:proofErr w:type="spellEnd"/>
      <w:r w:rsidRPr="00F31126">
        <w:rPr>
          <w:b/>
          <w:sz w:val="24"/>
          <w:lang w:val="en-US"/>
        </w:rPr>
        <w:t xml:space="preserve"> del </w:t>
      </w:r>
      <w:proofErr w:type="spellStart"/>
      <w:r w:rsidRPr="00F31126">
        <w:rPr>
          <w:b/>
          <w:sz w:val="24"/>
          <w:lang w:val="en-US"/>
        </w:rPr>
        <w:t>Ertzainen</w:t>
      </w:r>
      <w:proofErr w:type="spellEnd"/>
      <w:r w:rsidRPr="00F31126">
        <w:rPr>
          <w:b/>
          <w:sz w:val="24"/>
          <w:lang w:val="en-US"/>
        </w:rPr>
        <w:t xml:space="preserve"> </w:t>
      </w:r>
      <w:proofErr w:type="spellStart"/>
      <w:r w:rsidRPr="00F31126">
        <w:rPr>
          <w:b/>
          <w:sz w:val="24"/>
          <w:lang w:val="en-US"/>
        </w:rPr>
        <w:t>Nazional</w:t>
      </w:r>
      <w:proofErr w:type="spellEnd"/>
      <w:r w:rsidRPr="00F31126">
        <w:rPr>
          <w:b/>
          <w:sz w:val="24"/>
          <w:lang w:val="en-US"/>
        </w:rPr>
        <w:t xml:space="preserve"> </w:t>
      </w:r>
      <w:proofErr w:type="spellStart"/>
      <w:r w:rsidRPr="00F31126">
        <w:rPr>
          <w:b/>
          <w:sz w:val="24"/>
          <w:lang w:val="en-US"/>
        </w:rPr>
        <w:t>Elkartasuna</w:t>
      </w:r>
      <w:proofErr w:type="spellEnd"/>
      <w:r w:rsidRPr="00F31126">
        <w:rPr>
          <w:b/>
          <w:sz w:val="24"/>
          <w:lang w:val="en-US"/>
        </w:rPr>
        <w:t xml:space="preserve"> v. Spain (application no. 45892/09)</w:t>
      </w:r>
    </w:p>
    <w:p w:rsidR="00F31126" w:rsidRPr="00F31126" w:rsidRDefault="00F23218" w:rsidP="00F31126">
      <w:pPr>
        <w:tabs>
          <w:tab w:val="left" w:pos="2805"/>
        </w:tabs>
        <w:jc w:val="both"/>
        <w:rPr>
          <w:lang w:val="en-US"/>
        </w:rPr>
      </w:pPr>
      <w:hyperlink r:id="rId52" w:anchor="{&quot;itemid&quot;:[&quot;003-5067285-6235721&quot;]}" w:history="1">
        <w:r w:rsidR="00F31126" w:rsidRPr="00F31126">
          <w:rPr>
            <w:rStyle w:val="Hyperlink"/>
            <w:lang w:val="en-US"/>
          </w:rPr>
          <w:t>The case</w:t>
        </w:r>
      </w:hyperlink>
      <w:r w:rsidR="00F31126" w:rsidRPr="00F31126">
        <w:rPr>
          <w:lang w:val="en-US"/>
        </w:rPr>
        <w:t xml:space="preserve"> concerns the inability of members of a police officers’ trade union to exercise the right to strike. The court found that the stringent requirements imposed on ‘law-enforcement agents’ justified the ban on strike action on account of the fact that they were armed and needed to provide uninterrupted service. The court did not find a case of discrimination. </w:t>
      </w:r>
    </w:p>
    <w:p w:rsidR="00F31126" w:rsidRPr="00F31126" w:rsidRDefault="00F31126" w:rsidP="00F31126">
      <w:pPr>
        <w:tabs>
          <w:tab w:val="left" w:pos="2805"/>
        </w:tabs>
        <w:jc w:val="both"/>
        <w:rPr>
          <w:lang w:val="en-US"/>
        </w:rPr>
      </w:pPr>
    </w:p>
    <w:p w:rsidR="00B07813" w:rsidRPr="00B07813" w:rsidRDefault="00B07813" w:rsidP="00B07813">
      <w:pPr>
        <w:tabs>
          <w:tab w:val="left" w:pos="3720"/>
        </w:tabs>
        <w:rPr>
          <w:lang w:val="en-US"/>
        </w:rPr>
      </w:pPr>
    </w:p>
    <w:sectPr w:rsidR="00B07813" w:rsidRPr="00B07813" w:rsidSect="006415D5">
      <w:footerReference w:type="default" r:id="rId5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F23218">
          <w:rPr>
            <w:noProof/>
          </w:rPr>
          <w:t>5</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F46D8"/>
    <w:rsid w:val="001140DC"/>
    <w:rsid w:val="0018390B"/>
    <w:rsid w:val="0018402A"/>
    <w:rsid w:val="001B305F"/>
    <w:rsid w:val="001C172F"/>
    <w:rsid w:val="002C3BF0"/>
    <w:rsid w:val="003C34AB"/>
    <w:rsid w:val="0048576D"/>
    <w:rsid w:val="004A7771"/>
    <w:rsid w:val="00522381"/>
    <w:rsid w:val="005978FA"/>
    <w:rsid w:val="005A767B"/>
    <w:rsid w:val="005B04DF"/>
    <w:rsid w:val="005D3458"/>
    <w:rsid w:val="006415D5"/>
    <w:rsid w:val="00702D8C"/>
    <w:rsid w:val="00837FF6"/>
    <w:rsid w:val="00922F1E"/>
    <w:rsid w:val="009C2CBE"/>
    <w:rsid w:val="00A73FA9"/>
    <w:rsid w:val="00A74E27"/>
    <w:rsid w:val="00B07813"/>
    <w:rsid w:val="00B33A99"/>
    <w:rsid w:val="00BC522B"/>
    <w:rsid w:val="00BD7FB3"/>
    <w:rsid w:val="00BE1F3C"/>
    <w:rsid w:val="00BE506C"/>
    <w:rsid w:val="00CF7284"/>
    <w:rsid w:val="00D05673"/>
    <w:rsid w:val="00D1064D"/>
    <w:rsid w:val="00DA1BD6"/>
    <w:rsid w:val="00E014FB"/>
    <w:rsid w:val="00E64486"/>
    <w:rsid w:val="00E91D96"/>
    <w:rsid w:val="00F23218"/>
    <w:rsid w:val="00F31126"/>
    <w:rsid w:val="00F66D27"/>
    <w:rsid w:val="00F92C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FA9"/>
    <w:pPr>
      <w:keepNext/>
      <w:keepLines/>
      <w:spacing w:before="240" w:after="0"/>
      <w:jc w:val="center"/>
      <w:outlineLvl w:val="0"/>
    </w:pPr>
    <w:rPr>
      <w:rFonts w:ascii="Tahoma" w:eastAsiaTheme="majorEastAsia" w:hAnsi="Tahom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A9"/>
    <w:rPr>
      <w:rFonts w:ascii="Tahoma" w:eastAsiaTheme="majorEastAsia" w:hAnsi="Tahoma"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justice/newsroom/gender-equality/opinion/150421_en.htm" TargetMode="External"/><Relationship Id="rId18" Type="http://schemas.openxmlformats.org/officeDocument/2006/relationships/hyperlink" Target="http://europa.eu/rapid/press-release_IP-13-1118_en.htm" TargetMode="External"/><Relationship Id="rId26" Type="http://schemas.openxmlformats.org/officeDocument/2006/relationships/hyperlink" Target="http://www.equineteurope.org/European-Commission-s-decision-to" TargetMode="External"/><Relationship Id="rId39" Type="http://schemas.openxmlformats.org/officeDocument/2006/relationships/hyperlink" Target="http://fra.europa.eu/en/charter4mobile" TargetMode="External"/><Relationship Id="rId21" Type="http://schemas.openxmlformats.org/officeDocument/2006/relationships/hyperlink" Target="http://eur-lex.europa.eu/legal-content/en/ALL/?uri=CELEX:52008PC0426" TargetMode="External"/><Relationship Id="rId34" Type="http://schemas.openxmlformats.org/officeDocument/2006/relationships/image" Target="media/image4.jpeg"/><Relationship Id="rId42" Type="http://schemas.openxmlformats.org/officeDocument/2006/relationships/hyperlink" Target="http://www.europarl.europa.eu/sides/getDoc.do?pubRef=-%2f%2fEP%2f%2fNONSGML%2bCOMPARL%2bPE-554.814%2b01%2bDOC%2bPDF%2bV0%2f%2fEN" TargetMode="External"/><Relationship Id="rId47" Type="http://schemas.openxmlformats.org/officeDocument/2006/relationships/hyperlink" Target="http://www.europarl.europa.eu/RegData/etudes/ATAG/2015/536327/IPOL_ATAG(2015)536327_EN.pdf" TargetMode="External"/><Relationship Id="rId50" Type="http://schemas.openxmlformats.org/officeDocument/2006/relationships/hyperlink" Target="http://www.lgbt-ep.eu/press-releases/eu-court-permanent-exclusion-homosexual-and-bisexual-men-from-blood-donation-may-be-justified/"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justice/newsroom/gender-equality/news/150420_en.htm" TargetMode="External"/><Relationship Id="rId17" Type="http://schemas.openxmlformats.org/officeDocument/2006/relationships/hyperlink" Target="http://www.euractiv.com/sections/social-europe-jobs/commission-cut-maternity-leave-2015-work-programme-310899" TargetMode="External"/><Relationship Id="rId25" Type="http://schemas.openxmlformats.org/officeDocument/2006/relationships/hyperlink" Target="http://www.errc.org/article/commission-takes-tougher-stance-on-member-states-discriminating-roma/4359" TargetMode="External"/><Relationship Id="rId33" Type="http://schemas.openxmlformats.org/officeDocument/2006/relationships/hyperlink" Target="mailto:Jessica.machacova@equineteurope.org" TargetMode="External"/><Relationship Id="rId38" Type="http://schemas.openxmlformats.org/officeDocument/2006/relationships/hyperlink" Target="http://ec.europa.eu/justice/newsroom/gender-equality/news/150325_en.htm" TargetMode="External"/><Relationship Id="rId46" Type="http://schemas.openxmlformats.org/officeDocument/2006/relationships/hyperlink" Target="http://fra.europa.eu/en/press-release/2015/justice-needs-be-more-child-friendly-finds-fra" TargetMode="External"/><Relationship Id="rId2" Type="http://schemas.openxmlformats.org/officeDocument/2006/relationships/numbering" Target="numbering.xml"/><Relationship Id="rId16" Type="http://schemas.openxmlformats.org/officeDocument/2006/relationships/hyperlink" Target="http://www.womenlobby.org/spip.php?article7187&amp;lang=en" TargetMode="External"/><Relationship Id="rId20" Type="http://schemas.openxmlformats.org/officeDocument/2006/relationships/hyperlink" Target="http://ec.europa.eu/justice/newsroom/gender-equality/news/121114_en.htm" TargetMode="External"/><Relationship Id="rId29" Type="http://schemas.openxmlformats.org/officeDocument/2006/relationships/hyperlink" Target="mailto:JUST_Colloquium@ec.europa.eu" TargetMode="External"/><Relationship Id="rId41" Type="http://schemas.openxmlformats.org/officeDocument/2006/relationships/hyperlink" Target="http://www.europarl.europa.eu/sides/getDoc.do?pubRef=-%2f%2fEP%2f%2fNONSGML%2bCOMPARL%2bPE-549.388%2b01%2bDOC%2bPDF%2bV0%2f%2f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ec.europa.eu/justice/events/colloquium-fundamental-rights-2015/files/2015colloquium_questions_en.pdf" TargetMode="External"/><Relationship Id="rId37" Type="http://schemas.openxmlformats.org/officeDocument/2006/relationships/hyperlink" Target="http://www.europarl.europa.eu/RegData/etudes/IDAN/2015/554168/EPRS_IDA(2015)554168_EN.pdf" TargetMode="External"/><Relationship Id="rId40" Type="http://schemas.openxmlformats.org/officeDocument/2006/relationships/hyperlink" Target="http://www.europarl.europa.eu/meetdocs/2014_2019/documents/femm/pa/1056/1056445/1056445en.pdf" TargetMode="External"/><Relationship Id="rId45" Type="http://schemas.openxmlformats.org/officeDocument/2006/relationships/hyperlink" Target="http://www.europarl.europa.eu/RegData/etudes/ATAG/2015/536326/IPOL_ATAG(2015)536326_EN.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social/BlobServlet?docId=607&amp;langId=en" TargetMode="External"/><Relationship Id="rId23" Type="http://schemas.openxmlformats.org/officeDocument/2006/relationships/hyperlink" Target="http://www.equineteurope.org/Equinet-Conference-Taking-Action-623" TargetMode="External"/><Relationship Id="rId28" Type="http://schemas.openxmlformats.org/officeDocument/2006/relationships/hyperlink" Target="http://assembly.coe.int/ASP/Doc/XrefViewPDF.asp?FileID=21630&amp;Language=EN" TargetMode="External"/><Relationship Id="rId36" Type="http://schemas.openxmlformats.org/officeDocument/2006/relationships/hyperlink" Target="http://ec.europa.eu/social/main.jsp?langId=en&amp;catId=88&amp;eventsId=1038&amp;furtherEvents=yes" TargetMode="External"/><Relationship Id="rId49" Type="http://schemas.openxmlformats.org/officeDocument/2006/relationships/hyperlink" Target="http://curia.europa.eu/juris/document/document.jsf?text=&amp;docid=164021&amp;pageIndex=0&amp;doclang=EN&amp;mode=req&amp;dir=&amp;occ=first&amp;part=1&amp;cid=287505" TargetMode="External"/><Relationship Id="rId10" Type="http://schemas.openxmlformats.org/officeDocument/2006/relationships/hyperlink" Target="http://ec.europa.eu/social/BlobServlet?docId=6568&amp;langId=en" TargetMode="External"/><Relationship Id="rId19" Type="http://schemas.openxmlformats.org/officeDocument/2006/relationships/hyperlink" Target="http://europa.eu/rapid/press-release_IP-12-1205_en.htm" TargetMode="External"/><Relationship Id="rId31" Type="http://schemas.openxmlformats.org/officeDocument/2006/relationships/hyperlink" Target="http://www.equineteurope.org/European-Commission-calls-for" TargetMode="External"/><Relationship Id="rId44" Type="http://schemas.openxmlformats.org/officeDocument/2006/relationships/hyperlink" Target="http://www.europarl.europa.eu/sides/getDoc.do?pubRef=-%2f%2fEP%2f%2fNONSGML%2bCOMPARL%2bPE-554.950%2b01%2bDOC%2bPDF%2bV0%2f%2fEN" TargetMode="External"/><Relationship Id="rId52" Type="http://schemas.openxmlformats.org/officeDocument/2006/relationships/hyperlink" Target="http://hudoc.echr.coe.int/sites/fra-press/pages/search.aspx?i=003-5067285-6235721"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ec.europa.eu/justice/newsroom/gender-equality/opinion/150421_en.htm" TargetMode="External"/><Relationship Id="rId22" Type="http://schemas.openxmlformats.org/officeDocument/2006/relationships/hyperlink" Target="http://www.equineteurope.org/IMG/pdf/ec_horizontal_directive-note_for_equinet_members.pdf" TargetMode="External"/><Relationship Id="rId27" Type="http://schemas.openxmlformats.org/officeDocument/2006/relationships/hyperlink" Target="http://fra.europa.eu/en/news/2015/roma-inclusion-efforts-must-be-intensified" TargetMode="External"/><Relationship Id="rId30" Type="http://schemas.openxmlformats.org/officeDocument/2006/relationships/hyperlink" Target="http://ec.europa.eu/justice/events/colloquium-fundamental-rights-2015/index_en.htm" TargetMode="External"/><Relationship Id="rId35" Type="http://schemas.openxmlformats.org/officeDocument/2006/relationships/hyperlink" Target="../../../../../Activities/2015/Disability%20&amp;%20UNCRPD/UNCRPD%20Committee%20-%20List%20of%20Issues%20April%202015.doc" TargetMode="External"/><Relationship Id="rId43" Type="http://schemas.openxmlformats.org/officeDocument/2006/relationships/hyperlink" Target="http://ec.europa.eu/justice/discrimination/files/overview_youth_discrimination_en.pdf" TargetMode="External"/><Relationship Id="rId48" Type="http://schemas.openxmlformats.org/officeDocument/2006/relationships/image" Target="media/image5.png"/><Relationship Id="rId8" Type="http://schemas.openxmlformats.org/officeDocument/2006/relationships/image" Target="media/image1.png"/><Relationship Id="rId51" Type="http://schemas.openxmlformats.org/officeDocument/2006/relationships/hyperlink" Target="http://hudoc.echr.coe.int/sites/fra-press/pages/search.aspx?i=003-5067297-623574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BBC3-9ED8-4017-ACEA-1BD1E964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2680</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22</cp:revision>
  <dcterms:created xsi:type="dcterms:W3CDTF">2015-05-07T08:24:00Z</dcterms:created>
  <dcterms:modified xsi:type="dcterms:W3CDTF">2015-05-08T08:11:00Z</dcterms:modified>
</cp:coreProperties>
</file>